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9"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1"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1934</w:t>
      </w:r>
    </w:p>
    <w:p>
      <w:pPr>
        <w:spacing w:after="0" w:line="3" w:lineRule="exact"/>
        <w:rPr>
          <w:sz w:val="24"/>
          <w:szCs w:val="24"/>
          <w:color w:val="auto"/>
        </w:rPr>
      </w:pPr>
    </w:p>
    <w:p>
      <w:pPr>
        <w:ind w:left="38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001-36146</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CommScope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jc w:val="center"/>
              <w:ind w:left="1682"/>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20" w:type="dxa"/>
            <w:vAlign w:val="bottom"/>
          </w:tcPr>
          <w:p>
            <w:pPr>
              <w:jc w:val="center"/>
              <w:ind w:right="1623"/>
              <w:spacing w:after="0"/>
              <w:rPr>
                <w:sz w:val="20"/>
                <w:szCs w:val="20"/>
                <w:color w:val="auto"/>
              </w:rPr>
            </w:pPr>
            <w:r>
              <w:rPr>
                <w:rFonts w:ascii="Arial" w:cs="Arial" w:eastAsia="Arial" w:hAnsi="Arial"/>
                <w:sz w:val="18"/>
                <w:szCs w:val="18"/>
                <w:b w:val="1"/>
                <w:bCs w:val="1"/>
                <w:color w:val="auto"/>
                <w:w w:val="89"/>
              </w:rPr>
              <w:t>27-4332098</w:t>
            </w:r>
          </w:p>
        </w:tc>
        <w:tc>
          <w:tcPr>
            <w:tcW w:w="0" w:type="dxa"/>
            <w:vAlign w:val="bottom"/>
          </w:tcPr>
          <w:p>
            <w:pPr>
              <w:spacing w:after="0"/>
              <w:rPr>
                <w:sz w:val="1"/>
                <w:szCs w:val="1"/>
                <w:color w:val="auto"/>
              </w:rPr>
            </w:pPr>
          </w:p>
        </w:tc>
      </w:tr>
      <w:tr>
        <w:trPr>
          <w:trHeight w:val="153"/>
        </w:trPr>
        <w:tc>
          <w:tcPr>
            <w:tcW w:w="3880" w:type="dxa"/>
            <w:vAlign w:val="bottom"/>
          </w:tcPr>
          <w:p>
            <w:pPr>
              <w:jc w:val="center"/>
              <w:ind w:left="1682"/>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20" w:type="dxa"/>
            <w:vAlign w:val="bottom"/>
          </w:tcPr>
          <w:p>
            <w:pPr>
              <w:jc w:val="center"/>
              <w:ind w:right="1603"/>
              <w:spacing w:after="0" w:line="153"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80" w:type="dxa"/>
            <w:vAlign w:val="bottom"/>
          </w:tcPr>
          <w:p>
            <w:pPr>
              <w:jc w:val="center"/>
              <w:ind w:left="1682"/>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restart"/>
          </w:tcPr>
          <w:p>
            <w:pPr>
              <w:jc w:val="center"/>
              <w:ind w:right="580"/>
              <w:spacing w:after="0"/>
              <w:rPr>
                <w:sz w:val="20"/>
                <w:szCs w:val="20"/>
                <w:color w:val="auto"/>
              </w:rPr>
            </w:pPr>
            <w:r>
              <w:rPr>
                <w:rFonts w:ascii="Arial" w:cs="Arial" w:eastAsia="Arial" w:hAnsi="Arial"/>
                <w:sz w:val="18"/>
                <w:szCs w:val="18"/>
                <w:b w:val="1"/>
                <w:bCs w:val="1"/>
                <w:color w:val="auto"/>
                <w:w w:val="87"/>
              </w:rPr>
              <w:t>1100 CommScope Place, SE</w:t>
            </w:r>
          </w:p>
        </w:tc>
        <w:tc>
          <w:tcPr>
            <w:tcW w:w="3920" w:type="dxa"/>
            <w:vAlign w:val="bottom"/>
          </w:tcPr>
          <w:p>
            <w:pPr>
              <w:jc w:val="center"/>
              <w:ind w:right="162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vMerge w:val="continue"/>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3"/>
              </w:rPr>
              <w:t>Hickory, North Carolina</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gridSpan w:val="5"/>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2200" w:type="dxa"/>
            <w:vAlign w:val="bottom"/>
            <w:gridSpan w:val="4"/>
          </w:tcPr>
          <w:p>
            <w:pPr>
              <w:jc w:val="right"/>
              <w:ind w:right="161"/>
              <w:spacing w:after="0"/>
              <w:rPr>
                <w:sz w:val="20"/>
                <w:szCs w:val="20"/>
                <w:color w:val="auto"/>
              </w:rPr>
            </w:pPr>
            <w:r>
              <w:rPr>
                <w:rFonts w:ascii="Arial" w:cs="Arial" w:eastAsia="Arial" w:hAnsi="Arial"/>
                <w:sz w:val="18"/>
                <w:szCs w:val="18"/>
                <w:b w:val="1"/>
                <w:bCs w:val="1"/>
                <w:color w:val="auto"/>
              </w:rPr>
              <w:t>28602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4"/>
          </w:tcPr>
          <w:p>
            <w:pPr>
              <w:jc w:val="center"/>
              <w:ind w:right="560"/>
              <w:spacing w:after="0" w:line="153" w:lineRule="exact"/>
              <w:rPr>
                <w:sz w:val="20"/>
                <w:szCs w:val="20"/>
                <w:color w:val="auto"/>
              </w:rPr>
            </w:pPr>
            <w:r>
              <w:rPr>
                <w:rFonts w:ascii="Arial" w:cs="Arial" w:eastAsia="Arial" w:hAnsi="Arial"/>
                <w:sz w:val="14"/>
                <w:szCs w:val="14"/>
                <w:b w:val="1"/>
                <w:bCs w:val="1"/>
                <w:color w:val="auto"/>
                <w:w w:val="95"/>
              </w:rPr>
              <w:t>(Zip Code)</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23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(828) 324-2200</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34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80" w:type="dxa"/>
            <w:vAlign w:val="bottom"/>
            <w:vMerge w:val="restart"/>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vMerge w:val="restart"/>
          </w:tcPr>
          <w:p>
            <w:pPr>
              <w:jc w:val="center"/>
              <w:ind w:right="1023"/>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3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jc w:val="center"/>
              <w:ind w:right="1340"/>
              <w:spacing w:after="0"/>
              <w:rPr>
                <w:sz w:val="20"/>
                <w:szCs w:val="20"/>
                <w:color w:val="auto"/>
              </w:rPr>
            </w:pPr>
            <w:r>
              <w:rPr>
                <w:rFonts w:ascii="Arial" w:cs="Arial" w:eastAsia="Arial" w:hAnsi="Arial"/>
                <w:sz w:val="16"/>
                <w:szCs w:val="16"/>
                <w:color w:val="auto"/>
              </w:rPr>
              <w:t>COMM</w:t>
            </w:r>
          </w:p>
        </w:tc>
        <w:tc>
          <w:tcPr>
            <w:tcW w:w="3920" w:type="dxa"/>
            <w:vAlign w:val="bottom"/>
          </w:tcPr>
          <w:p>
            <w:pPr>
              <w:jc w:val="center"/>
              <w:ind w:right="1023"/>
              <w:spacing w:after="0"/>
              <w:rPr>
                <w:sz w:val="20"/>
                <w:szCs w:val="20"/>
                <w:color w:val="auto"/>
              </w:rPr>
            </w:pPr>
            <w:r>
              <w:rPr>
                <w:rFonts w:ascii="Arial" w:cs="Arial" w:eastAsia="Arial" w:hAnsi="Arial"/>
                <w:sz w:val="16"/>
                <w:szCs w:val="16"/>
                <w:color w:val="auto"/>
                <w:w w:val="96"/>
              </w:rPr>
              <w:t>The NASDAQ Stock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8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5"/>
        </w:trPr>
        <w:tc>
          <w:tcPr>
            <w:tcW w:w="18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18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144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720"/>
        <w:spacing w:after="0" w:line="27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21, 2023, there were 211,919,401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23"/>
          </w:tcPr>
          <w:p>
            <w:pPr>
              <w:spacing w:after="0"/>
              <w:rPr>
                <w:sz w:val="20"/>
                <w:szCs w:val="20"/>
                <w:color w:val="auto"/>
              </w:rPr>
            </w:pPr>
            <w:r>
              <w:rPr>
                <w:rFonts w:ascii="Arial" w:cs="Arial" w:eastAsia="Arial" w:hAnsi="Arial"/>
                <w:sz w:val="18"/>
                <w:szCs w:val="18"/>
                <w:color w:val="0000FF"/>
              </w:rPr>
              <w:t>Part I—Financial Information (Unaudited):</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0" w:type="dxa"/>
            <w:vAlign w:val="bottom"/>
            <w:gridSpan w:val="21"/>
          </w:tcPr>
          <w:p>
            <w:pPr>
              <w:spacing w:after="0"/>
              <w:rPr>
                <w:sz w:val="20"/>
                <w:szCs w:val="20"/>
                <w:color w:val="auto"/>
              </w:rPr>
            </w:pPr>
            <w:r>
              <w:rPr>
                <w:rFonts w:ascii="Arial" w:cs="Arial" w:eastAsia="Arial" w:hAnsi="Arial"/>
                <w:sz w:val="18"/>
                <w:szCs w:val="18"/>
                <w:color w:val="0000FF"/>
              </w:rPr>
              <w:t>Item 1. Condensed Consolidated Financial Statements: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2480" w:type="dxa"/>
            <w:vAlign w:val="bottom"/>
            <w:gridSpan w:val="7"/>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3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20" w:type="dxa"/>
            <w:vAlign w:val="bottom"/>
            <w:tcBorders>
              <w:top w:val="single" w:sz="8" w:color="0000FF"/>
              <w:bottom w:val="single" w:sz="8" w:color="0000EE"/>
            </w:tcBorders>
          </w:tcPr>
          <w:p>
            <w:pPr>
              <w:spacing w:after="0"/>
              <w:rPr>
                <w:sz w:val="24"/>
                <w:szCs w:val="24"/>
                <w:color w:val="auto"/>
              </w:rPr>
            </w:pPr>
          </w:p>
        </w:tc>
        <w:tc>
          <w:tcPr>
            <w:tcW w:w="1420" w:type="dxa"/>
            <w:vAlign w:val="bottom"/>
            <w:tcBorders>
              <w:top w:val="single" w:sz="8" w:color="0000FF"/>
            </w:tcBorders>
            <w:gridSpan w:val="6"/>
          </w:tcPr>
          <w:p>
            <w:pPr>
              <w:spacing w:after="0"/>
              <w:rPr>
                <w:sz w:val="24"/>
                <w:szCs w:val="24"/>
                <w:color w:val="auto"/>
              </w:rPr>
            </w:pPr>
          </w:p>
        </w:tc>
        <w:tc>
          <w:tcPr>
            <w:tcW w:w="1760" w:type="dxa"/>
            <w:vAlign w:val="bottom"/>
            <w:gridSpan w:val="3"/>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2420" w:type="dxa"/>
            <w:vAlign w:val="bottom"/>
            <w:gridSpan w:val="6"/>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Condensed Consolidated Statements of Stockholders’ Deficit</w:t>
            </w:r>
          </w:p>
        </w:tc>
        <w:tc>
          <w:tcPr>
            <w:tcW w:w="1740" w:type="dxa"/>
            <w:vAlign w:val="bottom"/>
            <w:gridSpan w:val="2"/>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19"/>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3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080" w:type="dxa"/>
            <w:vAlign w:val="bottom"/>
            <w:gridSpan w:val="4"/>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Item 4. Controls and Procedures</w:t>
            </w:r>
          </w:p>
        </w:tc>
        <w:tc>
          <w:tcPr>
            <w:tcW w:w="4680" w:type="dxa"/>
            <w:vAlign w:val="bottom"/>
            <w:gridSpan w:val="13"/>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5"/>
        </w:trPr>
        <w:tc>
          <w:tcPr>
            <w:tcW w:w="7440" w:type="dxa"/>
            <w:vAlign w:val="bottom"/>
            <w:gridSpan w:val="23"/>
          </w:tcPr>
          <w:p>
            <w:pPr>
              <w:spacing w:after="0"/>
              <w:rPr>
                <w:sz w:val="20"/>
                <w:szCs w:val="20"/>
                <w:color w:val="auto"/>
              </w:rPr>
            </w:pPr>
            <w:r>
              <w:rPr>
                <w:rFonts w:ascii="Arial" w:cs="Arial" w:eastAsia="Arial" w:hAnsi="Arial"/>
                <w:sz w:val="18"/>
                <w:szCs w:val="18"/>
                <w:color w:val="0000FF"/>
              </w:rPr>
              <w:t>Part II—Other Information: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0" w:type="dxa"/>
            <w:vAlign w:val="bottom"/>
            <w:gridSpan w:val="21"/>
          </w:tcPr>
          <w:p>
            <w:pPr>
              <w:spacing w:after="0"/>
              <w:rPr>
                <w:sz w:val="20"/>
                <w:szCs w:val="20"/>
                <w:color w:val="auto"/>
              </w:rPr>
            </w:pPr>
            <w:r>
              <w:rPr>
                <w:rFonts w:ascii="Arial" w:cs="Arial" w:eastAsia="Arial" w:hAnsi="Arial"/>
                <w:sz w:val="18"/>
                <w:szCs w:val="18"/>
                <w:color w:val="0000FF"/>
              </w:rPr>
              <w:t>Item 1. Legal Proceedings</w:t>
            </w:r>
          </w:p>
        </w:tc>
        <w:tc>
          <w:tcPr>
            <w:tcW w:w="3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Item 1A. Risk Factors</w:t>
            </w:r>
          </w:p>
        </w:tc>
        <w:tc>
          <w:tcPr>
            <w:tcW w:w="5120" w:type="dxa"/>
            <w:vAlign w:val="bottom"/>
            <w:gridSpan w:val="14"/>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2100" w:type="dxa"/>
            <w:vAlign w:val="bottom"/>
            <w:gridSpan w:val="5"/>
          </w:tcPr>
          <w:p>
            <w:pPr>
              <w:spacing w:after="0"/>
              <w:rPr>
                <w:sz w:val="24"/>
                <w:szCs w:val="24"/>
                <w:color w:val="auto"/>
              </w:rPr>
            </w:pPr>
          </w:p>
        </w:tc>
        <w:tc>
          <w:tcPr>
            <w:tcW w:w="3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3. Defaults Upon Senior Securities</w:t>
            </w:r>
          </w:p>
        </w:tc>
        <w:tc>
          <w:tcPr>
            <w:tcW w:w="4120" w:type="dxa"/>
            <w:vAlign w:val="bottom"/>
            <w:gridSpan w:val="11"/>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Item 4. Mine Safety Disclosures</w:t>
            </w:r>
          </w:p>
        </w:tc>
        <w:tc>
          <w:tcPr>
            <w:tcW w:w="4680" w:type="dxa"/>
            <w:vAlign w:val="bottom"/>
            <w:gridSpan w:val="13"/>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0" w:type="dxa"/>
            <w:vAlign w:val="bottom"/>
            <w:gridSpan w:val="21"/>
          </w:tcPr>
          <w:p>
            <w:pPr>
              <w:spacing w:after="0"/>
              <w:rPr>
                <w:sz w:val="20"/>
                <w:szCs w:val="20"/>
                <w:color w:val="auto"/>
              </w:rPr>
            </w:pPr>
            <w:r>
              <w:rPr>
                <w:rFonts w:ascii="Arial" w:cs="Arial" w:eastAsia="Arial" w:hAnsi="Arial"/>
                <w:sz w:val="18"/>
                <w:szCs w:val="18"/>
                <w:color w:val="0000FF"/>
              </w:rPr>
              <w:t>Item 5. Other Information</w:t>
            </w:r>
          </w:p>
        </w:tc>
        <w:tc>
          <w:tcPr>
            <w:tcW w:w="3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Item 6. Exhibits</w:t>
            </w:r>
          </w:p>
        </w:tc>
        <w:tc>
          <w:tcPr>
            <w:tcW w:w="5140" w:type="dxa"/>
            <w:vAlign w:val="bottom"/>
            <w:gridSpan w:val="15"/>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60" w:type="dxa"/>
            <w:vAlign w:val="bottom"/>
            <w:gridSpan w:val="18"/>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4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3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2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1 – FINANCIAL INFORMATION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(Unaudited – In millions,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360" w:type="dxa"/>
            <w:vAlign w:val="bottom"/>
            <w:gridSpan w:val="6"/>
          </w:tcPr>
          <w:p>
            <w:pPr>
              <w:jc w:val="right"/>
              <w:ind w:right="73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1,918.4</w:t>
            </w:r>
          </w:p>
        </w:tc>
        <w:tc>
          <w:tcPr>
            <w:tcW w:w="1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2,300.2</w:t>
            </w:r>
          </w:p>
        </w:tc>
        <w:tc>
          <w:tcPr>
            <w:tcW w:w="1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3,919.9</w:t>
            </w: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4,528.8</w:t>
            </w:r>
          </w:p>
        </w:tc>
        <w:tc>
          <w:tcPr>
            <w:tcW w:w="140" w:type="dxa"/>
            <w:vAlign w:val="bottom"/>
            <w:shd w:val="clear" w:color="auto" w:fill="CCECFF"/>
          </w:tcPr>
          <w:p>
            <w:pPr>
              <w:spacing w:after="0"/>
              <w:rPr>
                <w:sz w:val="20"/>
                <w:szCs w:val="20"/>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3,209.3</w:t>
            </w:r>
          </w:p>
        </w:tc>
        <w:tc>
          <w:tcPr>
            <w:tcW w:w="140" w:type="dxa"/>
            <w:vAlign w:val="bottom"/>
          </w:tcPr>
          <w:p>
            <w:pPr>
              <w:spacing w:after="0"/>
              <w:rPr>
                <w:sz w:val="21"/>
                <w:szCs w:val="21"/>
                <w:color w:val="auto"/>
              </w:rPr>
            </w:pPr>
          </w:p>
        </w:tc>
      </w:tr>
      <w:tr>
        <w:trPr>
          <w:trHeight w:val="236"/>
        </w:trPr>
        <w:tc>
          <w:tcPr>
            <w:tcW w:w="5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617.2</w:t>
            </w:r>
          </w:p>
        </w:tc>
        <w:tc>
          <w:tcPr>
            <w:tcW w:w="1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683.2</w:t>
            </w:r>
          </w:p>
        </w:tc>
        <w:tc>
          <w:tcPr>
            <w:tcW w:w="1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1,308.9</w:t>
            </w: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1,319.5</w:t>
            </w:r>
          </w:p>
        </w:tc>
        <w:tc>
          <w:tcPr>
            <w:tcW w:w="140" w:type="dxa"/>
            <w:vAlign w:val="bottom"/>
            <w:shd w:val="clear" w:color="auto" w:fill="CCECFF"/>
          </w:tcPr>
          <w:p>
            <w:pPr>
              <w:spacing w:after="0"/>
              <w:rPr>
                <w:sz w:val="20"/>
                <w:szCs w:val="20"/>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7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277.2</w:t>
            </w:r>
          </w:p>
        </w:tc>
        <w:tc>
          <w:tcPr>
            <w:tcW w:w="1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518.4</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563.2</w:t>
            </w:r>
          </w:p>
        </w:tc>
        <w:tc>
          <w:tcPr>
            <w:tcW w:w="140" w:type="dxa"/>
            <w:vAlign w:val="bottom"/>
            <w:shd w:val="clear" w:color="auto" w:fill="CCECFF"/>
          </w:tcPr>
          <w:p>
            <w:pPr>
              <w:spacing w:after="0"/>
              <w:rPr>
                <w:sz w:val="21"/>
                <w:szCs w:val="21"/>
                <w:color w:val="auto"/>
              </w:rPr>
            </w:pPr>
          </w:p>
        </w:tc>
      </w:tr>
      <w:tr>
        <w:trPr>
          <w:trHeight w:val="237"/>
        </w:trPr>
        <w:tc>
          <w:tcPr>
            <w:tcW w:w="57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336.1</w:t>
            </w:r>
          </w:p>
        </w:tc>
        <w:tc>
          <w:tcPr>
            <w:tcW w:w="140" w:type="dxa"/>
            <w:vAlign w:val="bottom"/>
          </w:tcPr>
          <w:p>
            <w:pPr>
              <w:spacing w:after="0"/>
              <w:rPr>
                <w:sz w:val="20"/>
                <w:szCs w:val="20"/>
                <w:color w:val="auto"/>
              </w:rPr>
            </w:pPr>
          </w:p>
        </w:tc>
      </w:tr>
      <w:tr>
        <w:trPr>
          <w:trHeight w:val="249"/>
        </w:trPr>
        <w:tc>
          <w:tcPr>
            <w:tcW w:w="57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Amortization of purchased intangible assets</w:t>
            </w:r>
          </w:p>
        </w:tc>
        <w:tc>
          <w:tcPr>
            <w:tcW w:w="2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139.0</w:t>
            </w:r>
          </w:p>
        </w:tc>
        <w:tc>
          <w:tcPr>
            <w:tcW w:w="1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279.7</w:t>
            </w:r>
          </w:p>
        </w:tc>
        <w:tc>
          <w:tcPr>
            <w:tcW w:w="140" w:type="dxa"/>
            <w:vAlign w:val="bottom"/>
            <w:shd w:val="clear" w:color="auto" w:fill="CCECFF"/>
          </w:tcPr>
          <w:p>
            <w:pPr>
              <w:spacing w:after="0"/>
              <w:rPr>
                <w:sz w:val="21"/>
                <w:szCs w:val="21"/>
                <w:color w:val="auto"/>
              </w:rPr>
            </w:pPr>
          </w:p>
        </w:tc>
      </w:tr>
      <w:tr>
        <w:trPr>
          <w:trHeight w:val="237"/>
        </w:trPr>
        <w:tc>
          <w:tcPr>
            <w:tcW w:w="5700" w:type="dxa"/>
            <w:vAlign w:val="bottom"/>
            <w:tcBorders>
              <w:bottom w:val="single" w:sz="8" w:color="CCECFF"/>
            </w:tcBorders>
          </w:tcPr>
          <w:p>
            <w:pPr>
              <w:ind w:left="120"/>
              <w:spacing w:after="0"/>
              <w:rPr>
                <w:sz w:val="20"/>
                <w:szCs w:val="20"/>
                <w:color w:val="auto"/>
              </w:rPr>
            </w:pPr>
            <w:r>
              <w:rPr>
                <w:rFonts w:ascii="Arial" w:cs="Arial" w:eastAsia="Arial" w:hAnsi="Arial"/>
                <w:sz w:val="18"/>
                <w:szCs w:val="18"/>
                <w:color w:val="auto"/>
              </w:rPr>
              <w:t>Restructuring costs, net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Borders>
              <w:bottom w:val="single" w:sz="8" w:color="CCECFF"/>
            </w:tcBorders>
          </w:tcPr>
          <w:p>
            <w:pPr>
              <w:spacing w:after="0"/>
              <w:rPr>
                <w:sz w:val="20"/>
                <w:szCs w:val="20"/>
                <w:color w:val="auto"/>
              </w:rPr>
            </w:pPr>
          </w:p>
        </w:tc>
        <w:tc>
          <w:tcPr>
            <w:tcW w:w="200" w:type="dxa"/>
            <w:vAlign w:val="bottom"/>
            <w:tcBorders>
              <w:bottom w:val="single" w:sz="8" w:color="CCEC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Borders>
              <w:bottom w:val="single" w:sz="8" w:color="CCECFF"/>
            </w:tcBorders>
          </w:tcPr>
          <w:p>
            <w:pPr>
              <w:spacing w:after="0"/>
              <w:rPr>
                <w:sz w:val="20"/>
                <w:szCs w:val="20"/>
                <w:color w:val="auto"/>
              </w:rPr>
            </w:pPr>
          </w:p>
        </w:tc>
        <w:tc>
          <w:tcPr>
            <w:tcW w:w="220" w:type="dxa"/>
            <w:vAlign w:val="bottom"/>
            <w:tcBorders>
              <w:bottom w:val="single" w:sz="8" w:color="CCEC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CFF"/>
            </w:tcBorders>
          </w:tcPr>
          <w:p>
            <w:pPr>
              <w:spacing w:after="0"/>
              <w:rPr>
                <w:sz w:val="20"/>
                <w:szCs w:val="20"/>
                <w:color w:val="auto"/>
              </w:rPr>
            </w:pPr>
          </w:p>
        </w:tc>
        <w:tc>
          <w:tcPr>
            <w:tcW w:w="140" w:type="dxa"/>
            <w:vAlign w:val="bottom"/>
            <w:tcBorders>
              <w:bottom w:val="single" w:sz="8" w:color="CCEC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bottom w:val="single" w:sz="8" w:color="CCECFF"/>
            </w:tcBorders>
          </w:tcPr>
          <w:p>
            <w:pPr>
              <w:spacing w:after="0"/>
              <w:rPr>
                <w:sz w:val="20"/>
                <w:szCs w:val="20"/>
                <w:color w:val="auto"/>
              </w:rPr>
            </w:pPr>
          </w:p>
        </w:tc>
      </w:tr>
      <w:tr>
        <w:trPr>
          <w:trHeight w:val="243"/>
        </w:trPr>
        <w:tc>
          <w:tcPr>
            <w:tcW w:w="5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545.0</w:t>
            </w:r>
          </w:p>
        </w:tc>
        <w:tc>
          <w:tcPr>
            <w:tcW w:w="14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620.1</w:t>
            </w:r>
          </w:p>
        </w:tc>
        <w:tc>
          <w:tcPr>
            <w:tcW w:w="1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1,084.2</w:t>
            </w: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1,229.6</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20"/>
                <w:szCs w:val="20"/>
                <w:color w:val="auto"/>
              </w:rPr>
            </w:pPr>
          </w:p>
        </w:tc>
      </w:tr>
      <w:tr>
        <w:trPr>
          <w:trHeight w:val="249"/>
        </w:trPr>
        <w:tc>
          <w:tcPr>
            <w:tcW w:w="5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CFF"/>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(168.5 )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(140.1 )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(333.6 )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(276.6 )</w:t>
            </w:r>
          </w:p>
        </w:tc>
      </w:tr>
      <w:tr>
        <w:trPr>
          <w:trHeight w:val="249"/>
        </w:trPr>
        <w:tc>
          <w:tcPr>
            <w:tcW w:w="5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(92.0 )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(75.5 )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(96.4 )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(184.5 )</w:t>
            </w:r>
          </w:p>
        </w:tc>
      </w:tr>
      <w:tr>
        <w:trPr>
          <w:trHeight w:val="249"/>
        </w:trPr>
        <w:tc>
          <w:tcPr>
            <w:tcW w:w="5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(8.4 )</w:t>
            </w: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(0.6 )</w:t>
            </w: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(16.4 )</w:t>
            </w:r>
          </w:p>
        </w:tc>
      </w:tr>
      <w:tr>
        <w:trPr>
          <w:trHeight w:val="20"/>
        </w:trPr>
        <w:tc>
          <w:tcPr>
            <w:tcW w:w="57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(100.4 )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(61.0 )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(97.0 )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(200.9 )</w:t>
            </w:r>
          </w:p>
        </w:tc>
      </w:tr>
      <w:tr>
        <w:trPr>
          <w:trHeight w:val="249"/>
        </w:trPr>
        <w:tc>
          <w:tcPr>
            <w:tcW w:w="5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Series A convertible preferred stock dividends</w:t>
            </w:r>
          </w:p>
        </w:tc>
        <w:tc>
          <w:tcPr>
            <w:tcW w:w="24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(15.3 )</w:t>
            </w: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(14.7 )</w:t>
            </w: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(30.4 )</w:t>
            </w: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(29.2 )</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7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(0.55 )</w:t>
            </w: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(0.36 )</w:t>
            </w: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(0.61 )</w:t>
            </w: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(1.11 )</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(0.55 )</w:t>
            </w:r>
          </w:p>
        </w:tc>
        <w:tc>
          <w:tcPr>
            <w:tcW w:w="2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(0.36 )</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(0.61 )</w:t>
            </w:r>
          </w:p>
        </w:tc>
        <w:tc>
          <w:tcPr>
            <w:tcW w:w="1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(1.11 )</w:t>
            </w:r>
          </w:p>
        </w:tc>
      </w:tr>
      <w:tr>
        <w:trPr>
          <w:trHeight w:val="249"/>
        </w:trPr>
        <w:tc>
          <w:tcPr>
            <w:tcW w:w="57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206.5</w:t>
            </w:r>
          </w:p>
        </w:tc>
        <w:tc>
          <w:tcPr>
            <w:tcW w:w="140" w:type="dxa"/>
            <w:vAlign w:val="bottom"/>
            <w:shd w:val="clear" w:color="auto" w:fill="CCECFF"/>
          </w:tcPr>
          <w:p>
            <w:pPr>
              <w:spacing w:after="0"/>
              <w:rPr>
                <w:sz w:val="21"/>
                <w:szCs w:val="2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206.5</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-2849880</wp:posOffset>
            </wp:positionV>
            <wp:extent cx="7145020" cy="338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-2048510</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-2048510</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-2048510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-2048510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-1731645</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-1731645</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-1731645</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-1731645</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Pr>
          <w:p>
            <w:pPr>
              <w:spacing w:after="0"/>
              <w:rPr>
                <w:sz w:val="14"/>
                <w:szCs w:val="14"/>
                <w:color w:val="auto"/>
              </w:rPr>
            </w:pPr>
          </w:p>
        </w:tc>
      </w:tr>
      <w:tr>
        <w:trPr>
          <w:trHeight w:val="236"/>
        </w:trPr>
        <w:tc>
          <w:tcPr>
            <w:tcW w:w="5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68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237"/>
        </w:trPr>
        <w:tc>
          <w:tcPr>
            <w:tcW w:w="57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(61.0 )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(97.0 )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(200.9 )</w:t>
            </w:r>
          </w:p>
        </w:tc>
      </w:tr>
      <w:tr>
        <w:trPr>
          <w:trHeight w:val="249"/>
        </w:trPr>
        <w:tc>
          <w:tcPr>
            <w:tcW w:w="57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(93.7 )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(110.4 )</w:t>
            </w:r>
          </w:p>
        </w:tc>
      </w:tr>
      <w:tr>
        <w:trPr>
          <w:trHeight w:val="249"/>
        </w:trPr>
        <w:tc>
          <w:tcPr>
            <w:tcW w:w="57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Pension and other postretirement benefit activity</w:t>
            </w:r>
          </w:p>
        </w:tc>
        <w:tc>
          <w:tcPr>
            <w:tcW w:w="24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(0.1 )</w:t>
            </w:r>
          </w:p>
        </w:tc>
        <w:tc>
          <w:tcPr>
            <w:tcW w:w="40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Gain (loss) on hedging instruments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(0.5 )</w:t>
            </w: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1"/>
                <w:szCs w:val="21"/>
                <w:color w:val="auto"/>
              </w:rPr>
            </w:pPr>
          </w:p>
        </w:tc>
      </w:tr>
      <w:tr>
        <w:trPr>
          <w:trHeight w:val="237"/>
        </w:trPr>
        <w:tc>
          <w:tcPr>
            <w:tcW w:w="578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tcBorders>
              <w:top w:val="single" w:sz="8" w:color="auto"/>
              <w:bottom w:val="single" w:sz="8" w:color="auto"/>
            </w:tcBorders>
            <w:shd w:val="clear" w:color="auto" w:fill="CCECFF"/>
          </w:tcPr>
          <w:p>
            <w:pPr>
              <w:spacing w:after="0"/>
              <w:rPr>
                <w:sz w:val="20"/>
                <w:szCs w:val="20"/>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top w:val="single" w:sz="8" w:color="auto"/>
              <w:bottom w:val="single" w:sz="8" w:color="auto"/>
            </w:tcBorders>
            <w:shd w:val="clear" w:color="auto" w:fill="CCECFF"/>
          </w:tcPr>
          <w:p>
            <w:pPr>
              <w:spacing w:after="0"/>
              <w:rPr>
                <w:sz w:val="20"/>
                <w:szCs w:val="20"/>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(90.7</w:t>
            </w:r>
          </w:p>
        </w:tc>
        <w:tc>
          <w:tcPr>
            <w:tcW w:w="34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CFF"/>
          </w:tcPr>
          <w:p>
            <w:pPr>
              <w:spacing w:after="0"/>
              <w:rPr>
                <w:sz w:val="20"/>
                <w:szCs w:val="20"/>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CCECFF"/>
            </w:tcBorders>
            <w:shd w:val="clear" w:color="auto" w:fill="CCECFF"/>
          </w:tcPr>
          <w:p>
            <w:pPr>
              <w:spacing w:after="0"/>
              <w:rPr>
                <w:sz w:val="20"/>
                <w:szCs w:val="20"/>
                <w:color w:val="auto"/>
              </w:rPr>
            </w:pPr>
          </w:p>
        </w:tc>
        <w:tc>
          <w:tcPr>
            <w:tcW w:w="400" w:type="dxa"/>
            <w:vAlign w:val="bottom"/>
            <w:tcBorders>
              <w:top w:val="single" w:sz="8" w:color="auto"/>
              <w:bottom w:val="single" w:sz="8" w:color="auto"/>
            </w:tcBorders>
            <w:shd w:val="clear" w:color="auto" w:fill="CCECFF"/>
          </w:tcPr>
          <w:p>
            <w:pPr>
              <w:spacing w:after="0"/>
              <w:rPr>
                <w:sz w:val="20"/>
                <w:szCs w:val="20"/>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(99.1 )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(151.7 )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(76.9 )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(300.8 )</w:t>
            </w: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-187960</wp:posOffset>
            </wp:positionV>
            <wp:extent cx="8572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85725"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85725"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497205"/>
                    </a:xfrm>
                    <a:prstGeom prst="rect">
                      <a:avLst/>
                    </a:prstGeom>
                    <a:noFill/>
                  </pic:spPr>
                </pic:pic>
              </a:graphicData>
            </a:graphic>
          </wp:anchor>
        </w:drawing>
      </w: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83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50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5"/>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CECFF"/>
          </w:tcPr>
          <w:p>
            <w:pPr>
              <w:ind w:left="34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CFF"/>
          </w:tcPr>
          <w:p>
            <w:pPr>
              <w:spacing w:after="0"/>
              <w:rPr>
                <w:sz w:val="20"/>
                <w:szCs w:val="20"/>
                <w:color w:val="auto"/>
              </w:rPr>
            </w:pPr>
          </w:p>
        </w:tc>
        <w:tc>
          <w:tcPr>
            <w:tcW w:w="1400" w:type="dxa"/>
            <w:vAlign w:val="bottom"/>
            <w:tcBorders>
              <w:top w:val="single" w:sz="8" w:color="auto"/>
            </w:tcBorders>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1360" w:type="dxa"/>
            <w:vAlign w:val="bottom"/>
            <w:tcBorders>
              <w:top w:val="single" w:sz="8" w:color="auto"/>
            </w:tcBorders>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418.1</w:t>
            </w: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receivable, net of allowance for doubtful accounts</w:t>
            </w:r>
          </w:p>
        </w:tc>
        <w:tc>
          <w:tcPr>
            <w:tcW w:w="280" w:type="dxa"/>
            <w:vAlign w:val="bottom"/>
            <w:shd w:val="clear" w:color="auto" w:fill="CCECFF"/>
          </w:tcPr>
          <w:p>
            <w:pPr>
              <w:spacing w:after="0"/>
              <w:rPr>
                <w:sz w:val="19"/>
                <w:szCs w:val="19"/>
                <w:color w:val="auto"/>
              </w:rPr>
            </w:pPr>
          </w:p>
        </w:tc>
        <w:tc>
          <w:tcPr>
            <w:tcW w:w="140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3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2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of $63.0 and $82.8, respectively</w:t>
            </w:r>
          </w:p>
        </w:tc>
        <w:tc>
          <w:tcPr>
            <w:tcW w:w="280" w:type="dxa"/>
            <w:vAlign w:val="bottom"/>
            <w:shd w:val="clear" w:color="auto" w:fill="CCECFF"/>
          </w:tcPr>
          <w:p>
            <w:pPr>
              <w:spacing w:after="0"/>
              <w:rPr>
                <w:sz w:val="21"/>
                <w:szCs w:val="21"/>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1,354.1</w:t>
            </w: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1,523.6</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1,454.2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CFF"/>
          </w:tcPr>
          <w:p>
            <w:pPr>
              <w:spacing w:after="0"/>
              <w:rPr>
                <w:sz w:val="21"/>
                <w:szCs w:val="21"/>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198.5</w:t>
            </w:r>
          </w:p>
        </w:tc>
        <w:tc>
          <w:tcPr>
            <w:tcW w:w="4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216.4</w:t>
            </w:r>
          </w:p>
        </w:tc>
        <w:tc>
          <w:tcPr>
            <w:tcW w:w="1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3,424.9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3,726.2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Property, plant and equipment, net of accumulated depreciation</w:t>
            </w:r>
          </w:p>
        </w:tc>
        <w:tc>
          <w:tcPr>
            <w:tcW w:w="280" w:type="dxa"/>
            <w:vAlign w:val="bottom"/>
            <w:shd w:val="clear" w:color="auto" w:fill="CCECFF"/>
          </w:tcPr>
          <w:p>
            <w:pPr>
              <w:spacing w:after="0"/>
              <w:rPr>
                <w:sz w:val="19"/>
                <w:szCs w:val="19"/>
                <w:color w:val="auto"/>
              </w:rPr>
            </w:pPr>
          </w:p>
        </w:tc>
        <w:tc>
          <w:tcPr>
            <w:tcW w:w="140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3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2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of $908.9 and $873.5, respectively</w:t>
            </w:r>
          </w:p>
        </w:tc>
        <w:tc>
          <w:tcPr>
            <w:tcW w:w="280" w:type="dxa"/>
            <w:vAlign w:val="bottom"/>
            <w:shd w:val="clear" w:color="auto" w:fill="CCECFF"/>
          </w:tcPr>
          <w:p>
            <w:pPr>
              <w:spacing w:after="0"/>
              <w:rPr>
                <w:sz w:val="21"/>
                <w:szCs w:val="21"/>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565.8</w:t>
            </w: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609.6</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4,079.2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CFF"/>
          </w:tcPr>
          <w:p>
            <w:pPr>
              <w:spacing w:after="0"/>
              <w:rPr>
                <w:sz w:val="21"/>
                <w:szCs w:val="21"/>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2,246.3</w:t>
            </w: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2,473.5</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5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11,165.7</w:t>
            </w:r>
          </w:p>
        </w:tc>
        <w:tc>
          <w:tcPr>
            <w:tcW w:w="40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11,685.4</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520" w:type="dxa"/>
            <w:vAlign w:val="bottom"/>
          </w:tcPr>
          <w:p>
            <w:pPr>
              <w:ind w:left="2320"/>
              <w:spacing w:after="0"/>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782.7</w:t>
            </w: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1,025.5</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906.9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CCECFF"/>
          </w:tcPr>
          <w:p>
            <w:pPr>
              <w:spacing w:after="0"/>
              <w:rPr>
                <w:sz w:val="21"/>
                <w:szCs w:val="21"/>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4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1,721.6</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CFF"/>
          </w:tcPr>
          <w:p>
            <w:pPr>
              <w:spacing w:after="0"/>
              <w:rPr>
                <w:sz w:val="21"/>
                <w:szCs w:val="21"/>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9,380.9</w:t>
            </w: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9,469.6</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156.4</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CFF"/>
          </w:tcPr>
          <w:p>
            <w:pPr>
              <w:spacing w:after="0"/>
              <w:rPr>
                <w:sz w:val="21"/>
                <w:szCs w:val="21"/>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391.9</w:t>
            </w:r>
          </w:p>
        </w:tc>
        <w:tc>
          <w:tcPr>
            <w:tcW w:w="4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380.6</w:t>
            </w:r>
          </w:p>
        </w:tc>
        <w:tc>
          <w:tcPr>
            <w:tcW w:w="1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11,650.8</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CFF"/>
          </w:tcPr>
          <w:p>
            <w:pPr>
              <w:spacing w:after="0"/>
              <w:rPr>
                <w:sz w:val="21"/>
                <w:szCs w:val="21"/>
                <w:color w:val="auto"/>
              </w:rPr>
            </w:pPr>
          </w:p>
        </w:tc>
        <w:tc>
          <w:tcPr>
            <w:tcW w:w="140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Series A convertible preferred stock, $0.01 par value</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1,130.8</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shd w:val="clear" w:color="auto" w:fill="CCECFF"/>
          </w:tcPr>
          <w:p>
            <w:pPr>
              <w:spacing w:after="0"/>
              <w:rPr>
                <w:sz w:val="21"/>
                <w:szCs w:val="21"/>
                <w:color w:val="auto"/>
              </w:rPr>
            </w:pPr>
          </w:p>
        </w:tc>
        <w:tc>
          <w:tcPr>
            <w:tcW w:w="140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20"/>
              <w:spacing w:after="0"/>
              <w:rPr>
                <w:sz w:val="20"/>
                <w:szCs w:val="20"/>
                <w:color w:val="auto"/>
              </w:rPr>
            </w:pPr>
            <w:r>
              <w:rPr>
                <w:rFonts w:ascii="Arial" w:cs="Arial" w:eastAsia="Arial" w:hAnsi="Arial"/>
                <w:sz w:val="18"/>
                <w:szCs w:val="18"/>
                <w:color w:val="auto"/>
              </w:rPr>
              <w:t>Preferred stock, $0.01 par value: Authorized shares: 200,000,000;</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520" w:type="dxa"/>
            <w:vAlign w:val="bottom"/>
          </w:tcPr>
          <w:p>
            <w:pPr>
              <w:ind w:left="200"/>
              <w:spacing w:after="0"/>
              <w:rPr>
                <w:sz w:val="20"/>
                <w:szCs w:val="20"/>
                <w:color w:val="auto"/>
              </w:rPr>
            </w:pPr>
            <w:r>
              <w:rPr>
                <w:rFonts w:ascii="Arial" w:cs="Arial" w:eastAsia="Arial" w:hAnsi="Arial"/>
                <w:sz w:val="18"/>
                <w:szCs w:val="18"/>
                <w:color w:val="auto"/>
              </w:rPr>
              <w:t>Issued and outstanding shares: 1,130,776 and 1,100,310, respectively,</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Series A convertible preferred stock</w:t>
            </w:r>
          </w:p>
        </w:tc>
        <w:tc>
          <w:tcPr>
            <w:tcW w:w="280" w:type="dxa"/>
            <w:vAlign w:val="bottom"/>
          </w:tcPr>
          <w:p>
            <w:pPr>
              <w:spacing w:after="0"/>
              <w:rPr>
                <w:sz w:val="20"/>
                <w:szCs w:val="20"/>
                <w:color w:val="auto"/>
              </w:rPr>
            </w:pPr>
          </w:p>
        </w:tc>
        <w:tc>
          <w:tcPr>
            <w:tcW w:w="18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Common stock, $0.01 par value: Authorized shares: 1,300,000,000;</w:t>
            </w:r>
          </w:p>
        </w:tc>
        <w:tc>
          <w:tcPr>
            <w:tcW w:w="280" w:type="dxa"/>
            <w:vAlign w:val="bottom"/>
            <w:shd w:val="clear" w:color="auto" w:fill="CCECFF"/>
          </w:tcPr>
          <w:p>
            <w:pPr>
              <w:spacing w:after="0"/>
              <w:rPr>
                <w:sz w:val="19"/>
                <w:szCs w:val="19"/>
                <w:color w:val="auto"/>
              </w:rPr>
            </w:pPr>
          </w:p>
        </w:tc>
        <w:tc>
          <w:tcPr>
            <w:tcW w:w="140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3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Issued and outstanding shares: 211,912,464 and 208,371,426, respectively</w:t>
            </w:r>
          </w:p>
        </w:tc>
        <w:tc>
          <w:tcPr>
            <w:tcW w:w="280" w:type="dxa"/>
            <w:vAlign w:val="bottom"/>
            <w:shd w:val="clear" w:color="auto" w:fill="CCECFF"/>
          </w:tcPr>
          <w:p>
            <w:pPr>
              <w:spacing w:after="0"/>
              <w:rPr>
                <w:sz w:val="21"/>
                <w:szCs w:val="21"/>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2,558.7</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CFF"/>
          </w:tcPr>
          <w:p>
            <w:pPr>
              <w:spacing w:after="0"/>
              <w:rPr>
                <w:sz w:val="21"/>
                <w:szCs w:val="21"/>
                <w:color w:val="auto"/>
              </w:rPr>
            </w:pPr>
          </w:p>
        </w:tc>
        <w:tc>
          <w:tcPr>
            <w:tcW w:w="1800" w:type="dxa"/>
            <w:vAlign w:val="bottom"/>
            <w:gridSpan w:val="2"/>
            <w:shd w:val="clear" w:color="auto" w:fill="CCECFF"/>
          </w:tcPr>
          <w:p>
            <w:pPr>
              <w:jc w:val="right"/>
              <w:ind w:right="230"/>
              <w:spacing w:after="0"/>
              <w:rPr>
                <w:sz w:val="20"/>
                <w:szCs w:val="20"/>
                <w:color w:val="auto"/>
              </w:rPr>
            </w:pPr>
            <w:r>
              <w:rPr>
                <w:rFonts w:ascii="Arial" w:cs="Arial" w:eastAsia="Arial" w:hAnsi="Arial"/>
                <w:sz w:val="18"/>
                <w:szCs w:val="18"/>
                <w:color w:val="auto"/>
              </w:rPr>
              <w:t>(3,599.2 )</w:t>
            </w:r>
          </w:p>
        </w:tc>
        <w:tc>
          <w:tcPr>
            <w:tcW w:w="140" w:type="dxa"/>
            <w:vAlign w:val="bottom"/>
            <w:shd w:val="clear" w:color="auto" w:fill="CCECFF"/>
          </w:tcPr>
          <w:p>
            <w:pPr>
              <w:spacing w:after="0"/>
              <w:rPr>
                <w:sz w:val="21"/>
                <w:szCs w:val="21"/>
                <w:color w:val="auto"/>
              </w:rPr>
            </w:pPr>
          </w:p>
        </w:tc>
        <w:tc>
          <w:tcPr>
            <w:tcW w:w="15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(3,502.2 )</w:t>
            </w:r>
          </w:p>
        </w:tc>
        <w:tc>
          <w:tcPr>
            <w:tcW w:w="0" w:type="dxa"/>
            <w:vAlign w:val="bottom"/>
          </w:tcPr>
          <w:p>
            <w:pPr>
              <w:spacing w:after="0"/>
              <w:rPr>
                <w:sz w:val="1"/>
                <w:szCs w:val="1"/>
                <w:color w:val="auto"/>
              </w:rPr>
            </w:pPr>
          </w:p>
        </w:tc>
      </w:tr>
      <w:tr>
        <w:trPr>
          <w:trHeight w:val="237"/>
        </w:trPr>
        <w:tc>
          <w:tcPr>
            <w:tcW w:w="752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(276.2 )</w:t>
            </w:r>
          </w:p>
        </w:tc>
        <w:tc>
          <w:tcPr>
            <w:tcW w:w="1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(296.3 )</w:t>
            </w:r>
          </w:p>
        </w:tc>
        <w:tc>
          <w:tcPr>
            <w:tcW w:w="0" w:type="dxa"/>
            <w:vAlign w:val="bottom"/>
          </w:tcPr>
          <w:p>
            <w:pPr>
              <w:spacing w:after="0"/>
              <w:rPr>
                <w:sz w:val="1"/>
                <w:szCs w:val="1"/>
                <w:color w:val="auto"/>
              </w:rPr>
            </w:pPr>
          </w:p>
        </w:tc>
      </w:tr>
      <w:tr>
        <w:trPr>
          <w:trHeight w:val="221"/>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Treasury stock, at cost: 14,342,757 shares and</w:t>
            </w:r>
          </w:p>
        </w:tc>
        <w:tc>
          <w:tcPr>
            <w:tcW w:w="280" w:type="dxa"/>
            <w:vAlign w:val="bottom"/>
            <w:shd w:val="clear" w:color="auto" w:fill="CCECFF"/>
          </w:tcPr>
          <w:p>
            <w:pPr>
              <w:spacing w:after="0"/>
              <w:rPr>
                <w:sz w:val="19"/>
                <w:szCs w:val="19"/>
                <w:color w:val="auto"/>
              </w:rPr>
            </w:pPr>
          </w:p>
        </w:tc>
        <w:tc>
          <w:tcPr>
            <w:tcW w:w="140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3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12,726,695 shares, respectively</w:t>
            </w:r>
          </w:p>
        </w:tc>
        <w:tc>
          <w:tcPr>
            <w:tcW w:w="280" w:type="dxa"/>
            <w:vAlign w:val="bottom"/>
            <w:shd w:val="clear" w:color="auto" w:fill="CCECFF"/>
          </w:tcPr>
          <w:p>
            <w:pPr>
              <w:spacing w:after="0"/>
              <w:rPr>
                <w:sz w:val="21"/>
                <w:szCs w:val="21"/>
                <w:color w:val="auto"/>
              </w:rPr>
            </w:pPr>
          </w:p>
        </w:tc>
        <w:tc>
          <w:tcPr>
            <w:tcW w:w="1800" w:type="dxa"/>
            <w:vAlign w:val="bottom"/>
            <w:gridSpan w:val="2"/>
            <w:shd w:val="clear" w:color="auto" w:fill="CCECFF"/>
          </w:tcPr>
          <w:p>
            <w:pPr>
              <w:jc w:val="right"/>
              <w:ind w:right="230"/>
              <w:spacing w:after="0"/>
              <w:rPr>
                <w:sz w:val="20"/>
                <w:szCs w:val="20"/>
                <w:color w:val="auto"/>
              </w:rPr>
            </w:pPr>
            <w:r>
              <w:rPr>
                <w:rFonts w:ascii="Arial" w:cs="Arial" w:eastAsia="Arial" w:hAnsi="Arial"/>
                <w:sz w:val="18"/>
                <w:szCs w:val="18"/>
                <w:color w:val="auto"/>
              </w:rPr>
              <w:t>(301.5 )</w:t>
            </w:r>
          </w:p>
        </w:tc>
        <w:tc>
          <w:tcPr>
            <w:tcW w:w="140" w:type="dxa"/>
            <w:vAlign w:val="bottom"/>
            <w:shd w:val="clear" w:color="auto" w:fill="CCECFF"/>
          </w:tcPr>
          <w:p>
            <w:pPr>
              <w:spacing w:after="0"/>
              <w:rPr>
                <w:sz w:val="21"/>
                <w:szCs w:val="21"/>
                <w:color w:val="auto"/>
              </w:rPr>
            </w:pPr>
          </w:p>
        </w:tc>
        <w:tc>
          <w:tcPr>
            <w:tcW w:w="15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(292.6 )</w:t>
            </w:r>
          </w:p>
        </w:tc>
        <w:tc>
          <w:tcPr>
            <w:tcW w:w="0" w:type="dxa"/>
            <w:vAlign w:val="bottom"/>
          </w:tcPr>
          <w:p>
            <w:pPr>
              <w:spacing w:after="0"/>
              <w:rPr>
                <w:sz w:val="1"/>
                <w:szCs w:val="1"/>
                <w:color w:val="auto"/>
              </w:rPr>
            </w:pPr>
          </w:p>
        </w:tc>
      </w:tr>
      <w:tr>
        <w:trPr>
          <w:trHeight w:val="230"/>
        </w:trPr>
        <w:tc>
          <w:tcPr>
            <w:tcW w:w="7520" w:type="dxa"/>
            <w:vAlign w:val="bottom"/>
          </w:tcPr>
          <w:p>
            <w:pPr>
              <w:ind w:left="20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(1,615.9</w:t>
            </w:r>
          </w:p>
        </w:tc>
        <w:tc>
          <w:tcPr>
            <w:tcW w:w="40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75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liabilities and stockholders' deficit</w:t>
            </w: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11,165.7</w:t>
            </w:r>
          </w:p>
        </w:tc>
        <w:tc>
          <w:tcPr>
            <w:tcW w:w="40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11,685.4</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-4825365</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-4825365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-3745230</wp:posOffset>
            </wp:positionV>
            <wp:extent cx="129476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4765"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-3102610</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-3102610</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-2476500</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-2476500</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-363220</wp:posOffset>
            </wp:positionV>
            <wp:extent cx="1320165"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165" cy="1968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8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r>
      <w:tr>
        <w:trPr>
          <w:trHeight w:val="237"/>
        </w:trPr>
        <w:tc>
          <w:tcPr>
            <w:tcW w:w="83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CFF"/>
          </w:tcPr>
          <w:p>
            <w:pPr>
              <w:spacing w:after="0"/>
              <w:rPr>
                <w:sz w:val="20"/>
                <w:szCs w:val="20"/>
                <w:color w:val="auto"/>
              </w:rPr>
            </w:pPr>
          </w:p>
        </w:tc>
        <w:tc>
          <w:tcPr>
            <w:tcW w:w="92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7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237"/>
        </w:trPr>
        <w:tc>
          <w:tcPr>
            <w:tcW w:w="83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1"/>
              <w:spacing w:after="0"/>
              <w:rPr>
                <w:sz w:val="20"/>
                <w:szCs w:val="20"/>
                <w:color w:val="auto"/>
              </w:rPr>
            </w:pPr>
            <w:r>
              <w:rPr>
                <w:rFonts w:ascii="Arial" w:cs="Arial" w:eastAsia="Arial" w:hAnsi="Arial"/>
                <w:sz w:val="18"/>
                <w:szCs w:val="18"/>
                <w:color w:val="auto"/>
              </w:rPr>
              <w:t>(97.0 )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(200.9 )</w:t>
            </w:r>
          </w:p>
        </w:tc>
      </w:tr>
      <w:tr>
        <w:trPr>
          <w:trHeight w:val="249"/>
        </w:trPr>
        <w:tc>
          <w:tcPr>
            <w:tcW w:w="83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Adjustments to reconcile net loss to net cash generated by (used in) operating activities:</w:t>
            </w: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8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303.5</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356.3</w:t>
            </w:r>
          </w:p>
        </w:tc>
        <w:tc>
          <w:tcPr>
            <w:tcW w:w="140" w:type="dxa"/>
            <w:vAlign w:val="bottom"/>
          </w:tcPr>
          <w:p>
            <w:pPr>
              <w:spacing w:after="0"/>
              <w:rPr>
                <w:sz w:val="20"/>
                <w:szCs w:val="20"/>
                <w:color w:val="auto"/>
              </w:rPr>
            </w:pPr>
          </w:p>
        </w:tc>
      </w:tr>
      <w:tr>
        <w:trPr>
          <w:trHeight w:val="249"/>
        </w:trPr>
        <w:tc>
          <w:tcPr>
            <w:tcW w:w="83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CFF"/>
          </w:tcPr>
          <w:p>
            <w:pPr>
              <w:spacing w:after="0"/>
              <w:rPr>
                <w:sz w:val="21"/>
                <w:szCs w:val="21"/>
                <w:color w:val="auto"/>
              </w:rPr>
            </w:pPr>
          </w:p>
        </w:tc>
      </w:tr>
      <w:tr>
        <w:trPr>
          <w:trHeight w:val="237"/>
        </w:trPr>
        <w:tc>
          <w:tcPr>
            <w:tcW w:w="83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Arial" w:cs="Arial" w:eastAsia="Arial" w:hAnsi="Arial"/>
                <w:sz w:val="18"/>
                <w:szCs w:val="18"/>
                <w:color w:val="auto"/>
              </w:rPr>
              <w:t>(61.9 )</w:t>
            </w:r>
          </w:p>
        </w:tc>
        <w:tc>
          <w:tcPr>
            <w:tcW w:w="4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(26.2 )</w:t>
            </w:r>
          </w:p>
        </w:tc>
      </w:tr>
      <w:tr>
        <w:trPr>
          <w:trHeight w:val="249"/>
        </w:trPr>
        <w:tc>
          <w:tcPr>
            <w:tcW w:w="83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174.4</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(86.4 )</w:t>
            </w:r>
          </w:p>
        </w:tc>
      </w:tr>
      <w:tr>
        <w:trPr>
          <w:trHeight w:val="249"/>
        </w:trPr>
        <w:tc>
          <w:tcPr>
            <w:tcW w:w="83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135.6</w:t>
            </w: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(151.4 )</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r>
      <w:tr>
        <w:trPr>
          <w:trHeight w:val="249"/>
        </w:trPr>
        <w:tc>
          <w:tcPr>
            <w:tcW w:w="83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8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221"/>
              <w:spacing w:after="0"/>
              <w:rPr>
                <w:sz w:val="20"/>
                <w:szCs w:val="20"/>
                <w:color w:val="auto"/>
              </w:rPr>
            </w:pPr>
            <w:r>
              <w:rPr>
                <w:rFonts w:ascii="Arial" w:cs="Arial" w:eastAsia="Arial" w:hAnsi="Arial"/>
                <w:sz w:val="18"/>
                <w:szCs w:val="18"/>
                <w:color w:val="auto"/>
              </w:rPr>
              <w:t>(411.2 )</w:t>
            </w:r>
          </w:p>
        </w:tc>
        <w:tc>
          <w:tcPr>
            <w:tcW w:w="4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(28.8 )</w:t>
            </w:r>
          </w:p>
        </w:tc>
      </w:tr>
      <w:tr>
        <w:trPr>
          <w:trHeight w:val="243"/>
        </w:trPr>
        <w:tc>
          <w:tcPr>
            <w:tcW w:w="836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37"/>
        </w:trPr>
        <w:tc>
          <w:tcPr>
            <w:tcW w:w="8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generated by (used in) operating activities</w:t>
            </w:r>
          </w:p>
        </w:tc>
        <w:tc>
          <w:tcPr>
            <w:tcW w:w="280" w:type="dxa"/>
            <w:vAlign w:val="bottom"/>
            <w:tcBorders>
              <w:top w:val="single" w:sz="8" w:color="auto"/>
            </w:tcBorders>
            <w:shd w:val="clear" w:color="auto" w:fill="CCECFF"/>
          </w:tcPr>
          <w:p>
            <w:pPr>
              <w:spacing w:after="0"/>
              <w:rPr>
                <w:sz w:val="20"/>
                <w:szCs w:val="20"/>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90.7</w:t>
            </w:r>
          </w:p>
        </w:tc>
        <w:tc>
          <w:tcPr>
            <w:tcW w:w="360" w:type="dxa"/>
            <w:vAlign w:val="bottom"/>
            <w:shd w:val="clear" w:color="auto" w:fill="CCECFF"/>
          </w:tcPr>
          <w:p>
            <w:pPr>
              <w:spacing w:after="0"/>
              <w:rPr>
                <w:sz w:val="20"/>
                <w:szCs w:val="20"/>
                <w:color w:val="auto"/>
              </w:rPr>
            </w:pPr>
          </w:p>
        </w:tc>
        <w:tc>
          <w:tcPr>
            <w:tcW w:w="420" w:type="dxa"/>
            <w:vAlign w:val="bottom"/>
            <w:tcBorders>
              <w:top w:val="single" w:sz="8" w:color="auto"/>
            </w:tcBorders>
            <w:shd w:val="clear" w:color="auto" w:fill="CCECFF"/>
          </w:tcPr>
          <w:p>
            <w:pPr>
              <w:spacing w:after="0"/>
              <w:rPr>
                <w:sz w:val="20"/>
                <w:szCs w:val="20"/>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(109.1</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83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221"/>
              <w:spacing w:after="0"/>
              <w:rPr>
                <w:sz w:val="20"/>
                <w:szCs w:val="20"/>
                <w:color w:val="auto"/>
              </w:rPr>
            </w:pPr>
            <w:r>
              <w:rPr>
                <w:rFonts w:ascii="Arial" w:cs="Arial" w:eastAsia="Arial" w:hAnsi="Arial"/>
                <w:sz w:val="18"/>
                <w:szCs w:val="18"/>
                <w:color w:val="auto"/>
              </w:rPr>
              <w:t>(35.2 )</w:t>
            </w:r>
          </w:p>
        </w:tc>
        <w:tc>
          <w:tcPr>
            <w:tcW w:w="4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(55.1 )</w:t>
            </w:r>
          </w:p>
        </w:tc>
      </w:tr>
      <w:tr>
        <w:trPr>
          <w:trHeight w:val="237"/>
        </w:trPr>
        <w:tc>
          <w:tcPr>
            <w:tcW w:w="8360" w:type="dxa"/>
            <w:vAlign w:val="bottom"/>
          </w:tcPr>
          <w:p>
            <w:pPr>
              <w:ind w:left="1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836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generated by (used in) investing activities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(39.2 )</w:t>
            </w:r>
          </w:p>
        </w:tc>
      </w:tr>
      <w:tr>
        <w:trPr>
          <w:trHeight w:val="249"/>
        </w:trPr>
        <w:tc>
          <w:tcPr>
            <w:tcW w:w="83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8360" w:type="dxa"/>
            <w:vAlign w:val="bottom"/>
          </w:tcPr>
          <w:p>
            <w:pPr>
              <w:ind w:left="120"/>
              <w:spacing w:after="0"/>
              <w:rPr>
                <w:sz w:val="20"/>
                <w:szCs w:val="20"/>
                <w:color w:val="auto"/>
              </w:rPr>
            </w:pPr>
            <w:r>
              <w:rPr>
                <w:rFonts w:ascii="Arial" w:cs="Arial" w:eastAsia="Arial" w:hAnsi="Arial"/>
                <w:sz w:val="18"/>
                <w:szCs w:val="18"/>
                <w:color w:val="auto"/>
              </w:rPr>
              <w:t>Long-term debt repaid</w:t>
            </w:r>
          </w:p>
        </w:tc>
        <w:tc>
          <w:tcPr>
            <w:tcW w:w="28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Arial" w:cs="Arial" w:eastAsia="Arial" w:hAnsi="Arial"/>
                <w:sz w:val="18"/>
                <w:szCs w:val="18"/>
                <w:color w:val="auto"/>
              </w:rPr>
              <w:t>(16.0 )</w:t>
            </w:r>
          </w:p>
        </w:tc>
        <w:tc>
          <w:tcPr>
            <w:tcW w:w="4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(176.0 )</w:t>
            </w:r>
          </w:p>
        </w:tc>
      </w:tr>
      <w:tr>
        <w:trPr>
          <w:trHeight w:val="249"/>
        </w:trPr>
        <w:tc>
          <w:tcPr>
            <w:tcW w:w="83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Long-term debt repurchases</w:t>
            </w:r>
          </w:p>
        </w:tc>
        <w:tc>
          <w:tcPr>
            <w:tcW w:w="28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221"/>
              <w:spacing w:after="0"/>
              <w:rPr>
                <w:sz w:val="20"/>
                <w:szCs w:val="20"/>
                <w:color w:val="auto"/>
              </w:rPr>
            </w:pPr>
            <w:r>
              <w:rPr>
                <w:rFonts w:ascii="Arial" w:cs="Arial" w:eastAsia="Arial" w:hAnsi="Arial"/>
                <w:sz w:val="18"/>
                <w:szCs w:val="18"/>
                <w:color w:val="auto"/>
              </w:rPr>
              <w:t>(75.0 )</w:t>
            </w:r>
          </w:p>
        </w:tc>
        <w:tc>
          <w:tcPr>
            <w:tcW w:w="4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120"/>
              <w:spacing w:after="0"/>
              <w:rPr>
                <w:sz w:val="20"/>
                <w:szCs w:val="20"/>
                <w:color w:val="auto"/>
              </w:rPr>
            </w:pPr>
            <w:r>
              <w:rPr>
                <w:rFonts w:ascii="Arial" w:cs="Arial" w:eastAsia="Arial" w:hAnsi="Arial"/>
                <w:sz w:val="18"/>
                <w:szCs w:val="18"/>
                <w:color w:val="auto"/>
              </w:rPr>
              <w:t>Long-term debt proceeds</w:t>
            </w:r>
          </w:p>
        </w:tc>
        <w:tc>
          <w:tcPr>
            <w:tcW w:w="280" w:type="dxa"/>
            <w:vAlign w:val="bottom"/>
          </w:tcPr>
          <w:p>
            <w:pPr>
              <w:spacing w:after="0"/>
              <w:rPr>
                <w:sz w:val="20"/>
                <w:szCs w:val="20"/>
                <w:color w:val="auto"/>
              </w:rPr>
            </w:pPr>
          </w:p>
        </w:tc>
        <w:tc>
          <w:tcPr>
            <w:tcW w:w="12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20"/>
                <w:szCs w:val="20"/>
                <w:color w:val="auto"/>
              </w:rPr>
            </w:pPr>
          </w:p>
        </w:tc>
      </w:tr>
      <w:tr>
        <w:trPr>
          <w:trHeight w:val="249"/>
        </w:trPr>
        <w:tc>
          <w:tcPr>
            <w:tcW w:w="83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Tax withholding payments for vested equity-based compensation awards</w:t>
            </w:r>
          </w:p>
        </w:tc>
        <w:tc>
          <w:tcPr>
            <w:tcW w:w="28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221"/>
              <w:spacing w:after="0"/>
              <w:rPr>
                <w:sz w:val="20"/>
                <w:szCs w:val="20"/>
                <w:color w:val="auto"/>
              </w:rPr>
            </w:pPr>
            <w:r>
              <w:rPr>
                <w:rFonts w:ascii="Arial" w:cs="Arial" w:eastAsia="Arial" w:hAnsi="Arial"/>
                <w:sz w:val="18"/>
                <w:szCs w:val="18"/>
                <w:color w:val="auto"/>
              </w:rPr>
              <w:t>(8.9 )</w:t>
            </w:r>
          </w:p>
        </w:tc>
        <w:tc>
          <w:tcPr>
            <w:tcW w:w="4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(14.0 )</w:t>
            </w:r>
          </w:p>
        </w:tc>
      </w:tr>
      <w:tr>
        <w:trPr>
          <w:trHeight w:val="243"/>
        </w:trPr>
        <w:tc>
          <w:tcPr>
            <w:tcW w:w="836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r>
      <w:tr>
        <w:trPr>
          <w:trHeight w:val="237"/>
        </w:trPr>
        <w:tc>
          <w:tcPr>
            <w:tcW w:w="8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generated by (used in) financing activities</w:t>
            </w:r>
          </w:p>
        </w:tc>
        <w:tc>
          <w:tcPr>
            <w:tcW w:w="28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(97.8</w:t>
            </w:r>
          </w:p>
        </w:tc>
        <w:tc>
          <w:tcPr>
            <w:tcW w:w="360" w:type="dxa"/>
            <w:vAlign w:val="bottom"/>
            <w:shd w:val="clear" w:color="auto" w:fill="CCECFF"/>
          </w:tcPr>
          <w:p>
            <w:pPr>
              <w:jc w:val="right"/>
              <w:ind w:right="221"/>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CFF"/>
          </w:tcPr>
          <w:p>
            <w:pPr>
              <w:spacing w:after="0"/>
              <w:rPr>
                <w:sz w:val="20"/>
                <w:szCs w:val="20"/>
                <w:color w:val="auto"/>
              </w:rPr>
            </w:pP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36"/>
        </w:trPr>
        <w:tc>
          <w:tcPr>
            <w:tcW w:w="8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shd w:val="clear" w:color="auto" w:fill="CCECFF"/>
          </w:tcPr>
          <w:p>
            <w:pPr>
              <w:spacing w:after="0"/>
              <w:rPr>
                <w:sz w:val="20"/>
                <w:szCs w:val="20"/>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CFF"/>
          </w:tcPr>
          <w:p>
            <w:pPr>
              <w:spacing w:after="0"/>
              <w:rPr>
                <w:sz w:val="20"/>
                <w:szCs w:val="20"/>
                <w:color w:val="auto"/>
              </w:rPr>
            </w:pPr>
          </w:p>
        </w:tc>
        <w:tc>
          <w:tcPr>
            <w:tcW w:w="420" w:type="dxa"/>
            <w:vAlign w:val="bottom"/>
            <w:tcBorders>
              <w:top w:val="single" w:sz="8" w:color="auto"/>
            </w:tcBorders>
            <w:shd w:val="clear" w:color="auto" w:fill="CCECFF"/>
          </w:tcPr>
          <w:p>
            <w:pPr>
              <w:spacing w:after="0"/>
              <w:rPr>
                <w:sz w:val="20"/>
                <w:szCs w:val="20"/>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3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40" w:type="dxa"/>
            <w:vAlign w:val="bottom"/>
          </w:tcPr>
          <w:p>
            <w:pPr>
              <w:spacing w:after="0"/>
              <w:rPr>
                <w:sz w:val="21"/>
                <w:szCs w:val="21"/>
                <w:color w:val="auto"/>
              </w:rPr>
            </w:pPr>
          </w:p>
        </w:tc>
      </w:tr>
      <w:tr>
        <w:trPr>
          <w:trHeight w:val="276"/>
        </w:trPr>
        <w:tc>
          <w:tcPr>
            <w:tcW w:w="83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418.1</w:t>
            </w:r>
          </w:p>
        </w:tc>
        <w:tc>
          <w:tcPr>
            <w:tcW w:w="360" w:type="dxa"/>
            <w:vAlign w:val="bottom"/>
            <w:tcBorders>
              <w:bottom w:val="single" w:sz="8" w:color="CCECFF"/>
            </w:tcBorders>
            <w:shd w:val="clear" w:color="auto" w:fill="CCECFF"/>
          </w:tcPr>
          <w:p>
            <w:pPr>
              <w:spacing w:after="0"/>
              <w:rPr>
                <w:sz w:val="24"/>
                <w:szCs w:val="24"/>
                <w:color w:val="auto"/>
              </w:rPr>
            </w:pP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229.3</w:t>
            </w:r>
          </w:p>
        </w:tc>
        <w:tc>
          <w:tcPr>
            <w:tcW w:w="14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-1910715</wp:posOffset>
            </wp:positionV>
            <wp:extent cx="8572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-1910715</wp:posOffset>
            </wp:positionV>
            <wp:extent cx="857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071880" cy="334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71880" cy="334645"/>
                    </a:xfrm>
                    <a:prstGeom prst="rect">
                      <a:avLst/>
                    </a:prstGeom>
                    <a:noFill/>
                  </pic:spPr>
                </pic:pic>
              </a:graphicData>
            </a:graphic>
          </wp:anchor>
        </w:drawing>
      </w: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CommScope Holding Company, Inc.</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 In millions, except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680" w:type="dxa"/>
            <w:vAlign w:val="bottom"/>
            <w:gridSpan w:val="6"/>
          </w:tcPr>
          <w:p>
            <w:pPr>
              <w:jc w:val="right"/>
              <w:ind w:right="85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Number of common shares outstanding:</w:t>
            </w:r>
          </w:p>
        </w:tc>
        <w:tc>
          <w:tcPr>
            <w:tcW w:w="20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209,777,988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207,052,122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208,371,426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204,567,294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Issuance of shares under equity-based compensation plans</w:t>
            </w: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3,049,872</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1,543,392</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5,157,100</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5,259,459</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Shares surrendered under equity-based compensation plans</w:t>
            </w:r>
          </w:p>
        </w:tc>
        <w:tc>
          <w:tcPr>
            <w:tcW w:w="20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(915,396 )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(432,528 )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(1,616,062 )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(1,663,767 )</w:t>
            </w:r>
          </w:p>
        </w:tc>
        <w:tc>
          <w:tcPr>
            <w:tcW w:w="0" w:type="dxa"/>
            <w:vAlign w:val="bottom"/>
          </w:tcPr>
          <w:p>
            <w:pPr>
              <w:spacing w:after="0"/>
              <w:rPr>
                <w:sz w:val="1"/>
                <w:szCs w:val="1"/>
                <w:color w:val="auto"/>
              </w:rPr>
            </w:pPr>
          </w:p>
        </w:tc>
      </w:tr>
      <w:tr>
        <w:trPr>
          <w:trHeight w:val="277"/>
        </w:trPr>
        <w:tc>
          <w:tcPr>
            <w:tcW w:w="530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7"/>
              </w:rPr>
              <w:t>211,912,464</w:t>
            </w:r>
          </w:p>
        </w:tc>
        <w:tc>
          <w:tcPr>
            <w:tcW w:w="1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5"/>
              </w:rPr>
              <w:t>208,162,986</w:t>
            </w:r>
          </w:p>
        </w:tc>
        <w:tc>
          <w:tcPr>
            <w:tcW w:w="1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7"/>
              </w:rPr>
              <w:t>211,912,464</w:t>
            </w:r>
          </w:p>
        </w:tc>
        <w:tc>
          <w:tcPr>
            <w:tcW w:w="12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top w:val="single" w:sz="8" w:color="auto"/>
              <w:bottom w:val="single" w:sz="8" w:color="auto"/>
            </w:tcBorders>
            <w:shd w:val="clear" w:color="auto" w:fill="CCECFF"/>
          </w:tcPr>
          <w:p>
            <w:pPr>
              <w:spacing w:after="0"/>
              <w:rPr>
                <w:sz w:val="24"/>
                <w:szCs w:val="2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7"/>
              </w:rPr>
              <w:t>208,162,986</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Issuance of shares under equity-based compensation plans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2,541.3</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2,542.8</w:t>
            </w:r>
          </w:p>
        </w:tc>
        <w:tc>
          <w:tcPr>
            <w:tcW w:w="1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2,542.9</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2,540.7</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Dividends on Series A convertible preferred stock</w:t>
            </w:r>
          </w:p>
        </w:tc>
        <w:tc>
          <w:tcPr>
            <w:tcW w:w="2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1"/>
              <w:spacing w:after="0"/>
              <w:rPr>
                <w:sz w:val="20"/>
                <w:szCs w:val="20"/>
                <w:color w:val="auto"/>
              </w:rPr>
            </w:pPr>
            <w:r>
              <w:rPr>
                <w:rFonts w:ascii="Arial" w:cs="Arial" w:eastAsia="Arial" w:hAnsi="Arial"/>
                <w:sz w:val="18"/>
                <w:szCs w:val="18"/>
                <w:color w:val="auto"/>
              </w:rPr>
              <w:t>(15.3 )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(14.7 )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(30.4 )</w:t>
            </w: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2,558.7</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2,540.4</w:t>
            </w:r>
          </w:p>
        </w:tc>
        <w:tc>
          <w:tcPr>
            <w:tcW w:w="1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2,558.7</w:t>
            </w:r>
          </w:p>
        </w:tc>
        <w:tc>
          <w:tcPr>
            <w:tcW w:w="1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2,540.4</w:t>
            </w:r>
          </w:p>
        </w:tc>
        <w:tc>
          <w:tcPr>
            <w:tcW w:w="14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CFF"/>
          </w:tcPr>
          <w:p>
            <w:pPr>
              <w:jc w:val="right"/>
              <w:ind w:right="1"/>
              <w:spacing w:after="0"/>
              <w:rPr>
                <w:sz w:val="20"/>
                <w:szCs w:val="20"/>
                <w:color w:val="auto"/>
              </w:rPr>
            </w:pPr>
            <w:r>
              <w:rPr>
                <w:rFonts w:ascii="Arial" w:cs="Arial" w:eastAsia="Arial" w:hAnsi="Arial"/>
                <w:sz w:val="18"/>
                <w:szCs w:val="18"/>
                <w:color w:val="auto"/>
              </w:rPr>
              <w:t>(3,498.8 )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(2,355.2 )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(3,502.2 )</w:t>
            </w: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(2,215.3 )</w:t>
            </w:r>
          </w:p>
        </w:tc>
        <w:tc>
          <w:tcPr>
            <w:tcW w:w="0" w:type="dxa"/>
            <w:vAlign w:val="bottom"/>
          </w:tcPr>
          <w:p>
            <w:pPr>
              <w:spacing w:after="0"/>
              <w:rPr>
                <w:sz w:val="1"/>
                <w:szCs w:val="1"/>
                <w:color w:val="auto"/>
              </w:rPr>
            </w:pPr>
          </w:p>
        </w:tc>
      </w:tr>
      <w:tr>
        <w:trPr>
          <w:trHeight w:val="237"/>
        </w:trPr>
        <w:tc>
          <w:tcPr>
            <w:tcW w:w="53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(100.4 )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(61.0 )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(97.0 )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(200.9 )</w:t>
            </w:r>
          </w:p>
        </w:tc>
        <w:tc>
          <w:tcPr>
            <w:tcW w:w="0" w:type="dxa"/>
            <w:vAlign w:val="bottom"/>
          </w:tcPr>
          <w:p>
            <w:pPr>
              <w:spacing w:after="0"/>
              <w:rPr>
                <w:sz w:val="1"/>
                <w:szCs w:val="1"/>
                <w:color w:val="auto"/>
              </w:rPr>
            </w:pPr>
          </w:p>
        </w:tc>
      </w:tr>
      <w:tr>
        <w:trPr>
          <w:trHeight w:val="243"/>
        </w:trPr>
        <w:tc>
          <w:tcPr>
            <w:tcW w:w="530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(3,599.2</w:t>
            </w:r>
          </w:p>
        </w:tc>
        <w:tc>
          <w:tcPr>
            <w:tcW w:w="140" w:type="dxa"/>
            <w:vAlign w:val="bottom"/>
            <w:tcBorders>
              <w:top w:val="single" w:sz="8" w:color="CCECFF"/>
              <w:bottom w:val="single" w:sz="8" w:color="CCECFF"/>
            </w:tcBorders>
            <w:shd w:val="clear" w:color="auto" w:fill="CCEC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CFF"/>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(2,416.2</w:t>
            </w:r>
          </w:p>
        </w:tc>
        <w:tc>
          <w:tcPr>
            <w:tcW w:w="14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CFF"/>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(3,599.2</w:t>
            </w:r>
          </w:p>
        </w:tc>
        <w:tc>
          <w:tcPr>
            <w:tcW w:w="12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CFF"/>
              <w:bottom w:val="single" w:sz="8" w:color="CCECFF"/>
            </w:tcBorders>
            <w:shd w:val="clear" w:color="auto" w:fill="CCECFF"/>
          </w:tcPr>
          <w:p>
            <w:pPr>
              <w:spacing w:after="0"/>
              <w:rPr>
                <w:sz w:val="21"/>
                <w:szCs w:val="21"/>
                <w:color w:val="auto"/>
              </w:rPr>
            </w:pP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(2,416.2</w:t>
            </w:r>
          </w:p>
        </w:tc>
        <w:tc>
          <w:tcPr>
            <w:tcW w:w="14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CFF"/>
          </w:tcPr>
          <w:p>
            <w:pPr>
              <w:jc w:val="right"/>
              <w:ind w:right="1"/>
              <w:spacing w:after="0"/>
              <w:rPr>
                <w:sz w:val="20"/>
                <w:szCs w:val="20"/>
                <w:color w:val="auto"/>
              </w:rPr>
            </w:pPr>
            <w:r>
              <w:rPr>
                <w:rFonts w:ascii="Arial" w:cs="Arial" w:eastAsia="Arial" w:hAnsi="Arial"/>
                <w:sz w:val="18"/>
                <w:szCs w:val="18"/>
                <w:color w:val="auto"/>
              </w:rPr>
              <w:t>(277.5 )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(215.6 )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(296.3 )</w:t>
            </w: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(206.4 )</w:t>
            </w:r>
          </w:p>
        </w:tc>
        <w:tc>
          <w:tcPr>
            <w:tcW w:w="0" w:type="dxa"/>
            <w:vAlign w:val="bottom"/>
          </w:tcPr>
          <w:p>
            <w:pPr>
              <w:spacing w:after="0"/>
              <w:rPr>
                <w:sz w:val="1"/>
                <w:szCs w:val="1"/>
                <w:color w:val="auto"/>
              </w:rPr>
            </w:pPr>
          </w:p>
        </w:tc>
      </w:tr>
      <w:tr>
        <w:trPr>
          <w:trHeight w:val="243"/>
        </w:trPr>
        <w:tc>
          <w:tcPr>
            <w:tcW w:w="5300" w:type="dxa"/>
            <w:vAlign w:val="bottom"/>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(90.7 )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(99.9 )</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(276.2</w:t>
            </w:r>
          </w:p>
        </w:tc>
        <w:tc>
          <w:tcPr>
            <w:tcW w:w="140" w:type="dxa"/>
            <w:vAlign w:val="bottom"/>
            <w:tcBorders>
              <w:bottom w:val="single" w:sz="8" w:color="CCECFF"/>
            </w:tcBorders>
            <w:shd w:val="clear" w:color="auto" w:fill="CCEC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(306.3</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(306.3</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Treasury stock, at cost: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CFF"/>
          </w:tcPr>
          <w:p>
            <w:pPr>
              <w:jc w:val="right"/>
              <w:ind w:right="1"/>
              <w:spacing w:after="0"/>
              <w:rPr>
                <w:sz w:val="20"/>
                <w:szCs w:val="20"/>
                <w:color w:val="auto"/>
              </w:rPr>
            </w:pPr>
            <w:r>
              <w:rPr>
                <w:rFonts w:ascii="Arial" w:cs="Arial" w:eastAsia="Arial" w:hAnsi="Arial"/>
                <w:sz w:val="18"/>
                <w:szCs w:val="18"/>
                <w:color w:val="auto"/>
              </w:rPr>
              <w:t>(297.6 )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(288.4 )</w:t>
            </w: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(292.6 )</w:t>
            </w: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(277.8 )</w:t>
            </w:r>
          </w:p>
        </w:tc>
        <w:tc>
          <w:tcPr>
            <w:tcW w:w="0" w:type="dxa"/>
            <w:vAlign w:val="bottom"/>
          </w:tcPr>
          <w:p>
            <w:pPr>
              <w:spacing w:after="0"/>
              <w:rPr>
                <w:sz w:val="1"/>
                <w:szCs w:val="1"/>
                <w:color w:val="auto"/>
              </w:rPr>
            </w:pPr>
          </w:p>
        </w:tc>
      </w:tr>
      <w:tr>
        <w:trPr>
          <w:trHeight w:val="215"/>
        </w:trPr>
        <w:tc>
          <w:tcPr>
            <w:tcW w:w="5300" w:type="dxa"/>
            <w:vAlign w:val="bottom"/>
          </w:tcPr>
          <w:p>
            <w:pPr>
              <w:ind w:left="120"/>
              <w:spacing w:after="0"/>
              <w:rPr>
                <w:sz w:val="20"/>
                <w:szCs w:val="20"/>
                <w:color w:val="auto"/>
              </w:rPr>
            </w:pPr>
            <w:r>
              <w:rPr>
                <w:rFonts w:ascii="Arial" w:cs="Arial" w:eastAsia="Arial" w:hAnsi="Arial"/>
                <w:sz w:val="18"/>
                <w:szCs w:val="18"/>
                <w:color w:val="auto"/>
              </w:rPr>
              <w:t>Net shares surrendered under equity-based</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(3.9 )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(3.3 )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(8.9 )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(301.5</w:t>
            </w:r>
          </w:p>
        </w:tc>
        <w:tc>
          <w:tcPr>
            <w:tcW w:w="140" w:type="dxa"/>
            <w:vAlign w:val="bottom"/>
            <w:tcBorders>
              <w:bottom w:val="single" w:sz="8" w:color="CCECFF"/>
            </w:tcBorders>
            <w:shd w:val="clear" w:color="auto" w:fill="CCEC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(291.7</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(291.7</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(1,615.9 )</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(471.6 )</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(1,615.9 )</w:t>
            </w:r>
          </w:p>
        </w:tc>
        <w:tc>
          <w:tcPr>
            <w:tcW w:w="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(471.6 )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-3814445</wp:posOffset>
            </wp:positionV>
            <wp:extent cx="3000375"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1797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-3162935</wp:posOffset>
            </wp:positionV>
            <wp:extent cx="8572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-3162935</wp:posOffset>
            </wp:positionV>
            <wp:extent cx="8572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-3162935</wp:posOffset>
            </wp:positionV>
            <wp:extent cx="7747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-3162935</wp:posOffset>
            </wp:positionV>
            <wp:extent cx="857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-2219960</wp:posOffset>
            </wp:positionV>
            <wp:extent cx="8572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-2219960</wp:posOffset>
            </wp:positionV>
            <wp:extent cx="8572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-2219960</wp:posOffset>
            </wp:positionV>
            <wp:extent cx="7747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-2219960</wp:posOffset>
            </wp:positionV>
            <wp:extent cx="8572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-1760855</wp:posOffset>
            </wp:positionV>
            <wp:extent cx="7145020" cy="3384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-950595</wp:posOffset>
            </wp:positionV>
            <wp:extent cx="8572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-950595</wp:posOffset>
            </wp:positionV>
            <wp:extent cx="8572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-950595</wp:posOffset>
            </wp:positionV>
            <wp:extent cx="7747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-950595</wp:posOffset>
            </wp:positionV>
            <wp:extent cx="8572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85725"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85725" cy="342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77470" cy="342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4972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497205"/>
                    </a:xfrm>
                    <a:prstGeom prst="rect">
                      <a:avLst/>
                    </a:prstGeom>
                    <a:noFill/>
                  </pic:spPr>
                </pic:pic>
              </a:graphicData>
            </a:graphic>
          </wp:anchor>
        </w:drawing>
      </w: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7" w:lineRule="exact"/>
        <w:rPr>
          <w:sz w:val="20"/>
          <w:szCs w:val="20"/>
          <w:color w:val="auto"/>
        </w:rPr>
      </w:pPr>
    </w:p>
    <w:p>
      <w:pPr>
        <w:ind w:right="702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 Background</w:t>
      </w:r>
    </w:p>
    <w:p>
      <w:pPr>
        <w:spacing w:after="0" w:line="271" w:lineRule="auto"/>
        <w:rPr>
          <w:sz w:val="20"/>
          <w:szCs w:val="20"/>
          <w:color w:val="auto"/>
        </w:rPr>
      </w:pPr>
      <w:r>
        <w:rPr>
          <w:rFonts w:ascii="Arial" w:cs="Arial" w:eastAsia="Arial" w:hAnsi="Arial"/>
          <w:sz w:val="17"/>
          <w:szCs w:val="17"/>
          <w:color w:val="auto"/>
        </w:rPr>
        <w:t>CommScope Holding Company, Inc., along with its direct and indirect subsidiaries (CommScope or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2022 (the 2022 Annual Report). The significant accounting policies followed by the Company are set forth in Note 2 within the Company’s audited consolidated financial statements included in the 2022 Annual Report. There were no material changes in the Company’s significant accounting policies during the three or six months ended June 30,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 and Related Party Transactions</w:t>
      </w:r>
    </w:p>
    <w:p>
      <w:pPr>
        <w:spacing w:after="0" w:line="12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No direct customer accounted for 10% or more of the Company’s total net sales during the three or six months ended June 30, 2023 or 2022. Accounts receivable from Comcast Corporation and affiliates (Comcast) represented approximately 11% of accounts receivable as of June 30, 2023. Other than Comcast, no direct customer accounted for 10% or more of the Company’s accounts receivable.</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June 30, 2023, funds affiliated with Carlyle Partners VII S1 Holdings, L.P. (Carlyle) owned 100% of the Series A convertible preferred stock (the Convertible Preferred Stock), which was sold to Carlyle to fund a portion of the acquisition of ARRIS International plc (ARRIS) in 2019. See Note 9 for further discussion of the Convertible Preferred Stock. Other than transactions related to the Convertible Preferred Stock, there were no material related party transactions for the three or six months ended June 30, 2023.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in the product warranty accrual, included in accrued and other liabilities and other noncurrent liabilities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5060" w:type="dxa"/>
            <w:vAlign w:val="bottom"/>
            <w:shd w:val="clear" w:color="auto" w:fill="CCECFF"/>
          </w:tcPr>
          <w:p>
            <w:pPr>
              <w:spacing w:after="0"/>
              <w:rPr>
                <w:sz w:val="20"/>
                <w:szCs w:val="20"/>
                <w:color w:val="auto"/>
              </w:rPr>
            </w:pPr>
            <w:r>
              <w:rPr>
                <w:rFonts w:ascii="Arial" w:cs="Arial" w:eastAsia="Arial" w:hAnsi="Arial"/>
                <w:sz w:val="18"/>
                <w:szCs w:val="18"/>
                <w:color w:val="auto"/>
              </w:rPr>
              <w:t>Product warranty accrual, beginning of period</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53.1</w:t>
            </w:r>
          </w:p>
        </w:tc>
        <w:tc>
          <w:tcPr>
            <w:tcW w:w="32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66.0</w:t>
            </w:r>
          </w:p>
        </w:tc>
        <w:tc>
          <w:tcPr>
            <w:tcW w:w="320" w:type="dxa"/>
            <w:vAlign w:val="bottom"/>
            <w:shd w:val="clear" w:color="auto" w:fill="CCECFF"/>
          </w:tcPr>
          <w:p>
            <w:pPr>
              <w:spacing w:after="0"/>
              <w:rPr>
                <w:sz w:val="20"/>
                <w:szCs w:val="20"/>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CFF"/>
          </w:tcPr>
          <w:p>
            <w:pPr>
              <w:spacing w:after="0"/>
              <w:rPr>
                <w:sz w:val="20"/>
                <w:szCs w:val="20"/>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Provision for warranty claims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r>
      <w:tr>
        <w:trPr>
          <w:trHeight w:val="249"/>
        </w:trPr>
        <w:tc>
          <w:tcPr>
            <w:tcW w:w="5060" w:type="dxa"/>
            <w:vAlign w:val="bottom"/>
            <w:shd w:val="clear" w:color="auto" w:fill="CCECFF"/>
          </w:tcPr>
          <w:p>
            <w:pPr>
              <w:spacing w:after="0"/>
              <w:rPr>
                <w:sz w:val="20"/>
                <w:szCs w:val="20"/>
                <w:color w:val="auto"/>
              </w:rPr>
            </w:pPr>
            <w:r>
              <w:rPr>
                <w:rFonts w:ascii="Arial" w:cs="Arial" w:eastAsia="Arial" w:hAnsi="Arial"/>
                <w:sz w:val="18"/>
                <w:szCs w:val="18"/>
                <w:color w:val="auto"/>
              </w:rPr>
              <w:t>Warranty claims paid</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(10.2 )</w:t>
            </w:r>
          </w:p>
        </w:tc>
        <w:tc>
          <w:tcPr>
            <w:tcW w:w="24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(11.7 )</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(18.7 )</w:t>
            </w:r>
          </w:p>
        </w:tc>
        <w:tc>
          <w:tcPr>
            <w:tcW w:w="24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(17.7 )</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(0.5 )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(0.4 )</w:t>
            </w:r>
          </w:p>
        </w:tc>
      </w:tr>
      <w:tr>
        <w:trPr>
          <w:trHeight w:val="277"/>
        </w:trPr>
        <w:tc>
          <w:tcPr>
            <w:tcW w:w="50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Product warranty accrual, end of period</w:t>
            </w: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50.5</w:t>
            </w:r>
          </w:p>
        </w:tc>
        <w:tc>
          <w:tcPr>
            <w:tcW w:w="32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50.5</w:t>
            </w:r>
          </w:p>
        </w:tc>
        <w:tc>
          <w:tcPr>
            <w:tcW w:w="32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-25400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was contingently liable under open standby letters of credit issued by its banks to support performance obligations of a third-party contractor that totaled $44.0 million as of June 30, 2023. 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 material amounts recorded in the condensed consolidated financial statements related to third-party guarantee agreements for the three or six months ended June 30, 2023 or 2022 or as of June 30, 2023 or December 31, 2022. As of June 30, 2023, these instruments reduced the available borrowings under the senior secured asset-based revolving credit facility (the Revolving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defend and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had liabilities of $25.4 million and $37.1 million as of June 30, 2023 and December 31, 2022, respectively, recorded in accrued and other liabilities and noncurrent liabilities on the Condensed Consolidated Balance Sheets related to certain intellectual property assertions that have been settled or are in the process of settlement. For the six months ended June 30, 2023, the Company released $11.0 million in accrued liabilities related to an intellectual property claim that was settled at an amount that was lower than estimated. Charges related to intellectual property assertions were not material for the three or six months ended June 30, 2023 or 2022. The Company paid $2.0 million during the three and six months ended June 30, 2023 and $2.7 million and $9.8 million during the three and six months ended June 30, 2022, respectively, to settle intellectual property claims and assertions.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2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is also either a plaintiff or a defendant in certain other pending legal matters in the normal course of business. Management believes that, upon final disposition, none of these other pending legal matters will have a material adverse effect on the Company’s business or financial condition.</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has utilized a hedging strategy to mitigate a portion of the exposure to changes in cash flows resulting from variable interest rates on the senior secured term loan due 2026 (2026 Term Loan). In conjunction with the amendment to its 2026 Term Loan due to reference rate reform, on June 28, 2023, the Company settled its cash flow hedges with a notional value of $300.0 million and received cash of $6.8 million which is included within operating cash flow activity in accordance with the Company's accounting policy. The cash flow hedges were derecognized and the gain of $6.1 million remaining as a component of accumulated comprehensive loss in the Condensed Consolidated Balance Sheets will continue to be reclassified to earnings through interest expense as the interest payments are made on the 2026 Term Loan unless the forecasted transaction becomes probable of not occurring. See Note 5 for further discussion of the amendment to the 2026 Term Loan.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Goodwill is tested for impairment annually or at other times if events have occurred or circumstances exist that indicate the carrying value of the reporting unit may exceed its fair value. There were no goodwill impairments identified during the three or six months ended June 30, 2023 or 2022.</w:t>
      </w:r>
    </w:p>
    <w:p>
      <w:pPr>
        <w:spacing w:after="0" w:line="14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Access Network Solutions (ANS) reporting unit failed the annual goodwill impairment test, and a partial impairment was recorded as of October 1, 2022. Also, the amount by which the Company's Building and Data Center Connectivity (BDCC) reporting unit's fair value exceeded its carrying value was lower year over year. The BDCC reporting unit is in the Connectivity and Cable Solutions (CCS) reportable segment. Considering the headroom going forward for each of the ANS and BDCC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the ANS and BDCC reporting units are not realized or decrease materially, the Company may be required to recognize additional goodwill impairment charges, and these charges could be material to its results of operations.</w:t>
      </w:r>
    </w:p>
    <w:p>
      <w:pPr>
        <w:spacing w:after="0" w:line="17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there were no definite-lived intangible or other long-lived asset impairments identified during the three or six months ended June 30, 2023 or 2022. Changes in the estimates of forecasted net cash flows or changes in classification from held for use may result in future asset impairments that could be material to the Company's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and six months ended June 30, 2023, the Company recognized income tax expense of $8.4 million on a pretax loss of $92.0 million and income tax expense of $0.6 million on a pretax loss of $96.4 million, respectively. The Company’s tax expense was unfavorably impacted by U.S. anti-deferral provisions and noncreditable withholding taxes for the three and six months ended June 30, 2023. Excess tax costs of $5.4 million and $6.9 million related to equity compensation awards also impacted the tax expense unfavorably for the three and six months ended June 30, 2023, respectively. These unfavorable impacts were partially offset by the favorable impacts of federal income tax credits as well as $1.5 million and $9.8 million of tax benefits related to the release of various uncertain tax positions for the three and six months ended June 30, 2023, respectively.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three and six months ended June 30, 2022, the Company recognized an income tax benefit of $14.5 million on a pretax loss of $75.5 million and $16.4 million of income tax expense on a pretax loss of $184.5 million, respectively. For the three and six months ended June 30, 2022, the Company’s change in income tax was driven by the unfavorable impacts of U.S. anti-deferral provisions and noncreditable withholding taxes. These unfavorable impacts were offset partially by decreases in prior year uncertain tax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Basic earnings (loss) per share (EPS) is computed by dividing net income (loss), less any dividends and deemed dividends related to the Convertible Preferred Stock, by the weighted average number of common shares outstanding during the period. The numerator in diluted EPS is based on the basic EPS numerator, adjusted to add back any dividends and deemed dividends related to the Convertible Preferred Stock, subject to antidilution requirements. The denominator used in diluted EPS is based on the basic EPS computation plus the effect of potentially dilutive common shares related to the Convertible Preferred Stock and equity-based compensation plans, subject to antidilution requirements.</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three and six months ended June 30, 2023, 17.2 million and 16.3 million shares, respectively, of outstanding equity-based compensation awards were not included in the computation of diluted EPS because the effect was antidilutive or the performance conditions were not met. Of those amounts, for the three and six months ended June 30, 2023, 2.0 million and 2.6 million shares, respectively, would have been considered dilutive if the Company had not been in a net loss attributable to common stockholders position. For the three and six months ended June 30, 2022, 12.3 million and 11.9 million shares, respectively, of outstanding equity-based compensation awards were not included in the computation of diluted EPS because the effect was antidilutive or the performance conditions were not met. Of those amounts, for the three and six months ended June 30, 2022, 1.1 million and 2.4 million shares, respectively, would have been considered dilutive if the Company had not been in a net loss attributable to common stockholders position.</w:t>
      </w:r>
    </w:p>
    <w:p>
      <w:pPr>
        <w:spacing w:after="0" w:line="166"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For the three and six months ended June 30, 2023, 40.6 million and 40.3 million, respectively, of as-if converted shares related to the Convertible Preferred Stock were excluded from the diluted share count because they were antidilutive. For the three and six months ended June 30, 2022, 38.9 and 38.7 million, respectively, of as-if converted shares related to the Convertible Preferred Stock were excluded from the diluted share count because they were antidilutive. These shares may have been considered dilutive if the Company had not been in a net loss attributable to common stockholders position.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basis for the EPS computations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jc w:val="right"/>
              <w:ind w:right="53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06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7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237"/>
        </w:trPr>
        <w:tc>
          <w:tcPr>
            <w:tcW w:w="54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(100.4 )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(61.0 )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(97.0 )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(200.9 )</w:t>
            </w:r>
          </w:p>
        </w:tc>
      </w:tr>
      <w:tr>
        <w:trPr>
          <w:trHeight w:val="249"/>
        </w:trPr>
        <w:tc>
          <w:tcPr>
            <w:tcW w:w="54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Dividends on Series A convertible preferred stock</w:t>
            </w:r>
          </w:p>
        </w:tc>
        <w:tc>
          <w:tcPr>
            <w:tcW w:w="12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21"/>
              <w:spacing w:after="0"/>
              <w:rPr>
                <w:sz w:val="20"/>
                <w:szCs w:val="20"/>
                <w:color w:val="auto"/>
              </w:rPr>
            </w:pPr>
            <w:r>
              <w:rPr>
                <w:rFonts w:ascii="Arial" w:cs="Arial" w:eastAsia="Arial" w:hAnsi="Arial"/>
                <w:sz w:val="18"/>
                <w:szCs w:val="18"/>
                <w:color w:val="auto"/>
              </w:rPr>
              <w:t>(15.3 )</w:t>
            </w:r>
          </w:p>
        </w:tc>
        <w:tc>
          <w:tcPr>
            <w:tcW w:w="20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(14.7 )</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81"/>
              <w:spacing w:after="0"/>
              <w:rPr>
                <w:sz w:val="20"/>
                <w:szCs w:val="20"/>
                <w:color w:val="auto"/>
              </w:rPr>
            </w:pPr>
            <w:r>
              <w:rPr>
                <w:rFonts w:ascii="Arial" w:cs="Arial" w:eastAsia="Arial" w:hAnsi="Arial"/>
                <w:sz w:val="18"/>
                <w:szCs w:val="18"/>
                <w:color w:val="auto"/>
              </w:rPr>
              <w:t>(30.4 )</w:t>
            </w:r>
          </w:p>
        </w:tc>
        <w:tc>
          <w:tcPr>
            <w:tcW w:w="180" w:type="dxa"/>
            <w:vAlign w:val="bottom"/>
            <w:shd w:val="clear" w:color="auto" w:fill="CCECFF"/>
          </w:tcPr>
          <w:p>
            <w:pPr>
              <w:spacing w:after="0"/>
              <w:rPr>
                <w:sz w:val="21"/>
                <w:szCs w:val="21"/>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(29.2 )</w:t>
            </w:r>
          </w:p>
        </w:tc>
      </w:tr>
      <w:tr>
        <w:trPr>
          <w:trHeight w:val="237"/>
        </w:trPr>
        <w:tc>
          <w:tcPr>
            <w:tcW w:w="5400" w:type="dxa"/>
            <w:vAlign w:val="bottom"/>
          </w:tcPr>
          <w:p>
            <w:pPr>
              <w:ind w:left="120"/>
              <w:spacing w:after="0"/>
              <w:rPr>
                <w:sz w:val="20"/>
                <w:szCs w:val="20"/>
                <w:color w:val="auto"/>
              </w:rPr>
            </w:pPr>
            <w:r>
              <w:rPr>
                <w:rFonts w:ascii="Arial" w:cs="Arial" w:eastAsia="Arial" w:hAnsi="Arial"/>
                <w:sz w:val="18"/>
                <w:szCs w:val="18"/>
                <w:color w:val="auto"/>
              </w:rPr>
              <w:t>Net loss attributable to common stockholders</w:t>
            </w:r>
          </w:p>
        </w:tc>
        <w:tc>
          <w:tcPr>
            <w:tcW w:w="12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400" w:type="dxa"/>
            <w:vAlign w:val="bottom"/>
            <w:shd w:val="clear" w:color="auto" w:fill="CCECFF"/>
          </w:tcPr>
          <w:p>
            <w:pPr>
              <w:spacing w:after="0"/>
              <w:rPr>
                <w:sz w:val="19"/>
                <w:szCs w:val="19"/>
                <w:color w:val="auto"/>
              </w:rPr>
            </w:pPr>
          </w:p>
        </w:tc>
        <w:tc>
          <w:tcPr>
            <w:tcW w:w="12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4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12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210.5</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207.6</w:t>
            </w:r>
          </w:p>
        </w:tc>
        <w:tc>
          <w:tcPr>
            <w:tcW w:w="2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209.7</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206.5</w:t>
            </w:r>
          </w:p>
        </w:tc>
        <w:tc>
          <w:tcPr>
            <w:tcW w:w="140" w:type="dxa"/>
            <w:vAlign w:val="bottom"/>
            <w:shd w:val="clear" w:color="auto" w:fill="CCECFF"/>
          </w:tcPr>
          <w:p>
            <w:pPr>
              <w:spacing w:after="0"/>
              <w:rPr>
                <w:sz w:val="21"/>
                <w:szCs w:val="21"/>
                <w:color w:val="auto"/>
              </w:rPr>
            </w:pPr>
          </w:p>
        </w:tc>
      </w:tr>
      <w:tr>
        <w:trPr>
          <w:trHeight w:val="237"/>
        </w:trPr>
        <w:tc>
          <w:tcPr>
            <w:tcW w:w="5400" w:type="dxa"/>
            <w:vAlign w:val="bottom"/>
          </w:tcPr>
          <w:p>
            <w:pPr>
              <w:ind w:left="300"/>
              <w:spacing w:after="0"/>
              <w:rPr>
                <w:sz w:val="20"/>
                <w:szCs w:val="20"/>
                <w:color w:val="auto"/>
              </w:rPr>
            </w:pPr>
            <w:r>
              <w:rPr>
                <w:rFonts w:ascii="Arial" w:cs="Arial" w:eastAsia="Arial" w:hAnsi="Arial"/>
                <w:sz w:val="18"/>
                <w:szCs w:val="18"/>
                <w:color w:val="auto"/>
                <w:w w:val="93"/>
              </w:rPr>
              <w:t>Dilutive effect of as-if converted Series A convertible preferred stock</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5400" w:type="dxa"/>
            <w:vAlign w:val="bottom"/>
            <w:shd w:val="clear" w:color="auto" w:fill="CCECFF"/>
          </w:tcPr>
          <w:p>
            <w:pPr>
              <w:ind w:left="300"/>
              <w:spacing w:after="0"/>
              <w:rPr>
                <w:sz w:val="20"/>
                <w:szCs w:val="20"/>
                <w:color w:val="auto"/>
              </w:rPr>
            </w:pPr>
            <w:r>
              <w:rPr>
                <w:rFonts w:ascii="Arial" w:cs="Arial" w:eastAsia="Arial" w:hAnsi="Arial"/>
                <w:sz w:val="18"/>
                <w:szCs w:val="18"/>
                <w:color w:val="auto"/>
              </w:rPr>
              <w:t>Dilutive effect of equity-based awards</w:t>
            </w:r>
          </w:p>
        </w:tc>
        <w:tc>
          <w:tcPr>
            <w:tcW w:w="12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1"/>
                <w:szCs w:val="21"/>
                <w:color w:val="auto"/>
              </w:rPr>
            </w:pPr>
          </w:p>
        </w:tc>
        <w:tc>
          <w:tcPr>
            <w:tcW w:w="80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5400" w:type="dxa"/>
            <w:vAlign w:val="bottom"/>
            <w:tcBorders>
              <w:top w:val="single" w:sz="8" w:color="CCECFF"/>
            </w:tcBorders>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1280" w:type="dxa"/>
            <w:vAlign w:val="bottom"/>
            <w:tcBorders>
              <w:top w:val="single" w:sz="8" w:color="CCEC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260" w:type="dxa"/>
            <w:vAlign w:val="bottom"/>
            <w:tcBorders>
              <w:top w:val="single" w:sz="8" w:color="CCEC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80" w:type="dxa"/>
            <w:vAlign w:val="bottom"/>
            <w:tcBorders>
              <w:top w:val="single" w:sz="8" w:color="CCEC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320" w:type="dxa"/>
            <w:vAlign w:val="bottom"/>
            <w:tcBorders>
              <w:top w:val="single" w:sz="8" w:color="CCEC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40" w:type="dxa"/>
            <w:vAlign w:val="bottom"/>
            <w:tcBorders>
              <w:top w:val="single" w:sz="8" w:color="CCECFF"/>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5400" w:type="dxa"/>
            <w:vAlign w:val="bottom"/>
            <w:shd w:val="clear" w:color="auto" w:fill="CCECFF"/>
          </w:tcPr>
          <w:p>
            <w:pPr>
              <w:spacing w:after="0"/>
              <w:rPr>
                <w:sz w:val="19"/>
                <w:szCs w:val="19"/>
                <w:color w:val="auto"/>
              </w:rPr>
            </w:pPr>
          </w:p>
        </w:tc>
        <w:tc>
          <w:tcPr>
            <w:tcW w:w="12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4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Basic</w:t>
            </w:r>
          </w:p>
        </w:tc>
        <w:tc>
          <w:tcPr>
            <w:tcW w:w="148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CFF"/>
          </w:tcPr>
          <w:p>
            <w:pPr>
              <w:jc w:val="right"/>
              <w:ind w:right="121"/>
              <w:spacing w:after="0"/>
              <w:rPr>
                <w:sz w:val="20"/>
                <w:szCs w:val="20"/>
                <w:color w:val="auto"/>
              </w:rPr>
            </w:pPr>
            <w:r>
              <w:rPr>
                <w:rFonts w:ascii="Arial" w:cs="Arial" w:eastAsia="Arial" w:hAnsi="Arial"/>
                <w:sz w:val="18"/>
                <w:szCs w:val="18"/>
                <w:color w:val="auto"/>
              </w:rPr>
              <w:t>(0.55 )</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(0.36 )</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181"/>
              <w:spacing w:after="0"/>
              <w:rPr>
                <w:sz w:val="20"/>
                <w:szCs w:val="20"/>
                <w:color w:val="auto"/>
              </w:rPr>
            </w:pPr>
            <w:r>
              <w:rPr>
                <w:rFonts w:ascii="Arial" w:cs="Arial" w:eastAsia="Arial" w:hAnsi="Arial"/>
                <w:sz w:val="18"/>
                <w:szCs w:val="18"/>
                <w:color w:val="auto"/>
              </w:rPr>
              <w:t>(0.61 )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(1.11 )</w:t>
            </w: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(0.55 )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(0.36 )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(0.61 )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(1.11 )</w:t>
            </w:r>
          </w:p>
        </w:tc>
      </w:tr>
      <w:tr>
        <w:trPr>
          <w:trHeight w:val="661"/>
        </w:trPr>
        <w:tc>
          <w:tcPr>
            <w:tcW w:w="5400" w:type="dxa"/>
            <w:vAlign w:val="bottom"/>
          </w:tcPr>
          <w:p>
            <w:pPr>
              <w:spacing w:after="0"/>
              <w:rPr>
                <w:sz w:val="24"/>
                <w:szCs w:val="24"/>
                <w:color w:val="auto"/>
              </w:rPr>
            </w:pPr>
          </w:p>
        </w:tc>
        <w:tc>
          <w:tcPr>
            <w:tcW w:w="1280" w:type="dxa"/>
            <w:vAlign w:val="bottom"/>
          </w:tcPr>
          <w:p>
            <w:pPr>
              <w:jc w:val="right"/>
              <w:ind w:right="87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33"/>
        </w:trPr>
        <w:tc>
          <w:tcPr>
            <w:tcW w:w="5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-1567815</wp:posOffset>
            </wp:positionV>
            <wp:extent cx="8572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-1567815</wp:posOffset>
            </wp:positionV>
            <wp:extent cx="8572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-1567815</wp:posOffset>
            </wp:positionV>
            <wp:extent cx="8572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-1567815</wp:posOffset>
            </wp:positionV>
            <wp:extent cx="8572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During the Six Months Ended June 30, 2023</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On January 1, 2023, the Company adopted Accounting Standards Update (ASU) No. 2022-04, </w:t>
      </w:r>
      <w:r>
        <w:rPr>
          <w:rFonts w:ascii="Arial" w:cs="Arial" w:eastAsia="Arial" w:hAnsi="Arial"/>
          <w:sz w:val="18"/>
          <w:szCs w:val="18"/>
          <w:i w:val="1"/>
          <w:iCs w:val="1"/>
          <w:color w:val="auto"/>
        </w:rPr>
        <w:t>Liabilities—Supplier Finance Programs (Subtopic 405-50):</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of Supplier Finance Program Obligations</w:t>
      </w:r>
      <w:r>
        <w:rPr>
          <w:rFonts w:ascii="Arial" w:cs="Arial" w:eastAsia="Arial" w:hAnsi="Arial"/>
          <w:sz w:val="18"/>
          <w:szCs w:val="18"/>
          <w:color w:val="auto"/>
        </w:rPr>
        <w:t>. The new guidance improves the transparency of supplier finance programs by requiring that a buyer</w:t>
      </w:r>
      <w:r>
        <w:rPr>
          <w:rFonts w:ascii="Arial" w:cs="Arial" w:eastAsia="Arial" w:hAnsi="Arial"/>
          <w:sz w:val="18"/>
          <w:szCs w:val="18"/>
          <w:i w:val="1"/>
          <w:iCs w:val="1"/>
          <w:color w:val="auto"/>
        </w:rPr>
        <w:t xml:space="preserve"> </w:t>
      </w:r>
      <w:r>
        <w:rPr>
          <w:rFonts w:ascii="Arial" w:cs="Arial" w:eastAsia="Arial" w:hAnsi="Arial"/>
          <w:sz w:val="18"/>
          <w:szCs w:val="18"/>
          <w:color w:val="auto"/>
        </w:rPr>
        <w:t>in a supplier finance program disclose sufficient qualitative and quantitative information about the program to allow a user of its financial statements to understand the program's nature, activity during the period, changes from period to period and potential effect on an entity's financial statements. This guidance has been applied retrospectively to all periods in which a balance sheet is presented, except for the requirement to disclose rollforward information, which is effective prospectively for the Company as of January 1, 2024. The impact of adopting this new guidance was not material to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June 2023, the Company adopted ASU No. 2020-04, </w:t>
      </w:r>
      <w:r>
        <w:rPr>
          <w:rFonts w:ascii="Arial" w:cs="Arial" w:eastAsia="Arial" w:hAnsi="Arial"/>
          <w:sz w:val="17"/>
          <w:szCs w:val="17"/>
          <w:i w:val="1"/>
          <w:iCs w:val="1"/>
          <w:color w:val="auto"/>
        </w:rPr>
        <w:t>Reference Rate Reform (Topic 848): Facilitation of the Effects of Reference Rate Reform on</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and the related updates, ASU No. 2021-01</w:t>
      </w:r>
      <w:r>
        <w:rPr>
          <w:rFonts w:ascii="Arial" w:cs="Arial" w:eastAsia="Arial" w:hAnsi="Arial"/>
          <w:sz w:val="17"/>
          <w:szCs w:val="17"/>
          <w:i w:val="1"/>
          <w:iCs w:val="1"/>
          <w:color w:val="auto"/>
        </w:rPr>
        <w:t xml:space="preserve">, Reference Rate Reform (Topic 848): Scope </w:t>
      </w:r>
      <w:r>
        <w:rPr>
          <w:rFonts w:ascii="Arial" w:cs="Arial" w:eastAsia="Arial" w:hAnsi="Arial"/>
          <w:sz w:val="17"/>
          <w:szCs w:val="17"/>
          <w:color w:val="auto"/>
        </w:rPr>
        <w:t>and ASU No. 2022-06,</w:t>
      </w:r>
      <w:r>
        <w:rPr>
          <w:rFonts w:ascii="Arial" w:cs="Arial" w:eastAsia="Arial" w:hAnsi="Arial"/>
          <w:sz w:val="17"/>
          <w:szCs w:val="17"/>
          <w:i w:val="1"/>
          <w:iCs w:val="1"/>
          <w:color w:val="auto"/>
        </w:rPr>
        <w:t xml:space="preserve"> Reference Rate Reform (Topic 848): Deferral of the Sunset Date of Topic 848</w:t>
      </w:r>
      <w:r>
        <w:rPr>
          <w:rFonts w:ascii="Arial" w:cs="Arial" w:eastAsia="Arial" w:hAnsi="Arial"/>
          <w:sz w:val="17"/>
          <w:szCs w:val="17"/>
          <w:color w:val="auto"/>
        </w:rPr>
        <w:t>. Together, the ASUs provide temporary optional guidance to ease the potential burden in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reference rate reform. The guidance provides optional expedients and exceptions for applying GAAP to transactions affected by reference rate reform if certain criteria are met. The Company adopted the reference rate reform guidance in connection with its amendment of the 2026 Term Loan on June 8, 2023 to transition from the Eurodollar Rate based on LIBOR to a Secured Overnight Financing Rate (SOFR), effective as of July 1, 2023, as the reference interest rate in anticipation of the cessation of LIBOR in 2023 (see Note 5 for further discussion). The impact of adopting this guidance was not material to the condensed consolidated financial statements. The Company continues to evaluate and monitor developments and its assessment of this guidance during the LIBOR transition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goodwill by reportable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December 31, 2022</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Activity</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3"/>
                <w:szCs w:val="13"/>
                <w:b w:val="1"/>
                <w:bCs w:val="1"/>
                <w:color w:val="auto"/>
                <w:w w:val="99"/>
              </w:rPr>
              <w:t>June 30, 2023</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3"/>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70"/>
              <w:spacing w:after="0" w:line="143"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3"/>
              <w:spacing w:after="0" w:line="143" w:lineRule="exact"/>
              <w:rPr>
                <w:sz w:val="20"/>
                <w:szCs w:val="20"/>
                <w:color w:val="auto"/>
              </w:rPr>
            </w:pPr>
            <w:r>
              <w:rPr>
                <w:rFonts w:ascii="Arial" w:cs="Arial" w:eastAsia="Arial" w:hAnsi="Arial"/>
                <w:sz w:val="13"/>
                <w:szCs w:val="13"/>
                <w:b w:val="1"/>
                <w:bCs w:val="1"/>
                <w:color w:val="auto"/>
                <w:w w:val="96"/>
              </w:rPr>
              <w:t>Foreign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1"/>
              <w:spacing w:after="0" w:line="143"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70"/>
              <w:spacing w:after="0"/>
              <w:rPr>
                <w:sz w:val="20"/>
                <w:szCs w:val="20"/>
                <w:color w:val="auto"/>
              </w:rPr>
            </w:pPr>
            <w:r>
              <w:rPr>
                <w:rFonts w:ascii="Arial" w:cs="Arial" w:eastAsia="Arial" w:hAnsi="Arial"/>
                <w:sz w:val="13"/>
                <w:szCs w:val="13"/>
                <w:b w:val="1"/>
                <w:bCs w:val="1"/>
                <w:color w:val="auto"/>
                <w:w w:val="99"/>
              </w:rPr>
              <w:t>Impairment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80"/>
              <w:spacing w:after="0"/>
              <w:rPr>
                <w:sz w:val="20"/>
                <w:szCs w:val="20"/>
                <w:color w:val="auto"/>
              </w:rPr>
            </w:pPr>
            <w:r>
              <w:rPr>
                <w:rFonts w:ascii="Arial" w:cs="Arial" w:eastAsia="Arial" w:hAnsi="Arial"/>
                <w:sz w:val="13"/>
                <w:szCs w:val="13"/>
                <w:b w:val="1"/>
                <w:bCs w:val="1"/>
                <w:color w:val="auto"/>
              </w:rPr>
              <w:t>Additions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Exchange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1"/>
              <w:spacing w:after="0"/>
              <w:rPr>
                <w:sz w:val="20"/>
                <w:szCs w:val="20"/>
                <w:color w:val="auto"/>
              </w:rPr>
            </w:pPr>
            <w:r>
              <w:rPr>
                <w:rFonts w:ascii="Arial" w:cs="Arial" w:eastAsia="Arial" w:hAnsi="Arial"/>
                <w:sz w:val="13"/>
                <w:szCs w:val="13"/>
                <w:b w:val="1"/>
                <w:bCs w:val="1"/>
                <w:color w:val="auto"/>
                <w:w w:val="99"/>
              </w:rPr>
              <w:t>Impairment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33"/>
              <w:spacing w:after="0"/>
              <w:rPr>
                <w:sz w:val="20"/>
                <w:szCs w:val="20"/>
                <w:color w:val="auto"/>
              </w:rPr>
            </w:pPr>
            <w:r>
              <w:rPr>
                <w:rFonts w:ascii="Arial" w:cs="Arial" w:eastAsia="Arial" w:hAnsi="Arial"/>
                <w:sz w:val="13"/>
                <w:szCs w:val="13"/>
                <w:b w:val="1"/>
                <w:bCs w:val="1"/>
                <w:color w:val="auto"/>
                <w:w w:val="94"/>
              </w:rPr>
              <w:t>Goodwill</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30"/>
              <w:spacing w:after="0"/>
              <w:rPr>
                <w:sz w:val="20"/>
                <w:szCs w:val="20"/>
                <w:color w:val="auto"/>
              </w:rPr>
            </w:pPr>
            <w:r>
              <w:rPr>
                <w:rFonts w:ascii="Arial" w:cs="Arial" w:eastAsia="Arial" w:hAnsi="Arial"/>
                <w:sz w:val="13"/>
                <w:szCs w:val="13"/>
                <w:b w:val="1"/>
                <w:bCs w:val="1"/>
                <w:color w:val="auto"/>
                <w:w w:val="84"/>
              </w:rPr>
              <w:t>Losses</w:t>
            </w: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b w:val="1"/>
                <w:bCs w:val="1"/>
                <w:color w:val="auto"/>
              </w:rPr>
              <w:t>(Deductions)</w:t>
            </w:r>
          </w:p>
        </w:tc>
        <w:tc>
          <w:tcPr>
            <w:tcW w:w="3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Impairment</w:t>
            </w:r>
          </w:p>
        </w:tc>
        <w:tc>
          <w:tcPr>
            <w:tcW w:w="30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and Other</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3"/>
              <w:spacing w:after="0"/>
              <w:rPr>
                <w:sz w:val="20"/>
                <w:szCs w:val="20"/>
                <w:color w:val="auto"/>
              </w:rPr>
            </w:pPr>
            <w:r>
              <w:rPr>
                <w:rFonts w:ascii="Arial" w:cs="Arial" w:eastAsia="Arial" w:hAnsi="Arial"/>
                <w:sz w:val="13"/>
                <w:szCs w:val="13"/>
                <w:b w:val="1"/>
                <w:bCs w:val="1"/>
                <w:color w:val="auto"/>
                <w:w w:val="98"/>
              </w:rPr>
              <w:t>Goodwill</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3"/>
                <w:szCs w:val="13"/>
                <w:b w:val="1"/>
                <w:bCs w:val="1"/>
                <w:color w:val="auto"/>
                <w:w w:val="84"/>
              </w:rPr>
              <w:t>Losses</w:t>
            </w:r>
          </w:p>
        </w:tc>
        <w:tc>
          <w:tcPr>
            <w:tcW w:w="18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5"/>
                <w:szCs w:val="15"/>
                <w:color w:val="auto"/>
              </w:rPr>
            </w:pPr>
          </w:p>
        </w:tc>
      </w:tr>
      <w:tr>
        <w:trPr>
          <w:trHeight w:val="237"/>
        </w:trPr>
        <w:tc>
          <w:tcPr>
            <w:tcW w:w="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CCS</w:t>
            </w: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2,280.9</w:t>
            </w:r>
          </w:p>
        </w:tc>
        <w:tc>
          <w:tcPr>
            <w:tcW w:w="30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2,229.4</w:t>
            </w:r>
          </w:p>
        </w:tc>
        <w:tc>
          <w:tcPr>
            <w:tcW w:w="28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CFF"/>
          </w:tcPr>
          <w:p>
            <w:pPr>
              <w:ind w:left="6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20"/>
                <w:szCs w:val="20"/>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CFF"/>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2,286.0</w:t>
            </w:r>
          </w:p>
        </w:tc>
        <w:tc>
          <w:tcPr>
            <w:tcW w:w="300" w:type="dxa"/>
            <w:vAlign w:val="bottom"/>
            <w:shd w:val="clear" w:color="auto" w:fill="CCECFF"/>
          </w:tcPr>
          <w:p>
            <w:pPr>
              <w:spacing w:after="0"/>
              <w:rPr>
                <w:sz w:val="20"/>
                <w:szCs w:val="20"/>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CFF"/>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2,234.5</w:t>
            </w:r>
          </w:p>
        </w:tc>
        <w:tc>
          <w:tcPr>
            <w:tcW w:w="140" w:type="dxa"/>
            <w:vAlign w:val="bottom"/>
            <w:shd w:val="clear" w:color="auto" w:fill="CCECFF"/>
          </w:tcPr>
          <w:p>
            <w:pPr>
              <w:spacing w:after="0"/>
              <w:rPr>
                <w:sz w:val="20"/>
                <w:szCs w:val="20"/>
                <w:color w:val="auto"/>
              </w:rPr>
            </w:pPr>
          </w:p>
        </w:tc>
      </w:tr>
      <w:tr>
        <w:trPr>
          <w:trHeight w:val="237"/>
        </w:trPr>
        <w:tc>
          <w:tcPr>
            <w:tcW w:w="760" w:type="dxa"/>
            <w:vAlign w:val="bottom"/>
          </w:tcPr>
          <w:p>
            <w:pPr>
              <w:ind w:left="20"/>
              <w:spacing w:after="0"/>
              <w:rPr>
                <w:sz w:val="20"/>
                <w:szCs w:val="20"/>
                <w:color w:val="auto"/>
              </w:rPr>
            </w:pPr>
            <w:r>
              <w:rPr>
                <w:rFonts w:ascii="Arial" w:cs="Arial" w:eastAsia="Arial" w:hAnsi="Arial"/>
                <w:sz w:val="18"/>
                <w:szCs w:val="18"/>
                <w:color w:val="auto"/>
              </w:rPr>
              <w:t>OWN</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(159.5 )</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(159.5 )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502.0</w:t>
            </w:r>
          </w:p>
        </w:tc>
        <w:tc>
          <w:tcPr>
            <w:tcW w:w="140" w:type="dxa"/>
            <w:vAlign w:val="bottom"/>
          </w:tcPr>
          <w:p>
            <w:pPr>
              <w:spacing w:after="0"/>
              <w:rPr>
                <w:sz w:val="20"/>
                <w:szCs w:val="20"/>
                <w:color w:val="auto"/>
              </w:rPr>
            </w:pPr>
          </w:p>
        </w:tc>
      </w:tr>
      <w:tr>
        <w:trPr>
          <w:trHeight w:val="249"/>
        </w:trPr>
        <w:tc>
          <w:tcPr>
            <w:tcW w:w="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NICS</w:t>
            </w: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649.4</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rPr>
              <w:t>(41.2 )</w:t>
            </w: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608.2</w:t>
            </w:r>
          </w:p>
        </w:tc>
        <w:tc>
          <w:tcPr>
            <w:tcW w:w="2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shd w:val="clear" w:color="auto" w:fill="CCECFF"/>
          </w:tcPr>
          <w:p>
            <w:pPr>
              <w:ind w:left="6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649.9</w:t>
            </w:r>
          </w:p>
        </w:tc>
        <w:tc>
          <w:tcPr>
            <w:tcW w:w="3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141"/>
              <w:spacing w:after="0"/>
              <w:rPr>
                <w:sz w:val="20"/>
                <w:szCs w:val="20"/>
                <w:color w:val="auto"/>
              </w:rPr>
            </w:pPr>
            <w:r>
              <w:rPr>
                <w:rFonts w:ascii="Arial" w:cs="Arial" w:eastAsia="Arial" w:hAnsi="Arial"/>
                <w:sz w:val="18"/>
                <w:szCs w:val="18"/>
                <w:color w:val="auto"/>
              </w:rPr>
              <w:t>(41.2 )</w:t>
            </w: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608.7</w:t>
            </w:r>
          </w:p>
        </w:tc>
        <w:tc>
          <w:tcPr>
            <w:tcW w:w="140" w:type="dxa"/>
            <w:vAlign w:val="bottom"/>
            <w:shd w:val="clear" w:color="auto" w:fill="CCECFF"/>
          </w:tcPr>
          <w:p>
            <w:pPr>
              <w:spacing w:after="0"/>
              <w:rPr>
                <w:sz w:val="21"/>
                <w:szCs w:val="21"/>
                <w:color w:val="auto"/>
              </w:rPr>
            </w:pPr>
          </w:p>
        </w:tc>
      </w:tr>
      <w:tr>
        <w:trPr>
          <w:trHeight w:val="237"/>
        </w:trPr>
        <w:tc>
          <w:tcPr>
            <w:tcW w:w="760" w:type="dxa"/>
            <w:vAlign w:val="bottom"/>
          </w:tcPr>
          <w:p>
            <w:pPr>
              <w:ind w:left="20"/>
              <w:spacing w:after="0"/>
              <w:rPr>
                <w:sz w:val="20"/>
                <w:szCs w:val="20"/>
                <w:color w:val="auto"/>
              </w:rPr>
            </w:pPr>
            <w:r>
              <w:rPr>
                <w:rFonts w:ascii="Arial" w:cs="Arial" w:eastAsia="Arial" w:hAnsi="Arial"/>
                <w:sz w:val="18"/>
                <w:szCs w:val="18"/>
                <w:color w:val="auto"/>
              </w:rPr>
              <w:t>ANS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1,995.7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(1,261.7 )</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1,995.7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(1,261.7 )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734.0</w:t>
            </w:r>
          </w:p>
        </w:tc>
        <w:tc>
          <w:tcPr>
            <w:tcW w:w="140" w:type="dxa"/>
            <w:vAlign w:val="bottom"/>
          </w:tcPr>
          <w:p>
            <w:pPr>
              <w:spacing w:after="0"/>
              <w:rPr>
                <w:sz w:val="20"/>
                <w:szCs w:val="20"/>
                <w:color w:val="auto"/>
              </w:rPr>
            </w:pPr>
          </w:p>
        </w:tc>
      </w:tr>
      <w:tr>
        <w:trPr>
          <w:trHeight w:val="249"/>
        </w:trPr>
        <w:tc>
          <w:tcPr>
            <w:tcW w:w="760" w:type="dxa"/>
            <w:vAlign w:val="bottom"/>
            <w:shd w:val="clear" w:color="auto" w:fill="CCECFF"/>
          </w:tcPr>
          <w:p>
            <w:pPr>
              <w:ind w:left="20"/>
              <w:spacing w:after="0"/>
              <w:rPr>
                <w:sz w:val="20"/>
                <w:szCs w:val="20"/>
                <w:color w:val="auto"/>
              </w:rPr>
            </w:pPr>
            <w:r>
              <w:rPr>
                <w:rFonts w:ascii="Arial" w:cs="Arial" w:eastAsia="Arial" w:hAnsi="Arial"/>
                <w:sz w:val="18"/>
                <w:szCs w:val="18"/>
                <w:color w:val="auto"/>
              </w:rPr>
              <w:t>Home</w:t>
            </w: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413.2</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rPr>
              <w:t>(413.2 )</w:t>
            </w: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shd w:val="clear" w:color="auto" w:fill="CCECFF"/>
          </w:tcPr>
          <w:p>
            <w:pPr>
              <w:ind w:left="6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413.2</w:t>
            </w:r>
          </w:p>
        </w:tc>
        <w:tc>
          <w:tcPr>
            <w:tcW w:w="3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141"/>
              <w:spacing w:after="0"/>
              <w:rPr>
                <w:sz w:val="20"/>
                <w:szCs w:val="20"/>
                <w:color w:val="auto"/>
              </w:rPr>
            </w:pPr>
            <w:r>
              <w:rPr>
                <w:rFonts w:ascii="Arial" w:cs="Arial" w:eastAsia="Arial" w:hAnsi="Arial"/>
                <w:sz w:val="18"/>
                <w:szCs w:val="18"/>
                <w:color w:val="auto"/>
              </w:rPr>
              <w:t>(413.2 )</w:t>
            </w: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r>
      <w:tr>
        <w:trPr>
          <w:trHeight w:val="20"/>
        </w:trPr>
        <w:tc>
          <w:tcPr>
            <w:tcW w:w="7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36"/>
        </w:trPr>
        <w:tc>
          <w:tcPr>
            <w:tcW w:w="7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5,999.5</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(1,927.1 )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4,072.4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(1,927.1 )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4,079.2</w:t>
            </w:r>
          </w:p>
        </w:tc>
        <w:tc>
          <w:tcPr>
            <w:tcW w:w="140" w:type="dxa"/>
            <w:vAlign w:val="bottom"/>
          </w:tcPr>
          <w:p>
            <w:pPr>
              <w:spacing w:after="0"/>
              <w:rPr>
                <w:sz w:val="20"/>
                <w:szCs w:val="20"/>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-187960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-187960</wp:posOffset>
            </wp:positionV>
            <wp:extent cx="8572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-187960</wp:posOffset>
            </wp:positionV>
            <wp:extent cx="768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-187960</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-187960</wp:posOffset>
            </wp:positionV>
            <wp:extent cx="7747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774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7747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-187960</wp:posOffset>
            </wp:positionV>
            <wp:extent cx="857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666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Disaggregated Net Sales</w:t>
      </w:r>
    </w:p>
    <w:p>
      <w:pPr>
        <w:spacing w:after="0"/>
        <w:rPr>
          <w:sz w:val="20"/>
          <w:szCs w:val="20"/>
          <w:color w:val="auto"/>
        </w:rPr>
      </w:pPr>
      <w:r>
        <w:rPr>
          <w:rFonts w:ascii="Arial" w:cs="Arial" w:eastAsia="Arial" w:hAnsi="Arial"/>
          <w:sz w:val="18"/>
          <w:szCs w:val="18"/>
          <w:color w:val="auto"/>
        </w:rPr>
        <w:t>See Note 7 for the presentation of net sales by segment and geographic region.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4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47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313"/>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Pr>
          <w:p>
            <w:pPr>
              <w:spacing w:after="0"/>
              <w:rPr>
                <w:sz w:val="19"/>
                <w:szCs w:val="19"/>
                <w:color w:val="auto"/>
              </w:rPr>
            </w:pPr>
          </w:p>
        </w:tc>
      </w:tr>
      <w:tr>
        <w:trPr>
          <w:trHeight w:val="236"/>
        </w:trPr>
        <w:tc>
          <w:tcPr>
            <w:tcW w:w="47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Allowance for doubtful accounts, beginning of period</w:t>
            </w:r>
          </w:p>
        </w:tc>
        <w:tc>
          <w:tcPr>
            <w:tcW w:w="1020" w:type="dxa"/>
            <w:vAlign w:val="bottom"/>
            <w:shd w:val="clear" w:color="auto" w:fill="CCECFF"/>
          </w:tcPr>
          <w:p>
            <w:pPr>
              <w:spacing w:after="0"/>
              <w:rPr>
                <w:sz w:val="20"/>
                <w:szCs w:val="20"/>
                <w:color w:val="auto"/>
              </w:rPr>
            </w:pPr>
          </w:p>
        </w:tc>
        <w:tc>
          <w:tcPr>
            <w:tcW w:w="700" w:type="dxa"/>
            <w:vAlign w:val="bottom"/>
            <w:tcBorders>
              <w:top w:val="single" w:sz="8" w:color="auto"/>
            </w:tcBorders>
            <w:shd w:val="clear" w:color="auto" w:fill="CCECFF"/>
          </w:tcPr>
          <w:p>
            <w:pPr>
              <w:jc w:val="right"/>
              <w:ind w:right="5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6"/>
              </w:rPr>
              <w:t>81.2</w:t>
            </w:r>
          </w:p>
        </w:tc>
        <w:tc>
          <w:tcPr>
            <w:tcW w:w="360" w:type="dxa"/>
            <w:vAlign w:val="bottom"/>
            <w:shd w:val="clear" w:color="auto" w:fill="CCECFF"/>
          </w:tcPr>
          <w:p>
            <w:pPr>
              <w:spacing w:after="0"/>
              <w:rPr>
                <w:sz w:val="20"/>
                <w:szCs w:val="20"/>
                <w:color w:val="auto"/>
              </w:rPr>
            </w:pPr>
          </w:p>
        </w:tc>
        <w:tc>
          <w:tcPr>
            <w:tcW w:w="700" w:type="dxa"/>
            <w:vAlign w:val="bottom"/>
            <w:tcBorders>
              <w:top w:val="single" w:sz="8" w:color="auto"/>
            </w:tcBorders>
            <w:shd w:val="clear" w:color="auto" w:fill="CCECFF"/>
          </w:tcPr>
          <w:p>
            <w:pPr>
              <w:jc w:val="right"/>
              <w:ind w:right="5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6"/>
              </w:rPr>
              <w:t>64.8</w:t>
            </w:r>
          </w:p>
        </w:tc>
        <w:tc>
          <w:tcPr>
            <w:tcW w:w="340" w:type="dxa"/>
            <w:vAlign w:val="bottom"/>
            <w:shd w:val="clear" w:color="auto" w:fill="CCECFF"/>
          </w:tcPr>
          <w:p>
            <w:pPr>
              <w:spacing w:after="0"/>
              <w:rPr>
                <w:sz w:val="20"/>
                <w:szCs w:val="20"/>
                <w:color w:val="auto"/>
              </w:rPr>
            </w:pPr>
          </w:p>
        </w:tc>
        <w:tc>
          <w:tcPr>
            <w:tcW w:w="240" w:type="dxa"/>
            <w:vAlign w:val="bottom"/>
            <w:tcBorders>
              <w:top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CFF"/>
          </w:tcPr>
          <w:p>
            <w:pPr>
              <w:spacing w:after="0"/>
              <w:rPr>
                <w:sz w:val="20"/>
                <w:szCs w:val="20"/>
                <w:color w:val="auto"/>
              </w:rPr>
            </w:pPr>
          </w:p>
        </w:tc>
        <w:tc>
          <w:tcPr>
            <w:tcW w:w="400" w:type="dxa"/>
            <w:vAlign w:val="bottom"/>
            <w:tcBorders>
              <w:top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CFF"/>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Provision (benefit)</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(1.7 )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0"/>
                <w:szCs w:val="20"/>
                <w:color w:val="auto"/>
              </w:rPr>
            </w:pPr>
          </w:p>
        </w:tc>
      </w:tr>
      <w:tr>
        <w:trPr>
          <w:trHeight w:val="249"/>
        </w:trPr>
        <w:tc>
          <w:tcPr>
            <w:tcW w:w="4720" w:type="dxa"/>
            <w:vAlign w:val="bottom"/>
            <w:shd w:val="clear" w:color="auto" w:fill="CCECFF"/>
          </w:tcPr>
          <w:p>
            <w:pPr>
              <w:ind w:left="20"/>
              <w:spacing w:after="0"/>
              <w:rPr>
                <w:sz w:val="20"/>
                <w:szCs w:val="20"/>
                <w:color w:val="auto"/>
              </w:rPr>
            </w:pPr>
            <w:r>
              <w:rPr>
                <w:rFonts w:ascii="Arial" w:cs="Arial" w:eastAsia="Arial" w:hAnsi="Arial"/>
                <w:sz w:val="18"/>
                <w:szCs w:val="18"/>
                <w:color w:val="auto"/>
              </w:rPr>
              <w:t>Write-offs</w:t>
            </w:r>
          </w:p>
        </w:tc>
        <w:tc>
          <w:tcPr>
            <w:tcW w:w="102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w w:val="84"/>
              </w:rPr>
              <w:t>(21.5 )</w:t>
            </w:r>
          </w:p>
        </w:tc>
        <w:tc>
          <w:tcPr>
            <w:tcW w:w="70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w w:val="99"/>
              </w:rPr>
              <w:t>(0.2 )</w:t>
            </w:r>
          </w:p>
        </w:tc>
        <w:tc>
          <w:tcPr>
            <w:tcW w:w="24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(23.2 )</w:t>
            </w:r>
          </w:p>
        </w:tc>
        <w:tc>
          <w:tcPr>
            <w:tcW w:w="40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(1.1 )</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Foreign exchange and other</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(1.3 )</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r>
      <w:tr>
        <w:trPr>
          <w:trHeight w:val="276"/>
        </w:trPr>
        <w:tc>
          <w:tcPr>
            <w:tcW w:w="47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Allowance for doubtful accounts, end of period</w:t>
            </w:r>
          </w:p>
        </w:tc>
        <w:tc>
          <w:tcPr>
            <w:tcW w:w="1020" w:type="dxa"/>
            <w:vAlign w:val="bottom"/>
            <w:tcBorders>
              <w:bottom w:val="single" w:sz="8" w:color="CCECFF"/>
            </w:tcBorders>
            <w:shd w:val="clear" w:color="auto" w:fill="CCECFF"/>
          </w:tcPr>
          <w:p>
            <w:pPr>
              <w:spacing w:after="0"/>
              <w:rPr>
                <w:sz w:val="24"/>
                <w:szCs w:val="24"/>
                <w:color w:val="auto"/>
              </w:rPr>
            </w:pPr>
          </w:p>
        </w:tc>
        <w:tc>
          <w:tcPr>
            <w:tcW w:w="700" w:type="dxa"/>
            <w:vAlign w:val="bottom"/>
            <w:tcBorders>
              <w:top w:val="single" w:sz="8" w:color="auto"/>
              <w:bottom w:val="single" w:sz="8" w:color="auto"/>
            </w:tcBorders>
            <w:shd w:val="clear" w:color="auto" w:fill="CCECFF"/>
          </w:tcPr>
          <w:p>
            <w:pPr>
              <w:jc w:val="right"/>
              <w:ind w:right="5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6"/>
              </w:rPr>
              <w:t>63.0</w:t>
            </w:r>
          </w:p>
        </w:tc>
        <w:tc>
          <w:tcPr>
            <w:tcW w:w="360" w:type="dxa"/>
            <w:vAlign w:val="bottom"/>
            <w:tcBorders>
              <w:bottom w:val="single" w:sz="8" w:color="CCECFF"/>
            </w:tcBorders>
            <w:shd w:val="clear" w:color="auto" w:fill="CCECFF"/>
          </w:tcPr>
          <w:p>
            <w:pPr>
              <w:spacing w:after="0"/>
              <w:rPr>
                <w:sz w:val="24"/>
                <w:szCs w:val="24"/>
                <w:color w:val="auto"/>
              </w:rPr>
            </w:pPr>
          </w:p>
        </w:tc>
        <w:tc>
          <w:tcPr>
            <w:tcW w:w="700" w:type="dxa"/>
            <w:vAlign w:val="bottom"/>
            <w:tcBorders>
              <w:top w:val="single" w:sz="8" w:color="auto"/>
              <w:bottom w:val="single" w:sz="8" w:color="auto"/>
            </w:tcBorders>
            <w:shd w:val="clear" w:color="auto" w:fill="CCECFF"/>
          </w:tcPr>
          <w:p>
            <w:pPr>
              <w:jc w:val="right"/>
              <w:ind w:right="5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6"/>
              </w:rPr>
              <w:t>61.6</w:t>
            </w:r>
          </w:p>
        </w:tc>
        <w:tc>
          <w:tcPr>
            <w:tcW w:w="34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63.0</w:t>
            </w:r>
          </w:p>
        </w:tc>
        <w:tc>
          <w:tcPr>
            <w:tcW w:w="34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Borders>
              <w:bottom w:val="single" w:sz="8" w:color="CCECFF"/>
            </w:tcBorders>
            <w:shd w:val="clear" w:color="auto" w:fill="CCECFF"/>
          </w:tcPr>
          <w:p>
            <w:pPr>
              <w:spacing w:after="0"/>
              <w:rPr>
                <w:sz w:val="24"/>
                <w:szCs w:val="24"/>
                <w:color w:val="auto"/>
              </w:rPr>
            </w:pPr>
          </w:p>
        </w:tc>
      </w:tr>
      <w:tr>
        <w:trPr>
          <w:trHeight w:val="629"/>
        </w:trPr>
        <w:tc>
          <w:tcPr>
            <w:tcW w:w="4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20"/>
        </w:trPr>
        <w:tc>
          <w:tcPr>
            <w:tcW w:w="4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-779780</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-762000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-779780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-762000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-779780</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-762000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-779780</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-762000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38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the three and six months ended June 30, 2023, the Company wrote off $18.5 million related to an accounts receivable balance that had previously been fully reserved during the year ended December 31, 2022. The balance related to a distributor in the Outdoor Wireless Networks segment.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Contract Balances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the balance sheet location and amounts of contract assets, or unbilled accounts receivable, and contract liabilities, or deferred revenue, from contracts with customers: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Contract Balance Type</w:t>
            </w:r>
          </w:p>
        </w:tc>
        <w:tc>
          <w:tcPr>
            <w:tcW w:w="200" w:type="dxa"/>
            <w:vAlign w:val="bottom"/>
          </w:tcPr>
          <w:p>
            <w:pPr>
              <w:spacing w:after="0"/>
              <w:rPr>
                <w:sz w:val="14"/>
                <w:szCs w:val="14"/>
                <w:color w:val="auto"/>
              </w:rPr>
            </w:pPr>
          </w:p>
        </w:tc>
        <w:tc>
          <w:tcPr>
            <w:tcW w:w="508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June 30,</w:t>
            </w:r>
          </w:p>
        </w:tc>
        <w:tc>
          <w:tcPr>
            <w:tcW w:w="340" w:type="dxa"/>
            <w:vAlign w:val="bottom"/>
          </w:tcPr>
          <w:p>
            <w:pPr>
              <w:spacing w:after="0"/>
              <w:rPr>
                <w:sz w:val="14"/>
                <w:szCs w:val="14"/>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CECFF"/>
          </w:tcPr>
          <w:p>
            <w:pPr>
              <w:ind w:left="20"/>
              <w:spacing w:after="0"/>
              <w:rPr>
                <w:sz w:val="20"/>
                <w:szCs w:val="20"/>
                <w:color w:val="auto"/>
              </w:rPr>
            </w:pPr>
            <w:r>
              <w:rPr>
                <w:rFonts w:ascii="Arial" w:cs="Arial" w:eastAsia="Arial" w:hAnsi="Arial"/>
                <w:sz w:val="18"/>
                <w:szCs w:val="18"/>
                <w:color w:val="auto"/>
              </w:rPr>
              <w:t>Unbilled accounts receivable</w:t>
            </w:r>
          </w:p>
        </w:tc>
        <w:tc>
          <w:tcPr>
            <w:tcW w:w="200" w:type="dxa"/>
            <w:vAlign w:val="bottom"/>
            <w:shd w:val="clear" w:color="auto" w:fill="CCECFF"/>
          </w:tcPr>
          <w:p>
            <w:pPr>
              <w:spacing w:after="0"/>
              <w:rPr>
                <w:sz w:val="20"/>
                <w:szCs w:val="20"/>
                <w:color w:val="auto"/>
              </w:rPr>
            </w:pPr>
          </w:p>
        </w:tc>
        <w:tc>
          <w:tcPr>
            <w:tcW w:w="508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receivable, net of allowance for doubtful accounts</w:t>
            </w:r>
          </w:p>
        </w:tc>
        <w:tc>
          <w:tcPr>
            <w:tcW w:w="200" w:type="dxa"/>
            <w:vAlign w:val="bottom"/>
            <w:shd w:val="clear" w:color="auto" w:fill="CCECFF"/>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CCECFF"/>
          </w:tcPr>
          <w:p>
            <w:pPr>
              <w:spacing w:after="0"/>
              <w:rPr>
                <w:sz w:val="20"/>
                <w:szCs w:val="20"/>
                <w:color w:val="auto"/>
              </w:rPr>
            </w:pPr>
          </w:p>
        </w:tc>
        <w:tc>
          <w:tcPr>
            <w:tcW w:w="220" w:type="dxa"/>
            <w:vAlign w:val="bottom"/>
            <w:shd w:val="clear" w:color="auto" w:fill="CCEC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Deferred revenue - current</w:t>
            </w:r>
          </w:p>
        </w:tc>
        <w:tc>
          <w:tcPr>
            <w:tcW w:w="200" w:type="dxa"/>
            <w:vAlign w:val="bottom"/>
            <w:shd w:val="clear" w:color="auto" w:fill="CCECFF"/>
          </w:tcPr>
          <w:p>
            <w:pPr>
              <w:spacing w:after="0"/>
              <w:rPr>
                <w:sz w:val="21"/>
                <w:szCs w:val="21"/>
                <w:color w:val="auto"/>
              </w:rPr>
            </w:pPr>
          </w:p>
        </w:tc>
        <w:tc>
          <w:tcPr>
            <w:tcW w:w="508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and other liabilities</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109.6</w:t>
            </w:r>
          </w:p>
        </w:tc>
        <w:tc>
          <w:tcPr>
            <w:tcW w:w="560" w:type="dxa"/>
            <w:vAlign w:val="bottom"/>
            <w:gridSpan w:val="2"/>
            <w:shd w:val="clear" w:color="auto" w:fill="CCECFF"/>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20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26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8"/>
                <w:szCs w:val="18"/>
                <w:color w:val="auto"/>
              </w:rPr>
              <w:t>Total contract liabilities</w:t>
            </w:r>
          </w:p>
        </w:tc>
        <w:tc>
          <w:tcPr>
            <w:tcW w:w="200" w:type="dxa"/>
            <w:vAlign w:val="bottom"/>
            <w:tcBorders>
              <w:bottom w:val="single" w:sz="8" w:color="CCECFF"/>
            </w:tcBorders>
            <w:shd w:val="clear" w:color="auto" w:fill="CCECFF"/>
          </w:tcPr>
          <w:p>
            <w:pPr>
              <w:spacing w:after="0"/>
              <w:rPr>
                <w:sz w:val="24"/>
                <w:szCs w:val="24"/>
                <w:color w:val="auto"/>
              </w:rPr>
            </w:pPr>
          </w:p>
        </w:tc>
        <w:tc>
          <w:tcPr>
            <w:tcW w:w="50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173.7</w:t>
            </w:r>
          </w:p>
        </w:tc>
        <w:tc>
          <w:tcPr>
            <w:tcW w:w="3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-25400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There were no material changes to contract asset balances for the six months ended June 30, 2023 as a result of changes in estimates or impairments. The change in the contract liability balance from December 31, 2022 to June 30, 2023 was primarily due to upfront support billings to be recognized over the support term. During the three and six months ended June 30, 2023, the Company recognized $25.8 million and $63.9 million, respectively, of revenue related to contract liabilities recorded as of December 31, 2022.</w:t>
      </w:r>
    </w:p>
    <w:p>
      <w:pPr>
        <w:spacing w:after="0" w:line="291" w:lineRule="exact"/>
        <w:rPr>
          <w:sz w:val="20"/>
          <w:szCs w:val="20"/>
          <w:color w:val="auto"/>
        </w:rPr>
      </w:pPr>
    </w:p>
    <w:p>
      <w:pPr>
        <w:ind w:right="6020" w:firstLine="8"/>
        <w:spacing w:after="0" w:line="560"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STATEMENT INFORMATION Accounts Receivable</w:t>
      </w:r>
    </w:p>
    <w:tbl>
      <w:tblPr>
        <w:tblLayout w:type="fixed"/>
        <w:tblInd w:w="0" w:type="dxa"/>
        <w:tblCellMar>
          <w:top w:w="0" w:type="dxa"/>
          <w:left w:w="0" w:type="dxa"/>
          <w:bottom w:w="0" w:type="dxa"/>
          <w:right w:w="0" w:type="dxa"/>
        </w:tblCellMar>
      </w:tblPr>
      <w:tr>
        <w:trPr>
          <w:trHeight w:val="150"/>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center"/>
              <w:ind w:right="660"/>
              <w:spacing w:after="0" w:line="150"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90"/>
              </w:rPr>
              <w:t>December 31,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shd w:val="clear" w:color="auto" w:fill="CCECFF"/>
          </w:tcPr>
          <w:p>
            <w:pPr>
              <w:spacing w:after="0"/>
              <w:rPr>
                <w:sz w:val="20"/>
                <w:szCs w:val="20"/>
                <w:color w:val="auto"/>
              </w:rPr>
            </w:pPr>
            <w:r>
              <w:rPr>
                <w:rFonts w:ascii="Arial" w:cs="Arial" w:eastAsia="Arial" w:hAnsi="Arial"/>
                <w:sz w:val="18"/>
                <w:szCs w:val="18"/>
                <w:color w:val="auto"/>
              </w:rPr>
              <w:t>Accounts receivable - trade</w:t>
            </w:r>
          </w:p>
        </w:tc>
        <w:tc>
          <w:tcPr>
            <w:tcW w:w="324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1,375.0</w:t>
            </w:r>
          </w:p>
        </w:tc>
        <w:tc>
          <w:tcPr>
            <w:tcW w:w="360" w:type="dxa"/>
            <w:vAlign w:val="bottom"/>
            <w:shd w:val="clear" w:color="auto" w:fill="CCECFF"/>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1,545.3</w:t>
            </w:r>
          </w:p>
        </w:tc>
        <w:tc>
          <w:tcPr>
            <w:tcW w:w="120" w:type="dxa"/>
            <w:vAlign w:val="bottom"/>
            <w:shd w:val="clear" w:color="auto" w:fill="CCEC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Accounts receivable - other</w:t>
            </w: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60" w:type="dxa"/>
            <w:vAlign w:val="bottom"/>
            <w:shd w:val="clear" w:color="auto" w:fill="CCECFF"/>
          </w:tcPr>
          <w:p>
            <w:pPr>
              <w:spacing w:after="0"/>
              <w:rPr>
                <w:sz w:val="20"/>
                <w:szCs w:val="20"/>
                <w:color w:val="auto"/>
              </w:rPr>
            </w:pPr>
            <w:r>
              <w:rPr>
                <w:rFonts w:ascii="Arial" w:cs="Arial" w:eastAsia="Arial" w:hAnsi="Arial"/>
                <w:sz w:val="18"/>
                <w:szCs w:val="18"/>
                <w:color w:val="auto"/>
              </w:rPr>
              <w:t>Allowance for doubtful accounts</w:t>
            </w:r>
          </w:p>
        </w:tc>
        <w:tc>
          <w:tcPr>
            <w:tcW w:w="3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(63.0 )</w:t>
            </w:r>
          </w:p>
        </w:tc>
        <w:tc>
          <w:tcPr>
            <w:tcW w:w="18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(82.8 )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Total accounts receivable, net</w:t>
            </w:r>
          </w:p>
        </w:tc>
        <w:tc>
          <w:tcPr>
            <w:tcW w:w="3240" w:type="dxa"/>
            <w:vAlign w:val="bottom"/>
            <w:tcBorders>
              <w:top w:val="single" w:sz="8" w:color="CCEC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360" w:type="dxa"/>
            <w:vAlign w:val="bottom"/>
            <w:tcBorders>
              <w:top w:val="single" w:sz="8" w:color="CCEC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1,523.6</w:t>
            </w:r>
          </w:p>
        </w:tc>
        <w:tc>
          <w:tcPr>
            <w:tcW w:w="120" w:type="dxa"/>
            <w:vAlign w:val="bottom"/>
            <w:tcBorders>
              <w:top w:val="single" w:sz="8" w:color="CCECFF"/>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Inventories</w:t>
            </w:r>
          </w:p>
        </w:tc>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240" w:type="dxa"/>
            <w:vAlign w:val="bottom"/>
            <w:gridSpan w:val="2"/>
            <w:vMerge w:val="continue"/>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shd w:val="clear" w:color="auto" w:fill="CCECFF"/>
          </w:tcPr>
          <w:p>
            <w:pPr>
              <w:spacing w:after="0"/>
              <w:rPr>
                <w:sz w:val="20"/>
                <w:szCs w:val="20"/>
                <w:color w:val="auto"/>
              </w:rPr>
            </w:pPr>
            <w:r>
              <w:rPr>
                <w:rFonts w:ascii="Arial" w:cs="Arial" w:eastAsia="Arial" w:hAnsi="Arial"/>
                <w:sz w:val="18"/>
                <w:szCs w:val="18"/>
                <w:color w:val="auto"/>
              </w:rPr>
              <w:t>Raw materials</w:t>
            </w:r>
          </w:p>
        </w:tc>
        <w:tc>
          <w:tcPr>
            <w:tcW w:w="324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506.7</w:t>
            </w:r>
          </w:p>
        </w:tc>
        <w:tc>
          <w:tcPr>
            <w:tcW w:w="360" w:type="dxa"/>
            <w:vAlign w:val="bottom"/>
            <w:shd w:val="clear" w:color="auto" w:fill="CCECFF"/>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535.8</w:t>
            </w:r>
          </w:p>
        </w:tc>
        <w:tc>
          <w:tcPr>
            <w:tcW w:w="120" w:type="dxa"/>
            <w:vAlign w:val="bottom"/>
            <w:shd w:val="clear" w:color="auto" w:fill="CCEC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Work in process</w:t>
            </w: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Finished goods</w:t>
            </w:r>
          </w:p>
        </w:tc>
        <w:tc>
          <w:tcPr>
            <w:tcW w:w="32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787.1</w:t>
            </w:r>
          </w:p>
        </w:tc>
        <w:tc>
          <w:tcPr>
            <w:tcW w:w="3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839.6</w:t>
            </w:r>
          </w:p>
        </w:tc>
        <w:tc>
          <w:tcPr>
            <w:tcW w:w="120" w:type="dxa"/>
            <w:vAlign w:val="bottom"/>
            <w:tcBorders>
              <w:bottom w:val="single" w:sz="8" w:color="CCECFF"/>
            </w:tcBorders>
            <w:shd w:val="clear" w:color="auto" w:fill="CCEC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inventories, net</w:t>
            </w:r>
          </w:p>
        </w:tc>
        <w:tc>
          <w:tcPr>
            <w:tcW w:w="3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1,454.2</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1,588.1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40" w:type="dxa"/>
            <w:vAlign w:val="bottom"/>
            <w:vMerge w:val="restart"/>
          </w:tcPr>
          <w:p>
            <w:pPr>
              <w:jc w:val="right"/>
              <w:ind w:right="167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-2288540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-2288540</wp:posOffset>
            </wp:positionV>
            <wp:extent cx="7747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-951230</wp:posOffset>
            </wp:positionV>
            <wp:extent cx="857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-951230</wp:posOffset>
            </wp:positionV>
            <wp:extent cx="7747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and Other Liabilities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Compensation and employee benefit liabilities</w:t>
            </w:r>
          </w:p>
        </w:tc>
        <w:tc>
          <w:tcPr>
            <w:tcW w:w="24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193.2</w:t>
            </w:r>
          </w:p>
        </w:tc>
        <w:tc>
          <w:tcPr>
            <w:tcW w:w="340" w:type="dxa"/>
            <w:vAlign w:val="bottom"/>
            <w:shd w:val="clear" w:color="auto" w:fill="CCECFF"/>
          </w:tcPr>
          <w:p>
            <w:pPr>
              <w:spacing w:after="0"/>
              <w:rPr>
                <w:sz w:val="20"/>
                <w:szCs w:val="20"/>
                <w:color w:val="auto"/>
              </w:rPr>
            </w:pPr>
          </w:p>
        </w:tc>
        <w:tc>
          <w:tcPr>
            <w:tcW w:w="40" w:type="dxa"/>
            <w:vAlign w:val="bottom"/>
            <w:shd w:val="clear" w:color="auto" w:fill="CCECFF"/>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301.3</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Accrued interest</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115.7</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Deferred revenue</w:t>
            </w:r>
          </w:p>
        </w:tc>
        <w:tc>
          <w:tcPr>
            <w:tcW w:w="24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109.6</w:t>
            </w:r>
          </w:p>
        </w:tc>
        <w:tc>
          <w:tcPr>
            <w:tcW w:w="34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8"/>
              </w:rPr>
              <w:t>Contract manufacturer inventory repurchase obligation</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Restructuring liabilities</w:t>
            </w:r>
          </w:p>
        </w:tc>
        <w:tc>
          <w:tcPr>
            <w:tcW w:w="24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56.9</w:t>
            </w:r>
          </w:p>
        </w:tc>
        <w:tc>
          <w:tcPr>
            <w:tcW w:w="34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Product warranty accrual</w:t>
            </w:r>
          </w:p>
        </w:tc>
        <w:tc>
          <w:tcPr>
            <w:tcW w:w="24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41.5</w:t>
            </w:r>
          </w:p>
        </w:tc>
        <w:tc>
          <w:tcPr>
            <w:tcW w:w="34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281.3</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42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accrued and other liabilities</w:t>
            </w:r>
          </w:p>
        </w:tc>
        <w:tc>
          <w:tcPr>
            <w:tcW w:w="246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gridSpan w:val="2"/>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906.9</w:t>
            </w:r>
          </w:p>
        </w:tc>
        <w:tc>
          <w:tcPr>
            <w:tcW w:w="340" w:type="dxa"/>
            <w:vAlign w:val="bottom"/>
            <w:tcBorders>
              <w:bottom w:val="single" w:sz="8" w:color="CCECFF"/>
            </w:tcBorders>
            <w:shd w:val="clear" w:color="auto" w:fill="CCECFF"/>
          </w:tcPr>
          <w:p>
            <w:pPr>
              <w:spacing w:after="0"/>
              <w:rPr>
                <w:sz w:val="24"/>
                <w:szCs w:val="24"/>
                <w:color w:val="auto"/>
              </w:rPr>
            </w:pPr>
          </w:p>
        </w:tc>
        <w:tc>
          <w:tcPr>
            <w:tcW w:w="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Operating Lease Information</w:t>
            </w: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Balance Sheet Location</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Right of use assets</w:t>
            </w:r>
          </w:p>
        </w:tc>
        <w:tc>
          <w:tcPr>
            <w:tcW w:w="2460" w:type="dxa"/>
            <w:vAlign w:val="bottom"/>
            <w:tcBorders>
              <w:top w:val="single" w:sz="8" w:color="auto"/>
            </w:tcBorders>
            <w:shd w:val="clear" w:color="auto" w:fill="CCECFF"/>
          </w:tcPr>
          <w:p>
            <w:pPr>
              <w:ind w:left="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CFF"/>
          </w:tcPr>
          <w:p>
            <w:pPr>
              <w:spacing w:after="0"/>
              <w:rPr>
                <w:sz w:val="20"/>
                <w:szCs w:val="20"/>
                <w:color w:val="auto"/>
              </w:rPr>
            </w:pPr>
          </w:p>
        </w:tc>
        <w:tc>
          <w:tcPr>
            <w:tcW w:w="4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168.1</w:t>
            </w:r>
          </w:p>
        </w:tc>
        <w:tc>
          <w:tcPr>
            <w:tcW w:w="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20" w:type="dxa"/>
            <w:vAlign w:val="bottom"/>
            <w:tcBorders>
              <w:top w:val="single" w:sz="8" w:color="auto"/>
            </w:tcBorders>
            <w:gridSpan w:val="2"/>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66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3"/>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Lease liabilities - current</w:t>
            </w:r>
          </w:p>
        </w:tc>
        <w:tc>
          <w:tcPr>
            <w:tcW w:w="2660" w:type="dxa"/>
            <w:vAlign w:val="bottom"/>
            <w:gridSpan w:val="2"/>
            <w:shd w:val="clear" w:color="auto" w:fill="CCECFF"/>
          </w:tcPr>
          <w:p>
            <w:pPr>
              <w:ind w:left="60"/>
              <w:spacing w:after="0"/>
              <w:rPr>
                <w:sz w:val="20"/>
                <w:szCs w:val="20"/>
                <w:color w:val="auto"/>
              </w:rPr>
            </w:pPr>
            <w:r>
              <w:rPr>
                <w:rFonts w:ascii="Arial" w:cs="Arial" w:eastAsia="Arial" w:hAnsi="Arial"/>
                <w:sz w:val="18"/>
                <w:szCs w:val="18"/>
                <w:color w:val="auto"/>
              </w:rPr>
              <w:t>Accrued and other liabilities</w:t>
            </w:r>
          </w:p>
        </w:tc>
        <w:tc>
          <w:tcPr>
            <w:tcW w:w="26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CFF"/>
          </w:tcPr>
          <w:p>
            <w:pPr>
              <w:spacing w:after="0"/>
              <w:rPr>
                <w:sz w:val="21"/>
                <w:szCs w:val="21"/>
                <w:color w:val="auto"/>
              </w:rPr>
            </w:pPr>
          </w:p>
        </w:tc>
        <w:tc>
          <w:tcPr>
            <w:tcW w:w="560" w:type="dxa"/>
            <w:vAlign w:val="bottom"/>
            <w:gridSpan w:val="3"/>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Lease liabilities - noncurrent</w:t>
            </w:r>
          </w:p>
        </w:tc>
        <w:tc>
          <w:tcPr>
            <w:tcW w:w="2660" w:type="dxa"/>
            <w:vAlign w:val="bottom"/>
            <w:gridSpan w:val="2"/>
          </w:tcPr>
          <w:p>
            <w:pPr>
              <w:ind w:left="60"/>
              <w:spacing w:after="0"/>
              <w:rPr>
                <w:sz w:val="20"/>
                <w:szCs w:val="20"/>
                <w:color w:val="auto"/>
              </w:rPr>
            </w:pPr>
            <w:r>
              <w:rPr>
                <w:rFonts w:ascii="Arial" w:cs="Arial" w:eastAsia="Arial" w:hAnsi="Arial"/>
                <w:sz w:val="18"/>
                <w:szCs w:val="18"/>
                <w:color w:val="auto"/>
              </w:rPr>
              <w:t>Other noncurrent liabilities</w:t>
            </w: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2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lease liabilities</w:t>
            </w:r>
          </w:p>
        </w:tc>
        <w:tc>
          <w:tcPr>
            <w:tcW w:w="246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CCECFF"/>
            </w:tcBorders>
            <w:shd w:val="clear" w:color="auto" w:fill="CCECFF"/>
          </w:tcPr>
          <w:p>
            <w:pPr>
              <w:spacing w:after="0"/>
              <w:rPr>
                <w:sz w:val="24"/>
                <w:szCs w:val="24"/>
                <w:color w:val="auto"/>
              </w:rPr>
            </w:pPr>
          </w:p>
        </w:tc>
        <w:tc>
          <w:tcPr>
            <w:tcW w:w="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gridSpan w:val="2"/>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-1525270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-1508125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-1525270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-1508125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accumulated other comprehensive loss (AOCL),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r>
      <w:tr>
        <w:trPr>
          <w:trHeight w:val="216"/>
        </w:trPr>
        <w:tc>
          <w:tcPr>
            <w:tcW w:w="20" w:type="dxa"/>
            <w:vAlign w:val="bottom"/>
            <w:tcBorders>
              <w:bottom w:val="single" w:sz="8" w:color="CCECFF"/>
            </w:tcBorders>
            <w:shd w:val="clear" w:color="auto" w:fill="CCECFF"/>
          </w:tcPr>
          <w:p>
            <w:pPr>
              <w:spacing w:after="0"/>
              <w:rPr>
                <w:sz w:val="18"/>
                <w:szCs w:val="18"/>
                <w:color w:val="auto"/>
              </w:rPr>
            </w:pPr>
          </w:p>
        </w:tc>
        <w:tc>
          <w:tcPr>
            <w:tcW w:w="2040" w:type="dxa"/>
            <w:vAlign w:val="bottom"/>
            <w:tcBorders>
              <w:bottom w:val="single" w:sz="8" w:color="auto"/>
            </w:tcBorders>
            <w:gridSpan w:val="2"/>
            <w:shd w:val="clear" w:color="auto" w:fill="CCECFF"/>
          </w:tcPr>
          <w:p>
            <w:pPr>
              <w:spacing w:after="0" w:line="182" w:lineRule="exact"/>
              <w:rPr>
                <w:sz w:val="20"/>
                <w:szCs w:val="20"/>
                <w:color w:val="auto"/>
              </w:rPr>
            </w:pPr>
            <w:r>
              <w:rPr>
                <w:rFonts w:ascii="Arial" w:cs="Arial" w:eastAsia="Arial" w:hAnsi="Arial"/>
                <w:sz w:val="18"/>
                <w:szCs w:val="18"/>
                <w:color w:val="auto"/>
                <w:w w:val="90"/>
              </w:rPr>
              <w:t>Foreign currency translation</w:t>
            </w:r>
          </w:p>
        </w:tc>
        <w:tc>
          <w:tcPr>
            <w:tcW w:w="3440" w:type="dxa"/>
            <w:vAlign w:val="bottom"/>
            <w:tcBorders>
              <w:bottom w:val="single" w:sz="8" w:color="CCECFF"/>
            </w:tcBorders>
            <w:gridSpan w:val="2"/>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CCECFF"/>
            </w:tcBorders>
            <w:shd w:val="clear" w:color="auto" w:fill="CCECFF"/>
          </w:tcPr>
          <w:p>
            <w:pPr>
              <w:spacing w:after="0"/>
              <w:rPr>
                <w:sz w:val="18"/>
                <w:szCs w:val="18"/>
                <w:color w:val="auto"/>
              </w:rPr>
            </w:pPr>
          </w:p>
        </w:tc>
        <w:tc>
          <w:tcPr>
            <w:tcW w:w="74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r>
      <w:tr>
        <w:trPr>
          <w:trHeight w:val="237"/>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(249.9 )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(182.5 )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90"/>
              <w:spacing w:after="0"/>
              <w:rPr>
                <w:sz w:val="20"/>
                <w:szCs w:val="20"/>
                <w:color w:val="auto"/>
              </w:rPr>
            </w:pPr>
            <w:r>
              <w:rPr>
                <w:rFonts w:ascii="Arial" w:cs="Arial" w:eastAsia="Arial" w:hAnsi="Arial"/>
                <w:sz w:val="18"/>
                <w:szCs w:val="18"/>
                <w:color w:val="auto"/>
              </w:rPr>
              <w:t>(270.3 )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(165.8 )</w:t>
            </w:r>
          </w:p>
        </w:tc>
      </w:tr>
      <w:tr>
        <w:trPr>
          <w:trHeight w:val="249"/>
        </w:trPr>
        <w:tc>
          <w:tcPr>
            <w:tcW w:w="5500" w:type="dxa"/>
            <w:vAlign w:val="bottom"/>
            <w:gridSpan w:val="5"/>
            <w:shd w:val="clear" w:color="auto" w:fill="CCECFF"/>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(93.7 )</w:t>
            </w: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(110.4 )</w:t>
            </w:r>
          </w:p>
        </w:tc>
      </w:tr>
      <w:tr>
        <w:trPr>
          <w:trHeight w:val="236"/>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34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189"/>
        </w:trPr>
        <w:tc>
          <w:tcPr>
            <w:tcW w:w="550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Defined benefit plan activity</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5500" w:type="dxa"/>
            <w:vAlign w:val="bottom"/>
            <w:gridSpan w:val="5"/>
            <w:shd w:val="clear" w:color="auto" w:fill="CCECFF"/>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(14.9 )</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(14.7 )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(14.8 )</w:t>
            </w:r>
          </w:p>
        </w:tc>
        <w:tc>
          <w:tcPr>
            <w:tcW w:w="42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(13.4 )</w:t>
            </w:r>
          </w:p>
        </w:tc>
      </w:tr>
      <w:tr>
        <w:trPr>
          <w:trHeight w:val="237"/>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0"/>
                <w:szCs w:val="20"/>
                <w:color w:val="auto"/>
              </w:rPr>
            </w:pPr>
          </w:p>
        </w:tc>
        <w:tc>
          <w:tcPr>
            <w:tcW w:w="12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8"/>
                <w:szCs w:val="18"/>
                <w:color w:val="auto"/>
              </w:rPr>
              <w:t>(0.1 )</w:t>
            </w:r>
          </w:p>
        </w:tc>
        <w:tc>
          <w:tcPr>
            <w:tcW w:w="4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49"/>
        </w:trPr>
        <w:tc>
          <w:tcPr>
            <w:tcW w:w="5500" w:type="dxa"/>
            <w:vAlign w:val="bottom"/>
            <w:tcBorders>
              <w:bottom w:val="single" w:sz="8" w:color="CCECFF"/>
            </w:tcBorders>
            <w:gridSpan w:val="5"/>
            <w:shd w:val="clear" w:color="auto" w:fill="CCECFF"/>
          </w:tcPr>
          <w:p>
            <w:pPr>
              <w:ind w:left="20"/>
              <w:spacing w:after="0"/>
              <w:rPr>
                <w:sz w:val="20"/>
                <w:szCs w:val="20"/>
                <w:color w:val="auto"/>
              </w:rPr>
            </w:pPr>
            <w:r>
              <w:rPr>
                <w:rFonts w:ascii="Arial" w:cs="Arial" w:eastAsia="Arial" w:hAnsi="Arial"/>
                <w:sz w:val="18"/>
                <w:szCs w:val="18"/>
                <w:color w:val="auto"/>
              </w:rPr>
              <w:t>Amounts reclassified from AOCL</w:t>
            </w:r>
          </w:p>
        </w:tc>
        <w:tc>
          <w:tcPr>
            <w:tcW w:w="26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7"/>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color w:val="auto"/>
                <w:highlight w:val="white"/>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(14.7 )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90"/>
              <w:spacing w:after="0"/>
              <w:rPr>
                <w:sz w:val="20"/>
                <w:szCs w:val="20"/>
                <w:color w:val="auto"/>
              </w:rPr>
            </w:pPr>
            <w:r>
              <w:rPr>
                <w:rFonts w:ascii="Arial" w:cs="Arial" w:eastAsia="Arial" w:hAnsi="Arial"/>
                <w:sz w:val="18"/>
                <w:szCs w:val="18"/>
                <w:color w:val="auto"/>
              </w:rPr>
              <w:t>(14.9 )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37"/>
        </w:trPr>
        <w:tc>
          <w:tcPr>
            <w:tcW w:w="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342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900" w:type="dxa"/>
            <w:vAlign w:val="bottom"/>
            <w:tcBorders>
              <w:top w:val="single" w:sz="8" w:color="auto"/>
            </w:tcBorders>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8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900" w:type="dxa"/>
            <w:vAlign w:val="bottom"/>
            <w:tcBorders>
              <w:top w:val="single" w:sz="8" w:color="auto"/>
            </w:tcBorders>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42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189"/>
        </w:trPr>
        <w:tc>
          <w:tcPr>
            <w:tcW w:w="550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Hedging instruments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5500" w:type="dxa"/>
            <w:vAlign w:val="bottom"/>
            <w:gridSpan w:val="5"/>
            <w:shd w:val="clear" w:color="auto" w:fill="CCECFF"/>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(12.7 )</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(18.4 )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(11.2 )</w:t>
            </w:r>
          </w:p>
        </w:tc>
        <w:tc>
          <w:tcPr>
            <w:tcW w:w="42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(27.2 )</w:t>
            </w:r>
          </w:p>
        </w:tc>
      </w:tr>
      <w:tr>
        <w:trPr>
          <w:trHeight w:val="243"/>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8"/>
                <w:szCs w:val="18"/>
                <w:color w:val="auto"/>
              </w:rPr>
              <w:t>(0.5 )</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1"/>
                <w:szCs w:val="21"/>
                <w:color w:val="auto"/>
              </w:rPr>
            </w:pPr>
          </w:p>
        </w:tc>
      </w:tr>
      <w:tr>
        <w:trPr>
          <w:trHeight w:val="237"/>
        </w:trPr>
        <w:tc>
          <w:tcPr>
            <w:tcW w:w="5500" w:type="dxa"/>
            <w:vAlign w:val="bottom"/>
            <w:tcBorders>
              <w:bottom w:val="single" w:sz="8" w:color="CCECFF"/>
            </w:tcBorders>
            <w:gridSpan w:val="5"/>
            <w:shd w:val="clear" w:color="auto" w:fill="CCECFF"/>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CECFF"/>
            </w:tcBorders>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Borders>
              <w:bottom w:val="single" w:sz="8" w:color="CCECFF"/>
            </w:tcBorders>
            <w:shd w:val="clear" w:color="auto" w:fill="CCECFF"/>
          </w:tcPr>
          <w:p>
            <w:pPr>
              <w:jc w:val="right"/>
              <w:ind w:right="1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5500" w:type="dxa"/>
            <w:vAlign w:val="bottom"/>
            <w:gridSpan w:val="5"/>
          </w:tcPr>
          <w:p>
            <w:pPr>
              <w:ind w:left="20"/>
              <w:spacing w:after="0"/>
              <w:rPr>
                <w:sz w:val="20"/>
                <w:szCs w:val="20"/>
                <w:color w:val="auto"/>
              </w:rPr>
            </w:pPr>
            <w:r>
              <w:rPr>
                <w:rFonts w:ascii="Arial" w:cs="Arial" w:eastAsia="Arial" w:hAnsi="Arial"/>
                <w:sz w:val="18"/>
                <w:szCs w:val="18"/>
                <w:color w:val="auto"/>
              </w:rPr>
              <w:t>Net AOCL at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 xml:space="preserve">(276.2 </w:t>
            </w:r>
            <w:r>
              <w:rPr>
                <w:rFonts w:ascii="Arial" w:cs="Arial" w:eastAsia="Arial" w:hAnsi="Arial"/>
                <w:sz w:val="18"/>
                <w:szCs w:val="18"/>
                <w:color w:val="auto"/>
                <w:highlight w:val="white"/>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(306.3 )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90"/>
              <w:spacing w:after="0"/>
              <w:rPr>
                <w:sz w:val="20"/>
                <w:szCs w:val="20"/>
                <w:color w:val="auto"/>
              </w:rPr>
            </w:pPr>
            <w:r>
              <w:rPr>
                <w:rFonts w:ascii="Arial" w:cs="Arial" w:eastAsia="Arial" w:hAnsi="Arial"/>
                <w:sz w:val="18"/>
                <w:szCs w:val="18"/>
                <w:color w:val="auto"/>
              </w:rPr>
              <w:t>(276.2 )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(306.3 )</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-2094865</wp:posOffset>
            </wp:positionV>
            <wp:extent cx="2931795" cy="196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31795" cy="1968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-1139825</wp:posOffset>
            </wp:positionV>
            <wp:extent cx="857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-1139825</wp:posOffset>
            </wp:positionV>
            <wp:extent cx="8572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-1139825</wp:posOffset>
            </wp:positionV>
            <wp:extent cx="857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857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8572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Amounts reclassified from net AOCL related to defined benefit plans are recorded in other income, net in the Condensed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288" w:lineRule="exact"/>
        <w:rPr>
          <w:sz w:val="20"/>
          <w:szCs w:val="20"/>
          <w:color w:val="auto"/>
        </w:rPr>
      </w:pPr>
    </w:p>
    <w:tbl>
      <w:tblPr>
        <w:tblLayout w:type="fixed"/>
        <w:tblInd w:w="112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5"/>
        </w:trPr>
        <w:tc>
          <w:tcPr>
            <w:tcW w:w="52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524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paid during the period for:</w:t>
            </w:r>
          </w:p>
        </w:tc>
        <w:tc>
          <w:tcPr>
            <w:tcW w:w="106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50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r>
      <w:tr>
        <w:trPr>
          <w:trHeight w:val="237"/>
        </w:trPr>
        <w:tc>
          <w:tcPr>
            <w:tcW w:w="5240" w:type="dxa"/>
            <w:vAlign w:val="bottom"/>
          </w:tcPr>
          <w:p>
            <w:pPr>
              <w:ind w:left="120"/>
              <w:spacing w:after="0"/>
              <w:rPr>
                <w:sz w:val="20"/>
                <w:szCs w:val="20"/>
                <w:color w:val="auto"/>
              </w:rPr>
            </w:pPr>
            <w:r>
              <w:rPr>
                <w:rFonts w:ascii="Arial" w:cs="Arial" w:eastAsia="Arial" w:hAnsi="Arial"/>
                <w:sz w:val="18"/>
                <w:szCs w:val="18"/>
                <w:color w:val="auto"/>
              </w:rPr>
              <w:t>Income taxes, net of refunds</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59.7</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r>
      <w:tr>
        <w:trPr>
          <w:trHeight w:val="249"/>
        </w:trPr>
        <w:tc>
          <w:tcPr>
            <w:tcW w:w="52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Interest</w:t>
            </w:r>
          </w:p>
        </w:tc>
        <w:tc>
          <w:tcPr>
            <w:tcW w:w="106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322.7</w:t>
            </w:r>
          </w:p>
        </w:tc>
        <w:tc>
          <w:tcPr>
            <w:tcW w:w="440" w:type="dxa"/>
            <w:vAlign w:val="bottom"/>
            <w:shd w:val="clear" w:color="auto" w:fill="CCECFF"/>
          </w:tcPr>
          <w:p>
            <w:pPr>
              <w:spacing w:after="0"/>
              <w:rPr>
                <w:sz w:val="21"/>
                <w:szCs w:val="21"/>
                <w:color w:val="auto"/>
              </w:rPr>
            </w:pPr>
          </w:p>
        </w:tc>
        <w:tc>
          <w:tcPr>
            <w:tcW w:w="50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264.8</w:t>
            </w:r>
          </w:p>
        </w:tc>
        <w:tc>
          <w:tcPr>
            <w:tcW w:w="120" w:type="dxa"/>
            <w:vAlign w:val="bottom"/>
            <w:shd w:val="clear" w:color="auto" w:fill="CCECFF"/>
          </w:tcPr>
          <w:p>
            <w:pPr>
              <w:spacing w:after="0"/>
              <w:rPr>
                <w:sz w:val="21"/>
                <w:szCs w:val="2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FINANCING</w:t>
      </w:r>
    </w:p>
    <w:p>
      <w:pPr>
        <w:spacing w:after="0" w:line="22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7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7"/>
        </w:trPr>
        <w:tc>
          <w:tcPr>
            <w:tcW w:w="7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7.125% senior notes due July 2028</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696.9</w:t>
            </w:r>
          </w:p>
        </w:tc>
        <w:tc>
          <w:tcPr>
            <w:tcW w:w="420" w:type="dxa"/>
            <w:vAlign w:val="bottom"/>
            <w:shd w:val="clear" w:color="auto" w:fill="CCECFF"/>
          </w:tcPr>
          <w:p>
            <w:pPr>
              <w:spacing w:after="0"/>
              <w:rPr>
                <w:sz w:val="20"/>
                <w:szCs w:val="20"/>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CFF"/>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5.00% senior notes due March 2027</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0"/>
                <w:szCs w:val="20"/>
                <w:color w:val="auto"/>
              </w:rPr>
            </w:pPr>
          </w:p>
        </w:tc>
      </w:tr>
      <w:tr>
        <w:trPr>
          <w:trHeight w:val="249"/>
        </w:trPr>
        <w:tc>
          <w:tcPr>
            <w:tcW w:w="7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8.25% senior notes due March 2027</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943.1</w:t>
            </w:r>
          </w:p>
        </w:tc>
        <w:tc>
          <w:tcPr>
            <w:tcW w:w="4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CFF"/>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6.00% senior notes due June 2025</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0"/>
                <w:szCs w:val="20"/>
                <w:color w:val="auto"/>
              </w:rPr>
            </w:pPr>
          </w:p>
        </w:tc>
      </w:tr>
      <w:tr>
        <w:trPr>
          <w:trHeight w:val="249"/>
        </w:trPr>
        <w:tc>
          <w:tcPr>
            <w:tcW w:w="7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4.75% senior secured notes due September 2029</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4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CFF"/>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6.00% senior secured notes due March 2026</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r>
      <w:tr>
        <w:trPr>
          <w:trHeight w:val="249"/>
        </w:trPr>
        <w:tc>
          <w:tcPr>
            <w:tcW w:w="7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Senior secured term loan due April 2026</w:t>
            </w:r>
          </w:p>
        </w:tc>
        <w:tc>
          <w:tcPr>
            <w:tcW w:w="18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3,080.0</w:t>
            </w:r>
          </w:p>
        </w:tc>
        <w:tc>
          <w:tcPr>
            <w:tcW w:w="4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3,096.0</w:t>
            </w:r>
          </w:p>
        </w:tc>
        <w:tc>
          <w:tcPr>
            <w:tcW w:w="120" w:type="dxa"/>
            <w:vAlign w:val="bottom"/>
            <w:shd w:val="clear" w:color="auto" w:fill="CCECFF"/>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80" w:type="dxa"/>
            <w:vAlign w:val="bottom"/>
          </w:tcPr>
          <w:p>
            <w:pPr>
              <w:spacing w:after="0"/>
              <w:rPr>
                <w:sz w:val="21"/>
                <w:szCs w:val="21"/>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principal amount of debt</w:t>
            </w:r>
          </w:p>
        </w:tc>
        <w:tc>
          <w:tcPr>
            <w:tcW w:w="180" w:type="dxa"/>
            <w:vAlign w:val="bottom"/>
            <w:tcBorders>
              <w:top w:val="single" w:sz="8" w:color="auto"/>
            </w:tcBorders>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9,494.6</w:t>
            </w:r>
          </w:p>
        </w:tc>
        <w:tc>
          <w:tcPr>
            <w:tcW w:w="420" w:type="dxa"/>
            <w:vAlign w:val="bottom"/>
            <w:shd w:val="clear" w:color="auto" w:fill="CCECFF"/>
          </w:tcPr>
          <w:p>
            <w:pPr>
              <w:spacing w:after="0"/>
              <w:rPr>
                <w:sz w:val="20"/>
                <w:szCs w:val="20"/>
                <w:color w:val="auto"/>
              </w:rPr>
            </w:pPr>
          </w:p>
        </w:tc>
        <w:tc>
          <w:tcPr>
            <w:tcW w:w="100" w:type="dxa"/>
            <w:vAlign w:val="bottom"/>
            <w:tcBorders>
              <w:top w:val="single" w:sz="8" w:color="auto"/>
            </w:tcBorders>
            <w:shd w:val="clear" w:color="auto" w:fill="CCECFF"/>
          </w:tcPr>
          <w:p>
            <w:pPr>
              <w:spacing w:after="0"/>
              <w:rPr>
                <w:sz w:val="20"/>
                <w:szCs w:val="20"/>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9,596.0</w:t>
            </w:r>
          </w:p>
        </w:tc>
        <w:tc>
          <w:tcPr>
            <w:tcW w:w="120" w:type="dxa"/>
            <w:vAlign w:val="bottom"/>
            <w:shd w:val="clear" w:color="auto" w:fill="CCECFF"/>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Less: Original issue discount, net of amortization</w:t>
            </w:r>
          </w:p>
        </w:tc>
        <w:tc>
          <w:tcPr>
            <w:tcW w:w="1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(15.9 )</w:t>
            </w:r>
          </w:p>
        </w:tc>
      </w:tr>
      <w:tr>
        <w:trPr>
          <w:trHeight w:val="249"/>
        </w:trPr>
        <w:tc>
          <w:tcPr>
            <w:tcW w:w="7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Debt issuance costs, net of amortization</w:t>
            </w:r>
          </w:p>
        </w:tc>
        <w:tc>
          <w:tcPr>
            <w:tcW w:w="18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(68.0 )</w:t>
            </w:r>
          </w:p>
        </w:tc>
        <w:tc>
          <w:tcPr>
            <w:tcW w:w="10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(78.5 )</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(32.0 )</w:t>
            </w:r>
          </w:p>
        </w:tc>
        <w:tc>
          <w:tcPr>
            <w:tcW w:w="1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(32.0 )</w:t>
            </w:r>
          </w:p>
        </w:tc>
      </w:tr>
      <w:tr>
        <w:trPr>
          <w:trHeight w:val="277"/>
        </w:trPr>
        <w:tc>
          <w:tcPr>
            <w:tcW w:w="73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9,380.9</w:t>
            </w:r>
          </w:p>
        </w:tc>
        <w:tc>
          <w:tcPr>
            <w:tcW w:w="42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9,469.6</w:t>
            </w:r>
          </w:p>
        </w:tc>
        <w:tc>
          <w:tcPr>
            <w:tcW w:w="12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7 within the Company’s audited consolidated financial statements included in the 2022 Annual Report for additional information on the terms and conditions of the Company’s debt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8, 2023, the Company amended its 2026 Term Loan to transition from the Eurodollar Rate based on LIBOR to SOFR, effective as of July 1, 2023, as the reference interest rate in anticipation of the cessation of LIBOR in 2023. As a result, the 2026 Term Loan will bear interest at (1) an adjusted Term SOFR rate, subject to certain adjustments, plus an applicable margin of 3.25% or (2) at the option of the Company, a base rate plus an applicable margin of 2.25%.</w:t>
      </w:r>
    </w:p>
    <w:p>
      <w:pPr>
        <w:spacing w:after="0" w:line="1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During the six months ended June 30, 2023, the Company did not borrow under the Revolving Credit Facility. As of June 30, 2023, the Company had no outstanding borrowings under the Revolving Credit Facility and had availability of $859.0 million, after giving effect to borrowing base limitations and outstanding letters of credit.</w:t>
      </w:r>
    </w:p>
    <w:p>
      <w:pPr>
        <w:spacing w:after="0" w:line="184"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During the three and six months ended June 30, 2023, the Company made the quarterly scheduled amortization payments totaling $8.0 million and $16.0 million, respectively, on the 2026 Term Loan. The current portion of long-term debt reflects $32.0 million of repayments due under the 2026 Term Loan.</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June 30, 2023, the Company did not reflect any portion of the 2026 Term Loan as a current portion of long-term debt related to the potentially required excess cash flow payment because the amount that may be payable in 2023, if any, cannot currently be reliably estimated. There is no excess cash flow payment required in 2023 related to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debt repurchase activity during the six months ended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80" w:type="dxa"/>
            <w:vAlign w:val="bottom"/>
          </w:tcPr>
          <w:p>
            <w:pPr>
              <w:jc w:val="center"/>
              <w:ind w:left="481"/>
              <w:spacing w:after="0"/>
              <w:rPr>
                <w:sz w:val="20"/>
                <w:szCs w:val="20"/>
                <w:color w:val="auto"/>
              </w:rPr>
            </w:pPr>
            <w:r>
              <w:rPr>
                <w:rFonts w:ascii="Arial" w:cs="Arial" w:eastAsia="Arial" w:hAnsi="Arial"/>
                <w:sz w:val="14"/>
                <w:szCs w:val="14"/>
                <w:b w:val="1"/>
                <w:bCs w:val="1"/>
                <w:color w:val="auto"/>
                <w:w w:val="92"/>
              </w:rPr>
              <w:t>Aggregate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vMerge w:val="restart"/>
          </w:tcPr>
          <w:p>
            <w:pPr>
              <w:jc w:val="right"/>
              <w:ind w:right="736"/>
              <w:spacing w:after="0"/>
              <w:rPr>
                <w:sz w:val="20"/>
                <w:szCs w:val="20"/>
                <w:color w:val="auto"/>
              </w:rPr>
            </w:pPr>
            <w:r>
              <w:rPr>
                <w:rFonts w:ascii="Arial" w:cs="Arial" w:eastAsia="Arial" w:hAnsi="Arial"/>
                <w:sz w:val="14"/>
                <w:szCs w:val="14"/>
                <w:b w:val="1"/>
                <w:bCs w:val="1"/>
                <w:color w:val="auto"/>
              </w:rPr>
              <w:t>Reacquisition</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88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4"/>
              </w:rPr>
              <w:t>Principal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1880" w:type="dxa"/>
            <w:vAlign w:val="bottom"/>
            <w:tcBorders>
              <w:bottom w:val="single" w:sz="8" w:color="auto"/>
            </w:tcBorders>
          </w:tcPr>
          <w:p>
            <w:pPr>
              <w:jc w:val="center"/>
              <w:ind w:left="521"/>
              <w:spacing w:after="0"/>
              <w:rPr>
                <w:sz w:val="20"/>
                <w:szCs w:val="20"/>
                <w:color w:val="auto"/>
              </w:rPr>
            </w:pPr>
            <w:r>
              <w:rPr>
                <w:rFonts w:ascii="Arial" w:cs="Arial" w:eastAsia="Arial" w:hAnsi="Arial"/>
                <w:sz w:val="14"/>
                <w:szCs w:val="14"/>
                <w:b w:val="1"/>
                <w:bCs w:val="1"/>
                <w:color w:val="auto"/>
                <w:w w:val="90"/>
              </w:rPr>
              <w:t>Repurchased</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996"/>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7.125% senior notes due July 2028</w:t>
            </w:r>
          </w:p>
        </w:tc>
        <w:tc>
          <w:tcPr>
            <w:tcW w:w="1880" w:type="dxa"/>
            <w:vAlign w:val="bottom"/>
            <w:shd w:val="clear" w:color="auto" w:fill="CCECFF"/>
          </w:tcPr>
          <w:p>
            <w:pPr>
              <w:jc w:val="right"/>
              <w:ind w:right="168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CFF"/>
          </w:tcPr>
          <w:p>
            <w:pPr>
              <w:spacing w:after="0"/>
              <w:rPr>
                <w:sz w:val="20"/>
                <w:szCs w:val="20"/>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8.25% senior notes due March 2027</w:t>
            </w:r>
          </w:p>
        </w:tc>
        <w:tc>
          <w:tcPr>
            <w:tcW w:w="1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6.00% senior notes due June 2025</w:t>
            </w:r>
          </w:p>
        </w:tc>
        <w:tc>
          <w:tcPr>
            <w:tcW w:w="188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auto"/>
            </w:tcBorders>
            <w:shd w:val="clear" w:color="auto" w:fill="CCECFF"/>
          </w:tcPr>
          <w:p>
            <w:pPr>
              <w:spacing w:after="0"/>
              <w:rPr>
                <w:sz w:val="21"/>
                <w:szCs w:val="21"/>
                <w:color w:val="auto"/>
              </w:rPr>
            </w:pPr>
          </w:p>
        </w:tc>
        <w:tc>
          <w:tcPr>
            <w:tcW w:w="2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Pr>
          <w:p>
            <w:pPr>
              <w:jc w:val="right"/>
              <w:ind w:right="168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-187960</wp:posOffset>
            </wp:positionV>
            <wp:extent cx="8572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three and six months ended June 30, 2023, the repurchase of debt resulted in gains on the early extinguishment of debt of $2.9 million and $10.4 million, respectively, reflected in other income, net and the write-off of debt issuance costs of $0.3 million and $0.8 million, respectively, reflected in interest expense, in the Condensed Consolidated Statements of Operations.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weighted average effective interest rate on outstanding borrowings, including the impact of the interest rate swap contracts, which were settled during June 2023, and the amortization of debt issuance costs and original issue discount, was 7.24% and 6.91% as of June 30, 2023 and December 31, 2022,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June 30, 2023 and December 31, 2022 were considered representative of their fair values due to their short terms to maturity. The fair values of the Company’s debt instruments, interest rate swap contracts and foreign currency contracts were based on indicative quotes.</w:t>
      </w:r>
    </w:p>
    <w:p>
      <w:pPr>
        <w:spacing w:after="0" w:line="15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the Company’s debt instruments, interest rate swap contracts and foreign currency contracts as of June 30, 2023 and December 31, 2022,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Fair Value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Fair Value</w:t>
            </w:r>
          </w:p>
        </w:tc>
        <w:tc>
          <w:tcPr>
            <w:tcW w:w="34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36"/>
        </w:trPr>
        <w:tc>
          <w:tcPr>
            <w:tcW w:w="48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49"/>
        </w:trPr>
        <w:tc>
          <w:tcPr>
            <w:tcW w:w="48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Interest rate swap contracts</w:t>
            </w: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7.125% senior notes due 2028</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696.9</w:t>
            </w:r>
          </w:p>
        </w:tc>
        <w:tc>
          <w:tcPr>
            <w:tcW w:w="4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494.8</w:t>
            </w:r>
          </w:p>
        </w:tc>
        <w:tc>
          <w:tcPr>
            <w:tcW w:w="5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4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502.6</w:t>
            </w:r>
          </w:p>
        </w:tc>
        <w:tc>
          <w:tcPr>
            <w:tcW w:w="34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5.00% senior notes due 2027</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513.4</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49"/>
        </w:trPr>
        <w:tc>
          <w:tcPr>
            <w:tcW w:w="48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8.25% senior notes due 2027</w:t>
            </w: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943.1</w:t>
            </w: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751.2</w:t>
            </w:r>
          </w:p>
        </w:tc>
        <w:tc>
          <w:tcPr>
            <w:tcW w:w="3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780.8</w:t>
            </w:r>
          </w:p>
        </w:tc>
        <w:tc>
          <w:tcPr>
            <w:tcW w:w="34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6.00% senior notes due 2025</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1,274.6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1,185.1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1,300.0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1,183.4</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49"/>
        </w:trPr>
        <w:tc>
          <w:tcPr>
            <w:tcW w:w="48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4.75% senior secured notes due 2029</w:t>
            </w: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975.0</w:t>
            </w:r>
          </w:p>
        </w:tc>
        <w:tc>
          <w:tcPr>
            <w:tcW w:w="3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6.00% senior secured notes due 2026</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1,383.3</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49"/>
        </w:trPr>
        <w:tc>
          <w:tcPr>
            <w:tcW w:w="48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Senior secured term loan due 2026</w:t>
            </w: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3,080.0</w:t>
            </w: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2,964.5</w:t>
            </w:r>
          </w:p>
        </w:tc>
        <w:tc>
          <w:tcPr>
            <w:tcW w:w="3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3,096.0</w:t>
            </w:r>
          </w:p>
        </w:tc>
        <w:tc>
          <w:tcPr>
            <w:tcW w:w="3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2,925.7</w:t>
            </w:r>
          </w:p>
        </w:tc>
        <w:tc>
          <w:tcPr>
            <w:tcW w:w="34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SEGMENTS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five reportable segments as described below.</w:t>
      </w:r>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 Connectivity and Cable Solutions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spacing w:after="0" w:line="19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Outdoor Wireless Networks (OWN) segment focuses on the macro and metro cell markets. The segment includes base station antennas, radio frequency (RF) filters, tower connectivity, microwave antennas, metro cell products, cabinets, steel, accessories and the wireless spectrum management business, Comsearch.</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Networking, Intelligent Cellular and Security Solutions (NICS) segment provides wireless networks for enterprises and service providers. Product offerings include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w:t>
      </w:r>
    </w:p>
    <w:p>
      <w:pPr>
        <w:spacing w:after="0" w:line="1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Home Networks (Home) segment includes subscriber-based solutions that support broadband and video applications. The broadband offerings in the Home segment include devices that provide residential connectivity to a service provider’s network, such as digital subscriber line and cable modems and telephony and data gateways which incorporate routing and Wi-Fi functionality. Video offerings include set top boxes that support cable, satellite and IP television content delivery and include products such as digital video recorders, high definition set top boxes and hybrid set top devices.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summary financial information by reportable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533"/>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5"/>
        </w:trPr>
        <w:tc>
          <w:tcPr>
            <w:tcW w:w="1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20" w:type="dxa"/>
            <w:vAlign w:val="bottom"/>
          </w:tcPr>
          <w:p>
            <w:pPr>
              <w:spacing w:after="0"/>
              <w:rPr>
                <w:sz w:val="20"/>
                <w:szCs w:val="20"/>
                <w:color w:val="auto"/>
              </w:rPr>
            </w:pPr>
          </w:p>
        </w:tc>
        <w:tc>
          <w:tcPr>
            <w:tcW w:w="3660" w:type="dxa"/>
            <w:vAlign w:val="bottom"/>
            <w:shd w:val="clear" w:color="auto" w:fill="CCECFF"/>
          </w:tcPr>
          <w:p>
            <w:pPr>
              <w:ind w:left="20"/>
              <w:spacing w:after="0"/>
              <w:rPr>
                <w:sz w:val="20"/>
                <w:szCs w:val="20"/>
                <w:color w:val="auto"/>
              </w:rPr>
            </w:pPr>
            <w:r>
              <w:rPr>
                <w:rFonts w:ascii="Arial" w:cs="Arial" w:eastAsia="Arial" w:hAnsi="Arial"/>
                <w:sz w:val="18"/>
                <w:szCs w:val="18"/>
                <w:color w:val="auto"/>
              </w:rPr>
              <w:t>Identifiable segment-related assets:</w:t>
            </w:r>
          </w:p>
        </w:tc>
        <w:tc>
          <w:tcPr>
            <w:tcW w:w="138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38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CCS</w:t>
            </w:r>
          </w:p>
        </w:tc>
        <w:tc>
          <w:tcPr>
            <w:tcW w:w="1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3,955.1</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4,263.8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36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OWN</w:t>
            </w:r>
          </w:p>
        </w:tc>
        <w:tc>
          <w:tcPr>
            <w:tcW w:w="13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1,081.7</w:t>
            </w:r>
          </w:p>
        </w:tc>
        <w:tc>
          <w:tcPr>
            <w:tcW w:w="4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1,166.8</w:t>
            </w:r>
          </w:p>
        </w:tc>
        <w:tc>
          <w:tcPr>
            <w:tcW w:w="120" w:type="dxa"/>
            <w:vAlign w:val="bottom"/>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NICS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1,366.0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36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ANS</w:t>
            </w:r>
          </w:p>
        </w:tc>
        <w:tc>
          <w:tcPr>
            <w:tcW w:w="13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2,529.0</w:t>
            </w:r>
          </w:p>
        </w:tc>
        <w:tc>
          <w:tcPr>
            <w:tcW w:w="4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2,632.6</w:t>
            </w:r>
          </w:p>
        </w:tc>
        <w:tc>
          <w:tcPr>
            <w:tcW w:w="120" w:type="dxa"/>
            <w:vAlign w:val="bottom"/>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Home</w:t>
            </w:r>
          </w:p>
        </w:tc>
        <w:tc>
          <w:tcPr>
            <w:tcW w:w="1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1,258.0</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366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identifiable segment-related assets</w:t>
            </w:r>
          </w:p>
        </w:tc>
        <w:tc>
          <w:tcPr>
            <w:tcW w:w="138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10,189.8</w:t>
            </w:r>
          </w:p>
        </w:tc>
        <w:tc>
          <w:tcPr>
            <w:tcW w:w="4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10,780.6</w:t>
            </w:r>
          </w:p>
        </w:tc>
        <w:tc>
          <w:tcPr>
            <w:tcW w:w="120" w:type="dxa"/>
            <w:vAlign w:val="bottom"/>
            <w:shd w:val="clear" w:color="auto" w:fill="CCECFF"/>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Reconciliation to total assets: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36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418.1</w:t>
            </w:r>
          </w:p>
        </w:tc>
        <w:tc>
          <w:tcPr>
            <w:tcW w:w="4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1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7"/>
        </w:trPr>
        <w:tc>
          <w:tcPr>
            <w:tcW w:w="1120" w:type="dxa"/>
            <w:vAlign w:val="bottom"/>
          </w:tcPr>
          <w:p>
            <w:pPr>
              <w:spacing w:after="0"/>
              <w:rPr>
                <w:sz w:val="24"/>
                <w:szCs w:val="24"/>
                <w:color w:val="auto"/>
              </w:rPr>
            </w:pPr>
          </w:p>
        </w:tc>
        <w:tc>
          <w:tcPr>
            <w:tcW w:w="36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11,165.7</w:t>
            </w:r>
          </w:p>
        </w:tc>
        <w:tc>
          <w:tcPr>
            <w:tcW w:w="40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11,685.4</w:t>
            </w:r>
          </w:p>
        </w:tc>
        <w:tc>
          <w:tcPr>
            <w:tcW w:w="120" w:type="dxa"/>
            <w:vAlign w:val="bottom"/>
            <w:tcBorders>
              <w:bottom w:val="single" w:sz="8" w:color="CCECFF"/>
            </w:tcBorders>
            <w:shd w:val="clear" w:color="auto" w:fill="CCECFF"/>
          </w:tcPr>
          <w:p>
            <w:pPr>
              <w:spacing w:after="0"/>
              <w:rPr>
                <w:sz w:val="24"/>
                <w:szCs w:val="24"/>
                <w:color w:val="auto"/>
              </w:rPr>
            </w:pPr>
          </w:p>
        </w:tc>
        <w:tc>
          <w:tcPr>
            <w:tcW w:w="1120" w:type="dxa"/>
            <w:vAlign w:val="bottom"/>
          </w:tcPr>
          <w:p>
            <w:pPr>
              <w:spacing w:after="0"/>
              <w:rPr>
                <w:sz w:val="24"/>
                <w:szCs w:val="24"/>
                <w:color w:val="auto"/>
              </w:rPr>
            </w:pPr>
          </w:p>
        </w:tc>
      </w:tr>
      <w:tr>
        <w:trPr>
          <w:trHeight w:val="629"/>
        </w:trPr>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3"/>
        </w:trPr>
        <w:tc>
          <w:tcPr>
            <w:tcW w:w="11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-788035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-770890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-788035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-770890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2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net sales, adjusted EBITDA, depreciation expense and additions to property, plant and equipment by reportable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4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237"/>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7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CCS</w:t>
            </w:r>
          </w:p>
        </w:tc>
        <w:tc>
          <w:tcPr>
            <w:tcW w:w="104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698.9</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986.7</w:t>
            </w:r>
          </w:p>
        </w:tc>
        <w:tc>
          <w:tcPr>
            <w:tcW w:w="3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1,521.7</w:t>
            </w:r>
          </w:p>
        </w:tc>
        <w:tc>
          <w:tcPr>
            <w:tcW w:w="3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1,824.7</w:t>
            </w:r>
          </w:p>
        </w:tc>
        <w:tc>
          <w:tcPr>
            <w:tcW w:w="140" w:type="dxa"/>
            <w:vAlign w:val="bottom"/>
          </w:tcPr>
          <w:p>
            <w:pPr>
              <w:spacing w:after="0"/>
              <w:rPr>
                <w:sz w:val="20"/>
                <w:szCs w:val="20"/>
                <w:color w:val="auto"/>
              </w:rPr>
            </w:pP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228.8</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390.9</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487.2</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781.0</w:t>
            </w:r>
          </w:p>
        </w:tc>
        <w:tc>
          <w:tcPr>
            <w:tcW w:w="140" w:type="dxa"/>
            <w:vAlign w:val="bottom"/>
            <w:shd w:val="clear" w:color="auto" w:fill="CCECFF"/>
          </w:tcPr>
          <w:p>
            <w:pPr>
              <w:spacing w:after="0"/>
              <w:rPr>
                <w:sz w:val="21"/>
                <w:szCs w:val="21"/>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NICS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612.1</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393.4</w:t>
            </w:r>
          </w:p>
        </w:tc>
        <w:tc>
          <w:tcPr>
            <w:tcW w:w="140" w:type="dxa"/>
            <w:vAlign w:val="bottom"/>
          </w:tcPr>
          <w:p>
            <w:pPr>
              <w:spacing w:after="0"/>
              <w:rPr>
                <w:sz w:val="20"/>
                <w:szCs w:val="20"/>
                <w:color w:val="auto"/>
              </w:rPr>
            </w:pP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333.5</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293.3</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632.2</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610.1</w:t>
            </w:r>
          </w:p>
        </w:tc>
        <w:tc>
          <w:tcPr>
            <w:tcW w:w="140" w:type="dxa"/>
            <w:vAlign w:val="bottom"/>
            <w:shd w:val="clear" w:color="auto" w:fill="CCECFF"/>
          </w:tcPr>
          <w:p>
            <w:pPr>
              <w:spacing w:after="0"/>
              <w:rPr>
                <w:sz w:val="21"/>
                <w:szCs w:val="21"/>
                <w:color w:val="auto"/>
              </w:rPr>
            </w:pP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Home</w:t>
            </w:r>
          </w:p>
        </w:tc>
        <w:tc>
          <w:tcPr>
            <w:tcW w:w="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w:t>
            </w:r>
          </w:p>
        </w:tc>
        <w:tc>
          <w:tcPr>
            <w:tcW w:w="140" w:type="dxa"/>
            <w:vAlign w:val="bottom"/>
          </w:tcPr>
          <w:p>
            <w:pPr>
              <w:spacing w:after="0"/>
              <w:rPr>
                <w:sz w:val="21"/>
                <w:szCs w:val="21"/>
                <w:color w:val="auto"/>
              </w:rPr>
            </w:pPr>
          </w:p>
        </w:tc>
      </w:tr>
      <w:tr>
        <w:trPr>
          <w:trHeight w:val="277"/>
        </w:trPr>
        <w:tc>
          <w:tcPr>
            <w:tcW w:w="48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net sales</w:t>
            </w:r>
          </w:p>
        </w:tc>
        <w:tc>
          <w:tcPr>
            <w:tcW w:w="7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center"/>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1,918.4</w:t>
            </w:r>
          </w:p>
        </w:tc>
        <w:tc>
          <w:tcPr>
            <w:tcW w:w="34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2,300.2</w:t>
            </w:r>
          </w:p>
        </w:tc>
        <w:tc>
          <w:tcPr>
            <w:tcW w:w="36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3,919.9</w:t>
            </w:r>
          </w:p>
        </w:tc>
        <w:tc>
          <w:tcPr>
            <w:tcW w:w="36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4,528.8</w:t>
            </w:r>
          </w:p>
        </w:tc>
        <w:tc>
          <w:tcPr>
            <w:tcW w:w="140" w:type="dxa"/>
            <w:vAlign w:val="bottom"/>
            <w:tcBorders>
              <w:bottom w:val="single" w:sz="8" w:color="CCECFF"/>
            </w:tcBorders>
            <w:shd w:val="clear" w:color="auto" w:fill="CCECFF"/>
          </w:tcPr>
          <w:p>
            <w:pPr>
              <w:spacing w:after="0"/>
              <w:rPr>
                <w:sz w:val="24"/>
                <w:szCs w:val="24"/>
                <w:color w:val="auto"/>
              </w:rPr>
            </w:pPr>
          </w:p>
        </w:tc>
      </w:tr>
      <w:tr>
        <w:trPr>
          <w:trHeight w:val="223"/>
        </w:trPr>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Segment adjusted EBITDA:</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CCS</w:t>
            </w:r>
          </w:p>
        </w:tc>
        <w:tc>
          <w:tcPr>
            <w:tcW w:w="104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79.6</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169.0</w:t>
            </w:r>
          </w:p>
        </w:tc>
        <w:tc>
          <w:tcPr>
            <w:tcW w:w="3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227.2</w:t>
            </w:r>
          </w:p>
        </w:tc>
        <w:tc>
          <w:tcPr>
            <w:tcW w:w="3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267.5</w:t>
            </w:r>
          </w:p>
        </w:tc>
        <w:tc>
          <w:tcPr>
            <w:tcW w:w="140" w:type="dxa"/>
            <w:vAlign w:val="bottom"/>
          </w:tcPr>
          <w:p>
            <w:pPr>
              <w:spacing w:after="0"/>
              <w:rPr>
                <w:sz w:val="20"/>
                <w:szCs w:val="20"/>
                <w:color w:val="auto"/>
              </w:rPr>
            </w:pP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75.3</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101.3</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146.3</w:t>
            </w:r>
          </w:p>
        </w:tc>
        <w:tc>
          <w:tcPr>
            <w:tcW w:w="140" w:type="dxa"/>
            <w:vAlign w:val="bottom"/>
            <w:shd w:val="clear" w:color="auto" w:fill="CCECFF"/>
          </w:tcPr>
          <w:p>
            <w:pPr>
              <w:spacing w:after="0"/>
              <w:rPr>
                <w:sz w:val="21"/>
                <w:szCs w:val="21"/>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NICS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(15.3 )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(29.1 )</w:t>
            </w: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66.3</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57.8</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116.4</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132.1</w:t>
            </w:r>
          </w:p>
        </w:tc>
        <w:tc>
          <w:tcPr>
            <w:tcW w:w="140" w:type="dxa"/>
            <w:vAlign w:val="bottom"/>
            <w:shd w:val="clear" w:color="auto" w:fill="CCECFF"/>
          </w:tcPr>
          <w:p>
            <w:pPr>
              <w:spacing w:after="0"/>
              <w:rPr>
                <w:sz w:val="21"/>
                <w:szCs w:val="21"/>
                <w:color w:val="auto"/>
              </w:rPr>
            </w:pP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Home</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(3.0 )</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(6.3 )</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21"/>
                <w:szCs w:val="21"/>
                <w:color w:val="auto"/>
              </w:rPr>
            </w:pPr>
          </w:p>
        </w:tc>
      </w:tr>
      <w:tr>
        <w:trPr>
          <w:trHeight w:val="237"/>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segment adjusted EBITDA</w:t>
            </w:r>
          </w:p>
        </w:tc>
        <w:tc>
          <w:tcPr>
            <w:tcW w:w="78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259.5</w:t>
            </w:r>
          </w:p>
        </w:tc>
        <w:tc>
          <w:tcPr>
            <w:tcW w:w="34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299.6</w:t>
            </w:r>
          </w:p>
        </w:tc>
        <w:tc>
          <w:tcPr>
            <w:tcW w:w="36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571.5</w:t>
            </w:r>
          </w:p>
        </w:tc>
        <w:tc>
          <w:tcPr>
            <w:tcW w:w="360" w:type="dxa"/>
            <w:vAlign w:val="bottom"/>
            <w:shd w:val="clear" w:color="auto" w:fill="CCECFF"/>
          </w:tcPr>
          <w:p>
            <w:pPr>
              <w:spacing w:after="0"/>
              <w:rPr>
                <w:sz w:val="20"/>
                <w:szCs w:val="20"/>
                <w:color w:val="auto"/>
              </w:rPr>
            </w:pPr>
          </w:p>
        </w:tc>
        <w:tc>
          <w:tcPr>
            <w:tcW w:w="400" w:type="dxa"/>
            <w:vAlign w:val="bottom"/>
            <w:tcBorders>
              <w:top w:val="single" w:sz="8" w:color="auto"/>
            </w:tcBorders>
            <w:shd w:val="clear" w:color="auto" w:fill="CCECFF"/>
          </w:tcPr>
          <w:p>
            <w:pPr>
              <w:spacing w:after="0"/>
              <w:rPr>
                <w:sz w:val="20"/>
                <w:szCs w:val="20"/>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552.9</w:t>
            </w:r>
          </w:p>
        </w:tc>
        <w:tc>
          <w:tcPr>
            <w:tcW w:w="140" w:type="dxa"/>
            <w:vAlign w:val="bottom"/>
            <w:shd w:val="clear" w:color="auto" w:fill="CCECFF"/>
          </w:tcPr>
          <w:p>
            <w:pPr>
              <w:spacing w:after="0"/>
              <w:rPr>
                <w:sz w:val="20"/>
                <w:szCs w:val="20"/>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(101.4 )</w:t>
            </w:r>
          </w:p>
        </w:tc>
        <w:tc>
          <w:tcPr>
            <w:tcW w:w="2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(139.0 )</w:t>
            </w:r>
          </w:p>
        </w:tc>
        <w:tc>
          <w:tcPr>
            <w:tcW w:w="2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(227.8 )</w:t>
            </w:r>
          </w:p>
        </w:tc>
        <w:tc>
          <w:tcPr>
            <w:tcW w:w="4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(279.7 )</w:t>
            </w:r>
          </w:p>
        </w:tc>
      </w:tr>
      <w:tr>
        <w:trPr>
          <w:trHeight w:val="249"/>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Restructuring costs, net</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(35.5 )</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(38.5 )</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(31.4 )</w:t>
            </w:r>
          </w:p>
        </w:tc>
        <w:tc>
          <w:tcPr>
            <w:tcW w:w="40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(50.6 )</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(10.7 )</w:t>
            </w:r>
          </w:p>
        </w:tc>
        <w:tc>
          <w:tcPr>
            <w:tcW w:w="2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(12.3 )</w:t>
            </w:r>
          </w:p>
        </w:tc>
        <w:tc>
          <w:tcPr>
            <w:tcW w:w="2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(24.2 )</w:t>
            </w:r>
          </w:p>
        </w:tc>
        <w:tc>
          <w:tcPr>
            <w:tcW w:w="4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(28.9 )</w:t>
            </w:r>
          </w:p>
        </w:tc>
      </w:tr>
      <w:tr>
        <w:trPr>
          <w:trHeight w:val="249"/>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Transaction, transformation and integration costs</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(6.5 )</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(14.9 )</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(9.1 )</w:t>
            </w:r>
          </w:p>
        </w:tc>
        <w:tc>
          <w:tcPr>
            <w:tcW w:w="40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(30.5 )</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Acquisition accounting adjustments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(0.5 )</w:t>
            </w:r>
          </w:p>
        </w:tc>
        <w:tc>
          <w:tcPr>
            <w:tcW w:w="2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(1.3 )</w:t>
            </w:r>
          </w:p>
        </w:tc>
        <w:tc>
          <w:tcPr>
            <w:tcW w:w="4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(3.6 )</w:t>
            </w:r>
          </w:p>
        </w:tc>
      </w:tr>
      <w:tr>
        <w:trPr>
          <w:trHeight w:val="249"/>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Patent claims and litigation settlements</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(1.0 )</w:t>
            </w: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(2.2 )</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Recovery (reserve) of Russian accounts receivable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(3.8 )</w:t>
            </w:r>
          </w:p>
        </w:tc>
      </w:tr>
      <w:tr>
        <w:trPr>
          <w:trHeight w:val="249"/>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Cyber incident costs</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(4.1 )</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(4.1 )</w:t>
            </w:r>
          </w:p>
        </w:tc>
        <w:tc>
          <w:tcPr>
            <w:tcW w:w="40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(30.6 )</w:t>
            </w:r>
          </w:p>
        </w:tc>
        <w:tc>
          <w:tcPr>
            <w:tcW w:w="2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(30.7 )</w:t>
            </w:r>
          </w:p>
        </w:tc>
        <w:tc>
          <w:tcPr>
            <w:tcW w:w="26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(61.9 )</w:t>
            </w:r>
          </w:p>
        </w:tc>
        <w:tc>
          <w:tcPr>
            <w:tcW w:w="4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(63.7 )</w:t>
            </w:r>
          </w:p>
        </w:tc>
      </w:tr>
      <w:tr>
        <w:trPr>
          <w:trHeight w:val="276"/>
        </w:trPr>
        <w:tc>
          <w:tcPr>
            <w:tcW w:w="48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operating income</w:t>
            </w:r>
          </w:p>
        </w:tc>
        <w:tc>
          <w:tcPr>
            <w:tcW w:w="7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center"/>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72.2</w:t>
            </w:r>
          </w:p>
        </w:tc>
        <w:tc>
          <w:tcPr>
            <w:tcW w:w="34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63.1</w:t>
            </w:r>
          </w:p>
        </w:tc>
        <w:tc>
          <w:tcPr>
            <w:tcW w:w="36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224.7</w:t>
            </w:r>
          </w:p>
        </w:tc>
        <w:tc>
          <w:tcPr>
            <w:tcW w:w="36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Borders>
              <w:bottom w:val="single" w:sz="8" w:color="CCECFF"/>
            </w:tcBorders>
            <w:shd w:val="clear" w:color="auto" w:fill="CCECFF"/>
          </w:tcPr>
          <w:p>
            <w:pPr>
              <w:spacing w:after="0"/>
              <w:rPr>
                <w:sz w:val="24"/>
                <w:szCs w:val="24"/>
                <w:color w:val="auto"/>
              </w:rPr>
            </w:pPr>
          </w:p>
        </w:tc>
      </w:tr>
      <w:tr>
        <w:trPr>
          <w:trHeight w:val="224"/>
        </w:trPr>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Depreciation expense:</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CCS</w:t>
            </w:r>
          </w:p>
        </w:tc>
        <w:tc>
          <w:tcPr>
            <w:tcW w:w="104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CFF"/>
          </w:tcPr>
          <w:p>
            <w:pPr>
              <w:spacing w:after="0"/>
              <w:rPr>
                <w:sz w:val="21"/>
                <w:szCs w:val="21"/>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NICS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CFF"/>
          </w:tcPr>
          <w:p>
            <w:pPr>
              <w:spacing w:after="0"/>
              <w:rPr>
                <w:sz w:val="21"/>
                <w:szCs w:val="21"/>
                <w:color w:val="auto"/>
              </w:rPr>
            </w:pP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Home</w:t>
            </w:r>
          </w:p>
        </w:tc>
        <w:tc>
          <w:tcPr>
            <w:tcW w:w="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1"/>
                <w:szCs w:val="21"/>
                <w:color w:val="auto"/>
              </w:rPr>
            </w:pPr>
          </w:p>
        </w:tc>
      </w:tr>
      <w:tr>
        <w:trPr>
          <w:trHeight w:val="276"/>
        </w:trPr>
        <w:tc>
          <w:tcPr>
            <w:tcW w:w="48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depreciation expense</w:t>
            </w:r>
          </w:p>
        </w:tc>
        <w:tc>
          <w:tcPr>
            <w:tcW w:w="7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center"/>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30.7</w:t>
            </w:r>
          </w:p>
        </w:tc>
        <w:tc>
          <w:tcPr>
            <w:tcW w:w="36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61.9</w:t>
            </w:r>
          </w:p>
        </w:tc>
        <w:tc>
          <w:tcPr>
            <w:tcW w:w="36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Borders>
              <w:bottom w:val="single" w:sz="8" w:color="CCECFF"/>
            </w:tcBorders>
            <w:shd w:val="clear" w:color="auto" w:fill="CCECFF"/>
          </w:tcPr>
          <w:p>
            <w:pPr>
              <w:spacing w:after="0"/>
              <w:rPr>
                <w:sz w:val="24"/>
                <w:szCs w:val="24"/>
                <w:color w:val="auto"/>
              </w:rPr>
            </w:pPr>
          </w:p>
        </w:tc>
      </w:tr>
      <w:tr>
        <w:trPr>
          <w:trHeight w:val="224"/>
        </w:trPr>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48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CCS</w:t>
            </w:r>
          </w:p>
        </w:tc>
        <w:tc>
          <w:tcPr>
            <w:tcW w:w="1040" w:type="dxa"/>
            <w:vAlign w:val="bottom"/>
            <w:gridSpan w:val="2"/>
          </w:tcPr>
          <w:p>
            <w:pPr>
              <w:jc w:val="center"/>
              <w:ind w:left="5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20"/>
                <w:szCs w:val="20"/>
                <w:color w:val="auto"/>
              </w:rPr>
            </w:pP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CFF"/>
          </w:tcPr>
          <w:p>
            <w:pPr>
              <w:spacing w:after="0"/>
              <w:rPr>
                <w:sz w:val="21"/>
                <w:szCs w:val="21"/>
                <w:color w:val="auto"/>
              </w:rPr>
            </w:pPr>
          </w:p>
        </w:tc>
      </w:tr>
      <w:tr>
        <w:trPr>
          <w:trHeight w:val="237"/>
        </w:trPr>
        <w:tc>
          <w:tcPr>
            <w:tcW w:w="4800" w:type="dxa"/>
            <w:vAlign w:val="bottom"/>
          </w:tcPr>
          <w:p>
            <w:pPr>
              <w:ind w:left="200"/>
              <w:spacing w:after="0"/>
              <w:rPr>
                <w:sz w:val="20"/>
                <w:szCs w:val="20"/>
                <w:color w:val="auto"/>
              </w:rPr>
            </w:pPr>
            <w:r>
              <w:rPr>
                <w:rFonts w:ascii="Arial" w:cs="Arial" w:eastAsia="Arial" w:hAnsi="Arial"/>
                <w:sz w:val="18"/>
                <w:szCs w:val="18"/>
                <w:color w:val="auto"/>
              </w:rPr>
              <w:t>NICS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r>
      <w:tr>
        <w:trPr>
          <w:trHeight w:val="249"/>
        </w:trPr>
        <w:tc>
          <w:tcPr>
            <w:tcW w:w="48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7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CFF"/>
          </w:tcPr>
          <w:p>
            <w:pPr>
              <w:spacing w:after="0"/>
              <w:rPr>
                <w:sz w:val="21"/>
                <w:szCs w:val="21"/>
                <w:color w:val="auto"/>
              </w:rPr>
            </w:pP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Home</w:t>
            </w:r>
          </w:p>
        </w:tc>
        <w:tc>
          <w:tcPr>
            <w:tcW w:w="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r>
      <w:tr>
        <w:trPr>
          <w:trHeight w:val="277"/>
        </w:trPr>
        <w:tc>
          <w:tcPr>
            <w:tcW w:w="48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additions to property, plant and equipment</w:t>
            </w:r>
          </w:p>
        </w:tc>
        <w:tc>
          <w:tcPr>
            <w:tcW w:w="7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center"/>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Borders>
              <w:bottom w:val="single" w:sz="8" w:color="CCECFF"/>
            </w:tcBorders>
            <w:shd w:val="clear" w:color="auto" w:fill="CCECFF"/>
          </w:tcPr>
          <w:p>
            <w:pPr>
              <w:spacing w:after="0"/>
              <w:rPr>
                <w:sz w:val="24"/>
                <w:szCs w:val="24"/>
                <w:color w:val="auto"/>
              </w:rPr>
            </w:pPr>
          </w:p>
        </w:tc>
      </w:tr>
      <w:tr>
        <w:trPr>
          <w:trHeight w:val="628"/>
        </w:trPr>
        <w:tc>
          <w:tcPr>
            <w:tcW w:w="4800" w:type="dxa"/>
            <w:vAlign w:val="bottom"/>
          </w:tcPr>
          <w:p>
            <w:pPr>
              <w:spacing w:after="0"/>
              <w:rPr>
                <w:sz w:val="24"/>
                <w:szCs w:val="24"/>
                <w:color w:val="auto"/>
              </w:rPr>
            </w:pPr>
          </w:p>
        </w:tc>
        <w:tc>
          <w:tcPr>
            <w:tcW w:w="1040" w:type="dxa"/>
            <w:vAlign w:val="bottom"/>
            <w:gridSpan w:val="2"/>
          </w:tcPr>
          <w:p>
            <w:pPr>
              <w:jc w:val="center"/>
              <w:ind w:left="530"/>
              <w:spacing w:after="0"/>
              <w:rPr>
                <w:sz w:val="20"/>
                <w:szCs w:val="20"/>
                <w:color w:val="auto"/>
              </w:rPr>
            </w:pPr>
            <w:r>
              <w:rPr>
                <w:rFonts w:ascii="Arial" w:cs="Arial" w:eastAsia="Arial" w:hAnsi="Arial"/>
                <w:sz w:val="18"/>
                <w:szCs w:val="18"/>
                <w:color w:val="auto"/>
                <w:w w:val="89"/>
              </w:rPr>
              <w:t>17</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47"/>
        </w:trPr>
        <w:tc>
          <w:tcPr>
            <w:tcW w:w="4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-6154420</wp:posOffset>
            </wp:positionV>
            <wp:extent cx="288925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89250"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-3334385</wp:posOffset>
            </wp:positionV>
            <wp:extent cx="2889250"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89250" cy="18034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-2065655</wp:posOffset>
            </wp:positionV>
            <wp:extent cx="2889250"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89250" cy="18034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-796290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-779780</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-796290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-779780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-796290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-779780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-796290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-779780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Sales to customers located outside of the U.S. comprised 42.4% and 38.2% of total net sales for the three and six months ended June 30, 2023, respectively, compared to 38.1% and 38.8% of total net sales for the three and six months ended June 30, 2022, respectively. Sales by geographic region, based on the destination of product shipments or service provided, were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RESTRUCTURING COSTS, NET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Three Months Ended June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CCS</w:t>
            </w: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OWN</w:t>
            </w: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NICS</w:t>
            </w: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ANS</w:t>
            </w: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Home</w:t>
            </w: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46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444.8</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177.2</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235.3</w:t>
            </w:r>
          </w:p>
        </w:tc>
        <w:tc>
          <w:tcPr>
            <w:tcW w:w="3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108.6</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1,105.4</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369.8</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50"/>
        </w:trPr>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r>
      <w:tr>
        <w:trPr>
          <w:trHeight w:val="237"/>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34"/>
        </w:trPr>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 June 30, 2022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CCS</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OWN</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NICS</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ANS</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Home</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46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637.5</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128.9</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163.0</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1,424.3</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378.4</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150.4</w:t>
            </w:r>
          </w:p>
        </w:tc>
      </w:tr>
      <w:tr>
        <w:trPr>
          <w:trHeight w:val="250"/>
        </w:trPr>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r>
      <w:tr>
        <w:trPr>
          <w:trHeight w:val="237"/>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1"/>
        </w:trPr>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 2023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
        </w:trPr>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CCS</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OWN</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NICS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ANS</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Home</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46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1,009.3</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351.9</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458.9</w:t>
            </w:r>
          </w:p>
        </w:tc>
        <w:tc>
          <w:tcPr>
            <w:tcW w:w="3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279.1</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2,423.4</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696.3</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353.9</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50"/>
        </w:trPr>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r>
      <w:tr>
        <w:trPr>
          <w:trHeight w:val="237"/>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34"/>
        </w:trPr>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 2022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
        </w:trPr>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CCS</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OWN</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NICS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ANS</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Home</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46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1,179.9</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226.2</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394.9</w:t>
            </w:r>
          </w:p>
        </w:tc>
        <w:tc>
          <w:tcPr>
            <w:tcW w:w="3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407.3</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2,771.4</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784.8</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426.5</w:t>
            </w:r>
          </w:p>
        </w:tc>
      </w:tr>
      <w:tr>
        <w:trPr>
          <w:trHeight w:val="243"/>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312.7</w:t>
            </w:r>
          </w:p>
        </w:tc>
      </w:tr>
      <w:tr>
        <w:trPr>
          <w:trHeight w:val="250"/>
        </w:trPr>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r>
      <w:tr>
        <w:trPr>
          <w:trHeight w:val="237"/>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-5854065</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-5546090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-5236845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-4919980</wp:posOffset>
            </wp:positionV>
            <wp:extent cx="7132320" cy="763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76327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-4003040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-3694430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-3376930</wp:posOffset>
            </wp:positionV>
            <wp:extent cx="713232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-2691130</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-2382520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-2073910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-1757045</wp:posOffset>
            </wp:positionV>
            <wp:extent cx="7132320" cy="796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79692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-805180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-496570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6" w:lineRule="exact"/>
        <w:rPr>
          <w:sz w:val="20"/>
          <w:szCs w:val="20"/>
          <w:color w:val="auto"/>
        </w:rPr>
      </w:pPr>
    </w:p>
    <w:p>
      <w:pPr>
        <w:sectPr>
          <w:pgSz w:w="11900" w:h="16838" w:orient="portrait"/>
          <w:cols w:equalWidth="0" w:num="2">
            <w:col w:w="3020" w:space="720"/>
            <w:col w:w="7480"/>
          </w:cols>
          <w:pgMar w:left="320" w:top="121" w:right="359" w:bottom="1440" w:gutter="0" w:footer="0" w:header="0"/>
          <w:type w:val="continuous"/>
        </w:sectPr>
      </w:pPr>
    </w:p>
    <w:p>
      <w:pPr>
        <w:ind w:right="20"/>
        <w:spacing w:after="0" w:line="263" w:lineRule="auto"/>
        <w:rPr>
          <w:sz w:val="20"/>
          <w:szCs w:val="20"/>
          <w:color w:val="auto"/>
        </w:rPr>
      </w:pPr>
      <w:r>
        <w:rPr>
          <w:rFonts w:ascii="Arial" w:cs="Arial" w:eastAsia="Arial" w:hAnsi="Arial"/>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net pretax restructuring activity included in restructuring costs, net on the Condensed Consolidated Statements of Operations, by segment, was as follows: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1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1920" w:type="dxa"/>
            <w:vAlign w:val="bottom"/>
            <w:shd w:val="clear" w:color="auto" w:fill="CCECFF"/>
          </w:tcPr>
          <w:p>
            <w:pPr>
              <w:ind w:left="20"/>
              <w:spacing w:after="0"/>
              <w:rPr>
                <w:sz w:val="20"/>
                <w:szCs w:val="20"/>
                <w:color w:val="auto"/>
              </w:rPr>
            </w:pPr>
            <w:r>
              <w:rPr>
                <w:rFonts w:ascii="Arial" w:cs="Arial" w:eastAsia="Arial" w:hAnsi="Arial"/>
                <w:sz w:val="18"/>
                <w:szCs w:val="18"/>
                <w:color w:val="auto"/>
              </w:rPr>
              <w:t>CCS</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CFF"/>
          </w:tcPr>
          <w:p>
            <w:pPr>
              <w:spacing w:after="0"/>
              <w:rPr>
                <w:sz w:val="20"/>
                <w:szCs w:val="20"/>
                <w:color w:val="auto"/>
              </w:rPr>
            </w:pPr>
          </w:p>
        </w:tc>
        <w:tc>
          <w:tcPr>
            <w:tcW w:w="540" w:type="dxa"/>
            <w:vAlign w:val="bottom"/>
            <w:shd w:val="clear" w:color="auto" w:fill="CCEC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CFF"/>
          </w:tcPr>
          <w:p>
            <w:pPr>
              <w:spacing w:after="0"/>
              <w:rPr>
                <w:sz w:val="20"/>
                <w:szCs w:val="20"/>
                <w:color w:val="auto"/>
              </w:rPr>
            </w:pP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CFF"/>
          </w:tcPr>
          <w:p>
            <w:pPr>
              <w:jc w:val="right"/>
              <w:ind w:right="221"/>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CCEC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CFF"/>
          </w:tcPr>
          <w:p>
            <w:pPr>
              <w:spacing w:after="0"/>
              <w:rPr>
                <w:sz w:val="20"/>
                <w:szCs w:val="20"/>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8"/>
                <w:szCs w:val="18"/>
                <w:color w:val="auto"/>
              </w:rPr>
              <w:t>OWN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r>
      <w:tr>
        <w:trPr>
          <w:trHeight w:val="249"/>
        </w:trPr>
        <w:tc>
          <w:tcPr>
            <w:tcW w:w="1920" w:type="dxa"/>
            <w:vAlign w:val="bottom"/>
            <w:shd w:val="clear" w:color="auto" w:fill="CCECFF"/>
          </w:tcPr>
          <w:p>
            <w:pPr>
              <w:ind w:left="20"/>
              <w:spacing w:after="0"/>
              <w:rPr>
                <w:sz w:val="20"/>
                <w:szCs w:val="20"/>
                <w:color w:val="auto"/>
              </w:rPr>
            </w:pPr>
            <w:r>
              <w:rPr>
                <w:rFonts w:ascii="Arial" w:cs="Arial" w:eastAsia="Arial" w:hAnsi="Arial"/>
                <w:sz w:val="18"/>
                <w:szCs w:val="18"/>
                <w:color w:val="auto"/>
              </w:rPr>
              <w:t>NICS</w:t>
            </w:r>
          </w:p>
        </w:tc>
        <w:tc>
          <w:tcPr>
            <w:tcW w:w="34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CFF"/>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CFF"/>
          </w:tcPr>
          <w:p>
            <w:pPr>
              <w:spacing w:after="0"/>
              <w:rPr>
                <w:sz w:val="21"/>
                <w:szCs w:val="21"/>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8"/>
                <w:szCs w:val="18"/>
                <w:color w:val="auto"/>
              </w:rPr>
              <w:t>ANS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r>
      <w:tr>
        <w:trPr>
          <w:trHeight w:val="249"/>
        </w:trPr>
        <w:tc>
          <w:tcPr>
            <w:tcW w:w="19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Home</w:t>
            </w:r>
          </w:p>
        </w:tc>
        <w:tc>
          <w:tcPr>
            <w:tcW w:w="340" w:type="dxa"/>
            <w:vAlign w:val="bottom"/>
            <w:tcBorders>
              <w:bottom w:val="single" w:sz="8" w:color="auto"/>
            </w:tcBorders>
            <w:shd w:val="clear" w:color="auto" w:fill="CCECFF"/>
          </w:tcPr>
          <w:p>
            <w:pPr>
              <w:spacing w:after="0"/>
              <w:rPr>
                <w:sz w:val="21"/>
                <w:szCs w:val="21"/>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auto"/>
            </w:tcBorders>
            <w:shd w:val="clear" w:color="auto" w:fill="CCECFF"/>
          </w:tcPr>
          <w:p>
            <w:pPr>
              <w:spacing w:after="0"/>
              <w:rPr>
                <w:sz w:val="21"/>
                <w:szCs w:val="21"/>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spacing w:after="0"/>
              <w:rPr>
                <w:sz w:val="21"/>
                <w:szCs w:val="21"/>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CCECFF"/>
            </w:tcBorders>
            <w:shd w:val="clear" w:color="auto" w:fill="CCECFF"/>
          </w:tcPr>
          <w:p>
            <w:pPr>
              <w:spacing w:after="0"/>
              <w:rPr>
                <w:sz w:val="21"/>
                <w:szCs w:val="21"/>
                <w:color w:val="auto"/>
              </w:rPr>
            </w:pPr>
          </w:p>
        </w:tc>
        <w:tc>
          <w:tcPr>
            <w:tcW w:w="480" w:type="dxa"/>
            <w:vAlign w:val="bottom"/>
            <w:tcBorders>
              <w:bottom w:val="single" w:sz="8" w:color="auto"/>
            </w:tcBorders>
            <w:shd w:val="clear" w:color="auto" w:fill="CCECFF"/>
          </w:tcPr>
          <w:p>
            <w:pPr>
              <w:spacing w:after="0"/>
              <w:rPr>
                <w:sz w:val="21"/>
                <w:szCs w:val="21"/>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35.5</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-187960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-187960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liabilities were included in the Company’s Condensed Consolidated Balance Sheets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Accrued and other liabilities</w:t>
            </w:r>
          </w:p>
        </w:tc>
        <w:tc>
          <w:tcPr>
            <w:tcW w:w="820" w:type="dxa"/>
            <w:vAlign w:val="bottom"/>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5"/>
              </w:rPr>
              <w:t>56.9</w:t>
            </w: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CFF"/>
          </w:tcPr>
          <w:p>
            <w:pPr>
              <w:spacing w:after="0"/>
              <w:rPr>
                <w:sz w:val="20"/>
                <w:szCs w:val="20"/>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r>
      <w:tr>
        <w:trPr>
          <w:trHeight w:val="277"/>
        </w:trPr>
        <w:tc>
          <w:tcPr>
            <w:tcW w:w="51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restructuring liabilities</w:t>
            </w:r>
          </w:p>
        </w:tc>
        <w:tc>
          <w:tcPr>
            <w:tcW w:w="820" w:type="dxa"/>
            <w:vAlign w:val="bottom"/>
            <w:tcBorders>
              <w:bottom w:val="single" w:sz="8" w:color="auto"/>
            </w:tcBorders>
            <w:shd w:val="clear" w:color="auto" w:fill="CCECFF"/>
          </w:tcPr>
          <w:p>
            <w:pPr>
              <w:jc w:val="right"/>
              <w:ind w:right="6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5"/>
              </w:rPr>
              <w:t>57.2</w:t>
            </w:r>
          </w:p>
        </w:tc>
        <w:tc>
          <w:tcPr>
            <w:tcW w:w="30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CommScope NEXT Restructuring Actions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first quarter of 2021, the Company announced and began implementing a business transformation initiative called CommScope NEXT. This ongoing initiative is designed to drive shareholder value through three pillars: profitable growth, operational efficiency and portfolio optimization. The activity within the liability established for CommScope NEXT restructuring actions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Employee-Related</w:t>
            </w:r>
          </w:p>
        </w:tc>
        <w:tc>
          <w:tcPr>
            <w:tcW w:w="300" w:type="dxa"/>
            <w:vAlign w:val="bottom"/>
          </w:tcPr>
          <w:p>
            <w:pPr>
              <w:spacing w:after="0"/>
              <w:rPr>
                <w:sz w:val="14"/>
                <w:szCs w:val="14"/>
                <w:color w:val="auto"/>
              </w:rPr>
            </w:pPr>
          </w:p>
        </w:tc>
        <w:tc>
          <w:tcPr>
            <w:tcW w:w="14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Costs</w:t>
            </w: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0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March 31, 2023</w:t>
            </w: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CFF"/>
          </w:tcPr>
          <w:p>
            <w:pPr>
              <w:spacing w:after="0"/>
              <w:rPr>
                <w:sz w:val="20"/>
                <w:szCs w:val="20"/>
                <w:color w:val="auto"/>
              </w:rPr>
            </w:pPr>
          </w:p>
        </w:tc>
        <w:tc>
          <w:tcPr>
            <w:tcW w:w="300" w:type="dxa"/>
            <w:vAlign w:val="bottom"/>
            <w:tcBorders>
              <w:top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0"/>
                <w:szCs w:val="20"/>
                <w:color w:val="auto"/>
              </w:rPr>
            </w:pPr>
          </w:p>
        </w:tc>
        <w:tc>
          <w:tcPr>
            <w:tcW w:w="340" w:type="dxa"/>
            <w:vAlign w:val="bottom"/>
            <w:tcBorders>
              <w:top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Additional expense, net</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received (paid)</w:t>
            </w:r>
          </w:p>
        </w:tc>
        <w:tc>
          <w:tcPr>
            <w:tcW w:w="100" w:type="dxa"/>
            <w:vAlign w:val="bottom"/>
            <w:shd w:val="clear" w:color="auto" w:fill="CCECFF"/>
          </w:tcPr>
          <w:p>
            <w:pPr>
              <w:spacing w:after="0"/>
              <w:rPr>
                <w:sz w:val="21"/>
                <w:szCs w:val="21"/>
                <w:color w:val="auto"/>
              </w:rPr>
            </w:pPr>
          </w:p>
        </w:tc>
        <w:tc>
          <w:tcPr>
            <w:tcW w:w="17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(30.8 )</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Foreign exchange and other non-cash items</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(4.8 )</w:t>
            </w:r>
          </w:p>
        </w:tc>
        <w:tc>
          <w:tcPr>
            <w:tcW w:w="3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7"/>
        </w:trPr>
        <w:tc>
          <w:tcPr>
            <w:tcW w:w="61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June 30, 2023</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56.8</w:t>
            </w:r>
          </w:p>
        </w:tc>
        <w:tc>
          <w:tcPr>
            <w:tcW w:w="3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December 31, 2022</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C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Additional expense (reversals), net</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(15.6 )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received (paid)</w:t>
            </w:r>
          </w:p>
        </w:tc>
        <w:tc>
          <w:tcPr>
            <w:tcW w:w="100" w:type="dxa"/>
            <w:vAlign w:val="bottom"/>
            <w:shd w:val="clear" w:color="auto" w:fill="CCECFF"/>
          </w:tcPr>
          <w:p>
            <w:pPr>
              <w:spacing w:after="0"/>
              <w:rPr>
                <w:sz w:val="21"/>
                <w:szCs w:val="21"/>
                <w:color w:val="auto"/>
              </w:rPr>
            </w:pPr>
          </w:p>
        </w:tc>
        <w:tc>
          <w:tcPr>
            <w:tcW w:w="17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(49.8 )</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Foreign exchange and other non-cash items</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(23.0 )</w:t>
            </w:r>
          </w:p>
        </w:tc>
        <w:tc>
          <w:tcPr>
            <w:tcW w:w="3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76"/>
        </w:trPr>
        <w:tc>
          <w:tcPr>
            <w:tcW w:w="61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June 30, 2023</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56.8</w:t>
            </w:r>
          </w:p>
        </w:tc>
        <w:tc>
          <w:tcPr>
            <w:tcW w:w="3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-985520</wp:posOffset>
            </wp:positionV>
            <wp:extent cx="236601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66010" cy="1797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236601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66010" cy="180340"/>
                    </a:xfrm>
                    <a:prstGeom prst="rect">
                      <a:avLst/>
                    </a:prstGeom>
                    <a:noFill/>
                  </pic:spPr>
                </pic:pic>
              </a:graphicData>
            </a:graphic>
          </wp:anchor>
        </w:drawing>
      </w:r>
    </w:p>
    <w:p>
      <w:pPr>
        <w:spacing w:after="0" w:line="2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CommScope NEXT actions to date have included the closure of an international manufacturing facility, as well as headcount reductions in other manufacturing locations and engineering, marketing, sales and administrative functions and asset impairments associated with restructuring related actions. During the three months ended June 30, 2023, additional expenses were recorded for severance and other costs, which included asset impairments for certain owned and leased real estate. During the first quarter of 2023, the Company completed the sale of an international manufacturing facility which is reflected in the six months ended June 30, 2023. Related to the sale, the Company recorded net proceeds of $38.4 million, resulting in a gain on the sale of $20.2 million that was partially offset by severance and other costs, and included in the other category in the table above and in restructuring costs, net on the Condensed Consolidated Statements of Operations. The Company simultaneously entered into a sale leaseback transaction where a minor portion of the building used to support research and development operations was then leased back for a term of nine years with annual payments that range from </w:t>
      </w:r>
      <w:r>
        <w:rPr>
          <w:rFonts w:ascii="Arial" w:cs="Arial" w:eastAsia="Arial" w:hAnsi="Arial"/>
          <w:sz w:val="18"/>
          <w:szCs w:val="18"/>
          <w:color w:val="auto"/>
        </w:rPr>
        <w:t>€</w:t>
      </w:r>
      <w:r>
        <w:rPr>
          <w:rFonts w:ascii="Arial" w:cs="Arial" w:eastAsia="Arial" w:hAnsi="Arial"/>
          <w:sz w:val="17"/>
          <w:szCs w:val="17"/>
          <w:color w:val="auto"/>
        </w:rPr>
        <w:t xml:space="preserve">800 thousand to </w:t>
      </w:r>
      <w:r>
        <w:rPr>
          <w:rFonts w:ascii="Arial" w:cs="Arial" w:eastAsia="Arial" w:hAnsi="Arial"/>
          <w:sz w:val="18"/>
          <w:szCs w:val="18"/>
          <w:color w:val="auto"/>
        </w:rPr>
        <w:t>€</w:t>
      </w:r>
      <w:r>
        <w:rPr>
          <w:rFonts w:ascii="Arial" w:cs="Arial" w:eastAsia="Arial" w:hAnsi="Arial"/>
          <w:sz w:val="17"/>
          <w:szCs w:val="17"/>
          <w:color w:val="auto"/>
        </w:rPr>
        <w:t xml:space="preserve">1.5 million. The Company determined the lease to be an operating lease and upon entering into the lease, recognized a right of use asset and operating lease liability of </w:t>
      </w:r>
      <w:r>
        <w:rPr>
          <w:rFonts w:ascii="Arial" w:cs="Arial" w:eastAsia="Arial" w:hAnsi="Arial"/>
          <w:sz w:val="18"/>
          <w:szCs w:val="18"/>
          <w:color w:val="auto"/>
        </w:rPr>
        <w:t>€</w:t>
      </w:r>
      <w:r>
        <w:rPr>
          <w:rFonts w:ascii="Arial" w:cs="Arial" w:eastAsia="Arial" w:hAnsi="Arial"/>
          <w:sz w:val="17"/>
          <w:szCs w:val="17"/>
          <w:color w:val="auto"/>
        </w:rPr>
        <w:t>7.5 million based on the present value of the minimum lease payments discounted using an incremental borrowing rate of 7.15%.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recognized restructuring charges of $181.6 million to date related to CommScope NEXT actions. The Company expects to make cash payments of $45.1 million during the remainder of 2023 and additional cash payments of $11.7 million in 2024 to settle CommScope NEXT restructuring actions. Additional restructuring actions related to CommScope NEXT are expected to be identified, and the resulting charges and cash requirements could be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A CONVERTIBLE PREFERRED STOCK</w:t>
      </w:r>
    </w:p>
    <w:p>
      <w:pPr>
        <w:spacing w:after="0" w:line="12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 As of June 30, 2023, the Company had authorized 1,200,000 shares of the Convertible Preferred Stock.</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During the three and six months ended June 30, 2023 and 2022, the Company paid dividends in-kind of $15.3 million and $30.4 million, respectively, and $14.7 million and $29.2 million, respectively, which was recorded as additional Convertible Preferred Stock in the Condensed Consolidated Balance Sheets.</w:t>
      </w:r>
    </w:p>
    <w:p>
      <w:pPr>
        <w:spacing w:after="0" w:line="292" w:lineRule="exact"/>
        <w:rPr>
          <w:sz w:val="20"/>
          <w:szCs w:val="20"/>
          <w:color w:val="auto"/>
        </w:rPr>
      </w:pPr>
    </w:p>
    <w:p>
      <w:pPr>
        <w:ind w:right="8580" w:firstLine="8"/>
        <w:spacing w:after="0" w:line="425"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Equity-Based Compensation Plans</w:t>
      </w:r>
    </w:p>
    <w:p>
      <w:pPr>
        <w:ind w:right="140"/>
        <w:spacing w:after="0" w:line="263" w:lineRule="auto"/>
        <w:rPr>
          <w:sz w:val="20"/>
          <w:szCs w:val="20"/>
          <w:color w:val="auto"/>
        </w:rPr>
      </w:pPr>
      <w:r>
        <w:rPr>
          <w:rFonts w:ascii="Arial" w:cs="Arial" w:eastAsia="Arial" w:hAnsi="Arial"/>
          <w:sz w:val="18"/>
          <w:szCs w:val="18"/>
          <w:color w:val="auto"/>
        </w:rPr>
        <w:t>As of June 30, 2023, $109.5 million of total unrecognized compensation expense related to unvested stock options, restricted stock units (RSUs) and performance share units (PSUs) is expected to be recognized over a remaining weighted average period of 2.2 years. There were no significant capitalized equity-based compensation costs at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the equity-based compensation expense included in the Condensed Consolidated Statements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3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r>
      <w:tr>
        <w:trPr>
          <w:trHeight w:val="236"/>
        </w:trPr>
        <w:tc>
          <w:tcPr>
            <w:tcW w:w="528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top w:val="single" w:sz="8" w:color="auto"/>
            </w:tcBorders>
            <w:shd w:val="clear" w:color="auto" w:fill="CCEC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00" w:type="dxa"/>
            <w:vAlign w:val="bottom"/>
            <w:tcBorders>
              <w:top w:val="single" w:sz="8" w:color="auto"/>
            </w:tcBorders>
            <w:shd w:val="clear" w:color="auto" w:fill="CCECFF"/>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CFF"/>
          </w:tcPr>
          <w:p>
            <w:pPr>
              <w:spacing w:after="0"/>
              <w:rPr>
                <w:sz w:val="20"/>
                <w:szCs w:val="20"/>
                <w:color w:val="auto"/>
              </w:rPr>
            </w:pPr>
          </w:p>
        </w:tc>
        <w:tc>
          <w:tcPr>
            <w:tcW w:w="760" w:type="dxa"/>
            <w:vAlign w:val="bottom"/>
            <w:tcBorders>
              <w:top w:val="single" w:sz="8" w:color="auto"/>
            </w:tcBorders>
            <w:shd w:val="clear" w:color="auto" w:fill="CCECFF"/>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CFF"/>
          </w:tcPr>
          <w:p>
            <w:pPr>
              <w:spacing w:after="0"/>
              <w:rPr>
                <w:sz w:val="20"/>
                <w:szCs w:val="20"/>
                <w:color w:val="auto"/>
              </w:rPr>
            </w:pPr>
          </w:p>
        </w:tc>
        <w:tc>
          <w:tcPr>
            <w:tcW w:w="400" w:type="dxa"/>
            <w:vAlign w:val="bottom"/>
            <w:tcBorders>
              <w:top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CFF"/>
          </w:tcPr>
          <w:p>
            <w:pPr>
              <w:spacing w:after="0"/>
              <w:rPr>
                <w:sz w:val="20"/>
                <w:szCs w:val="20"/>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0"/>
                <w:szCs w:val="20"/>
                <w:color w:val="auto"/>
              </w:rPr>
            </w:pPr>
          </w:p>
        </w:tc>
      </w:tr>
      <w:tr>
        <w:trPr>
          <w:trHeight w:val="249"/>
        </w:trPr>
        <w:tc>
          <w:tcPr>
            <w:tcW w:w="5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Cost of sales</w:t>
            </w:r>
          </w:p>
        </w:tc>
        <w:tc>
          <w:tcPr>
            <w:tcW w:w="780" w:type="dxa"/>
            <w:vAlign w:val="bottom"/>
            <w:tcBorders>
              <w:bottom w:val="single" w:sz="8" w:color="auto"/>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6"/>
        </w:trPr>
        <w:tc>
          <w:tcPr>
            <w:tcW w:w="5280" w:type="dxa"/>
            <w:vAlign w:val="bottom"/>
          </w:tcPr>
          <w:p>
            <w:pPr>
              <w:ind w:left="200"/>
              <w:spacing w:after="0"/>
              <w:rPr>
                <w:sz w:val="20"/>
                <w:szCs w:val="20"/>
                <w:color w:val="auto"/>
              </w:rPr>
            </w:pPr>
            <w:r>
              <w:rPr>
                <w:rFonts w:ascii="Arial" w:cs="Arial" w:eastAsia="Arial" w:hAnsi="Arial"/>
                <w:sz w:val="18"/>
                <w:szCs w:val="18"/>
                <w:color w:val="auto"/>
              </w:rPr>
              <w:t>Total equity-based compensation expense</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118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12.3</w:t>
            </w:r>
          </w:p>
        </w:tc>
        <w:tc>
          <w:tcPr>
            <w:tcW w:w="114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24.2</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-187960</wp:posOffset>
            </wp:positionV>
            <wp:extent cx="8572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8572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8572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RSUs entitle the holder to shares of common stock after a vesting period of generally three years. The fair value of the awards is determined on the grant date based on the Company’s stock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(in millions, except per share data):</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3"/>
              </w:rPr>
              <w:t>Restricted</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2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1"/>
              </w:rPr>
              <w:t>Units</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CFF"/>
          </w:tcPr>
          <w:p>
            <w:pPr>
              <w:spacing w:after="0"/>
              <w:rPr>
                <w:sz w:val="20"/>
                <w:szCs w:val="20"/>
                <w:color w:val="auto"/>
              </w:rPr>
            </w:pPr>
            <w:r>
              <w:rPr>
                <w:rFonts w:ascii="Arial" w:cs="Arial" w:eastAsia="Arial" w:hAnsi="Arial"/>
                <w:sz w:val="18"/>
                <w:szCs w:val="18"/>
                <w:color w:val="auto"/>
              </w:rPr>
              <w:t>Non-vested share units at March 31, 2023</w:t>
            </w:r>
          </w:p>
        </w:tc>
        <w:tc>
          <w:tcPr>
            <w:tcW w:w="1260" w:type="dxa"/>
            <w:vAlign w:val="bottom"/>
            <w:shd w:val="clear" w:color="auto" w:fill="CCECFF"/>
          </w:tcPr>
          <w:p>
            <w:pPr>
              <w:spacing w:after="0"/>
              <w:rPr>
                <w:sz w:val="20"/>
                <w:szCs w:val="20"/>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Vested and shares issued</w:t>
            </w:r>
          </w:p>
        </w:tc>
        <w:tc>
          <w:tcPr>
            <w:tcW w:w="7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(3.1 )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share units at June 30, 2023</w:t>
            </w:r>
          </w:p>
        </w:tc>
        <w:tc>
          <w:tcPr>
            <w:tcW w:w="1260" w:type="dxa"/>
            <w:vAlign w:val="bottom"/>
            <w:tcBorders>
              <w:top w:val="single" w:sz="8" w:color="auto"/>
              <w:bottom w:val="single" w:sz="8" w:color="auto"/>
            </w:tcBorders>
            <w:shd w:val="clear" w:color="auto" w:fill="CCECFF"/>
          </w:tcPr>
          <w:p>
            <w:pPr>
              <w:spacing w:after="0"/>
              <w:rPr>
                <w:sz w:val="24"/>
                <w:szCs w:val="24"/>
                <w:color w:val="auto"/>
              </w:rPr>
            </w:pP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Non-vested share units at December 31, 2022</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CFF"/>
          </w:tcPr>
          <w:p>
            <w:pPr>
              <w:spacing w:after="0"/>
              <w:rPr>
                <w:sz w:val="21"/>
                <w:szCs w:val="21"/>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Vested and shares issued</w:t>
            </w:r>
          </w:p>
        </w:tc>
        <w:tc>
          <w:tcPr>
            <w:tcW w:w="7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(5.2 )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share units at June 30, 2023</w:t>
            </w:r>
          </w:p>
        </w:tc>
        <w:tc>
          <w:tcPr>
            <w:tcW w:w="1260" w:type="dxa"/>
            <w:vAlign w:val="bottom"/>
            <w:tcBorders>
              <w:top w:val="single" w:sz="8" w:color="auto"/>
              <w:bottom w:val="single" w:sz="8" w:color="auto"/>
            </w:tcBorders>
            <w:shd w:val="clear" w:color="auto" w:fill="CCECFF"/>
          </w:tcPr>
          <w:p>
            <w:pPr>
              <w:spacing w:after="0"/>
              <w:rPr>
                <w:sz w:val="24"/>
                <w:szCs w:val="24"/>
                <w:color w:val="auto"/>
              </w:rPr>
            </w:pP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-985520</wp:posOffset>
            </wp:positionV>
            <wp:extent cx="6858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Units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PSUs are stock awards in which the number of shares ultimately received by the employee depends on achievement towards a performance measure. Certain of CommScope’s PSUs have an internal performance measure, and the awards vest at the end of three years. The number of shares issued under these awards can vary between 0% and 300% of the number of PSUs granted. The fair value of these awards is determined on the date of grant based on the Company's stock price.</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CommScope also has PSUs with a market condition performance measure based on stock price milestones over a three-year period. The number of shares issued under these awards can vary between 0% to 100% of the number of PSUs granted. In addition, the Company has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assumptions used to estimate the fair value of the awards granted: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jc w:val="center"/>
              <w:ind w:right="55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2920" w:type="dxa"/>
            <w:vAlign w:val="bottom"/>
            <w:gridSpan w:val="6"/>
          </w:tcPr>
          <w:p>
            <w:pPr>
              <w:jc w:val="center"/>
              <w:ind w:right="1100"/>
              <w:spacing w:after="0"/>
              <w:rPr>
                <w:sz w:val="20"/>
                <w:szCs w:val="20"/>
                <w:color w:val="auto"/>
              </w:rPr>
            </w:pPr>
            <w:r>
              <w:rPr>
                <w:rFonts w:ascii="Arial" w:cs="Arial" w:eastAsia="Arial" w:hAnsi="Arial"/>
                <w:sz w:val="14"/>
                <w:szCs w:val="14"/>
                <w:b w:val="1"/>
                <w:bCs w:val="1"/>
                <w:color w:val="auto"/>
                <w:w w:val="93"/>
              </w:rPr>
              <w:t>Six Months Ended</w:t>
            </w:r>
          </w:p>
        </w:tc>
      </w:tr>
      <w:tr>
        <w:trPr>
          <w:trHeight w:val="185"/>
        </w:trPr>
        <w:tc>
          <w:tcPr>
            <w:tcW w:w="7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3"/>
        </w:trPr>
        <w:tc>
          <w:tcPr>
            <w:tcW w:w="7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7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86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w:t>
            </w:r>
          </w:p>
        </w:tc>
      </w:tr>
      <w:tr>
        <w:trPr>
          <w:trHeight w:val="249"/>
        </w:trPr>
        <w:tc>
          <w:tcPr>
            <w:tcW w:w="7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21"/>
                <w:szCs w:val="21"/>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62.3 %</w:t>
            </w:r>
          </w:p>
        </w:tc>
        <w:tc>
          <w:tcPr>
            <w:tcW w:w="260" w:type="dxa"/>
            <w:vAlign w:val="bottom"/>
          </w:tcPr>
          <w:p>
            <w:pPr>
              <w:spacing w:after="0"/>
              <w:rPr>
                <w:sz w:val="21"/>
                <w:szCs w:val="21"/>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64.4 %</w:t>
            </w:r>
          </w:p>
        </w:tc>
        <w:tc>
          <w:tcPr>
            <w:tcW w:w="220" w:type="dxa"/>
            <w:vAlign w:val="bottom"/>
          </w:tcPr>
          <w:p>
            <w:pPr>
              <w:spacing w:after="0"/>
              <w:rPr>
                <w:sz w:val="21"/>
                <w:szCs w:val="21"/>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67.2 %</w:t>
            </w:r>
          </w:p>
        </w:tc>
        <w:tc>
          <w:tcPr>
            <w:tcW w:w="260" w:type="dxa"/>
            <w:vAlign w:val="bottom"/>
          </w:tcPr>
          <w:p>
            <w:pPr>
              <w:spacing w:after="0"/>
              <w:rPr>
                <w:sz w:val="21"/>
                <w:szCs w:val="21"/>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8"/>
                <w:szCs w:val="18"/>
                <w:color w:val="auto"/>
              </w:rPr>
              <w:t>61.2 %</w:t>
            </w:r>
          </w:p>
        </w:tc>
      </w:tr>
      <w:tr>
        <w:trPr>
          <w:trHeight w:val="250"/>
        </w:trPr>
        <w:tc>
          <w:tcPr>
            <w:tcW w:w="740" w:type="dxa"/>
            <w:vAlign w:val="bottom"/>
          </w:tcPr>
          <w:p>
            <w:pPr>
              <w:spacing w:after="0"/>
              <w:rPr>
                <w:sz w:val="21"/>
                <w:szCs w:val="21"/>
                <w:color w:val="auto"/>
              </w:rPr>
            </w:pPr>
          </w:p>
        </w:tc>
        <w:tc>
          <w:tcPr>
            <w:tcW w:w="474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 average fair value at grant date</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3.78</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9.19</w:t>
            </w:r>
          </w:p>
        </w:tc>
        <w:tc>
          <w:tcPr>
            <w:tcW w:w="340" w:type="dxa"/>
            <w:vAlign w:val="bottom"/>
            <w:shd w:val="clear" w:color="auto" w:fill="CCECFF"/>
          </w:tcPr>
          <w:p>
            <w:pPr>
              <w:spacing w:after="0"/>
              <w:rPr>
                <w:sz w:val="21"/>
                <w:szCs w:val="21"/>
                <w:color w:val="auto"/>
              </w:rPr>
            </w:pP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11.21</w:t>
            </w:r>
          </w:p>
        </w:tc>
        <w:tc>
          <w:tcPr>
            <w:tcW w:w="140" w:type="dxa"/>
            <w:vAlign w:val="bottom"/>
            <w:shd w:val="clear" w:color="auto" w:fill="CCECFF"/>
          </w:tcPr>
          <w:p>
            <w:pPr>
              <w:spacing w:after="0"/>
              <w:rPr>
                <w:sz w:val="21"/>
                <w:szCs w:val="21"/>
                <w:color w:val="auto"/>
              </w:rPr>
            </w:pPr>
          </w:p>
        </w:tc>
        <w:tc>
          <w:tcPr>
            <w:tcW w:w="720" w:type="dxa"/>
            <w:vAlign w:val="bottom"/>
          </w:tcPr>
          <w:p>
            <w:pPr>
              <w:spacing w:after="0"/>
              <w:rPr>
                <w:sz w:val="21"/>
                <w:szCs w:val="21"/>
                <w:color w:val="auto"/>
              </w:rPr>
            </w:pPr>
          </w:p>
        </w:tc>
      </w:tr>
      <w:tr>
        <w:trPr>
          <w:trHeight w:val="648"/>
        </w:trPr>
        <w:tc>
          <w:tcPr>
            <w:tcW w:w="7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20"/>
        </w:trPr>
        <w:tc>
          <w:tcPr>
            <w:tcW w:w="7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-1216660</wp:posOffset>
            </wp:positionV>
            <wp:extent cx="620649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0649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left="2000" w:right="1400"/>
        <w:spacing w:after="0" w:line="266" w:lineRule="auto"/>
        <w:rPr>
          <w:sz w:val="20"/>
          <w:szCs w:val="20"/>
          <w:color w:val="auto"/>
        </w:rPr>
      </w:pPr>
      <w:r>
        <w:rPr>
          <w:rFonts w:ascii="Arial" w:cs="Arial" w:eastAsia="Arial" w:hAnsi="Arial"/>
          <w:sz w:val="18"/>
          <w:szCs w:val="18"/>
          <w:b w:val="1"/>
          <w:bCs w:val="1"/>
          <w:color w:val="auto"/>
        </w:rPr>
        <w:t>CommScope Holding Company, Inc. Notes to Unaudited Condensed Consolidated Financial Statements (In millions,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PSU activity (in millions, except per share data):</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2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Share Units</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CECFF"/>
          </w:tcPr>
          <w:p>
            <w:pPr>
              <w:spacing w:after="0"/>
              <w:rPr>
                <w:sz w:val="20"/>
                <w:szCs w:val="20"/>
                <w:color w:val="auto"/>
              </w:rPr>
            </w:pPr>
            <w:r>
              <w:rPr>
                <w:rFonts w:ascii="Arial" w:cs="Arial" w:eastAsia="Arial" w:hAnsi="Arial"/>
                <w:sz w:val="18"/>
                <w:szCs w:val="18"/>
                <w:color w:val="auto"/>
              </w:rPr>
              <w:t>Non-vested share units at March 31, 2023</w:t>
            </w:r>
          </w:p>
        </w:tc>
        <w:tc>
          <w:tcPr>
            <w:tcW w:w="1200" w:type="dxa"/>
            <w:vAlign w:val="bottom"/>
            <w:shd w:val="clear" w:color="auto" w:fill="CCECFF"/>
          </w:tcPr>
          <w:p>
            <w:pPr>
              <w:spacing w:after="0"/>
              <w:rPr>
                <w:sz w:val="20"/>
                <w:szCs w:val="20"/>
                <w:color w:val="auto"/>
              </w:rPr>
            </w:pPr>
          </w:p>
        </w:tc>
        <w:tc>
          <w:tcPr>
            <w:tcW w:w="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CFF"/>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Granted</w:t>
            </w: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CFF"/>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5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share units at June 30, 2023</w:t>
            </w:r>
          </w:p>
        </w:tc>
        <w:tc>
          <w:tcPr>
            <w:tcW w:w="1200" w:type="dxa"/>
            <w:vAlign w:val="bottom"/>
            <w:tcBorders>
              <w:bottom w:val="single" w:sz="8" w:color="auto"/>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w:t>
            </w:r>
          </w:p>
        </w:tc>
        <w:tc>
          <w:tcPr>
            <w:tcW w:w="4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3429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42" w:lineRule="exact"/>
        <w:rPr>
          <w:sz w:val="20"/>
          <w:szCs w:val="20"/>
          <w:color w:val="auto"/>
        </w:rPr>
      </w:pPr>
    </w:p>
    <w:p>
      <w:pPr>
        <w:ind w:left="1700" w:right="540"/>
        <w:spacing w:after="0" w:line="289" w:lineRule="auto"/>
        <w:rPr>
          <w:sz w:val="20"/>
          <w:szCs w:val="20"/>
          <w:color w:val="auto"/>
        </w:rPr>
      </w:pPr>
      <w:r>
        <w:rPr>
          <w:rFonts w:ascii="Arial" w:cs="Arial" w:eastAsia="Arial" w:hAnsi="Arial"/>
          <w:sz w:val="18"/>
          <w:szCs w:val="18"/>
          <w:color w:val="auto"/>
        </w:rPr>
        <w:t>Non-vested share units at December 31, 2022 Granted</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Non-vested share units at June 30, 2023</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43"/>
        </w:trPr>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57"/>
        </w:trPr>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(0.1 )</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37"/>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0"/>
                <w:szCs w:val="20"/>
                <w:color w:val="auto"/>
              </w:rPr>
            </w:pP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-650875</wp:posOffset>
            </wp:positionV>
            <wp:extent cx="498919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-179070</wp:posOffset>
            </wp:positionV>
            <wp:extent cx="4989195"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3899"/>
          </w:cols>
          <w:pgMar w:left="320" w:top="121" w:right="1440" w:bottom="1440" w:gutter="0" w:footer="0" w:header="0"/>
          <w:type w:val="continuous"/>
        </w:sect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following narrative is an analysis of the three and six months ended June 30, 2023 compared to the three and six months ended June 30, 2022.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2022 (2022 Annual Report).</w:t>
      </w:r>
    </w:p>
    <w:p>
      <w:pPr>
        <w:spacing w:after="0" w:line="16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CommScope NEXT</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Since 2021, we have been engaged in a transformation initiative referred to as CommScope NEXT, which is designed to drive shareholder value through three pillars: profitable growth, operational efficiency and portfolio optimization. We believe these efforts are critical to making us more competitive and allowing us to invest in growth, de-lever and maximize stockholder and other stakeholder value in the future. In 2022, CommScope NEXT generated positive impacts on net sales, profitability and cash flow from our execution on pricing initiatives, expanding capacity and driving operational efficiencies. In 2023, we are experiencing headwinds related to a slow-down in spending by our customers as discussed further below, but we expect to continue to execute under CommScope NEXT to improve our profitability and cash flows by continuing to drive operational efficiencies and focusing on portfolio optimization. To that end, we incurred $35.5 million and $31.4 million of net restructuring costs and $6.5 million and $9.1 million of transaction, transformation and integration costs during the three and six months ended June 30, 2023, respectively. During the three and six months ended June 30, 2022, we incurred $38.5 million and $50.6 million, respectively, of net restructuring costs and $14.9 million and $30.5 million, respectively, of transaction, transformation and integration costs. These costs were primarily related to CommScope NEXT. We expect to continue to incur such costs during the remainder of 2023 as we continue executing on CommScope NEXT initiatives, and the resulting charges and cash requirements could be material.</w:t>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step in our CommScope NEXT transformation plan, in 2021, we announced a plan to separate the Home Networks (Home) segment. Due to the impact of the uncertain supply chain environment, capital spending pattern of customers and other macroeconomic factors related to the Home segment, we have delayed our separation plan, but we continue to analyze the financial results of our “Core” business separately from Home and look for opportunities to separate the business. As such, below we refer to certain supplementary Core financial measures, which reflect the results of our Connectivity and Cable Solutions (CCS), Outdoor Wireless Networks (OWN), Networking, Intelligent Cellular and Security Solutions (NICS) and Access Network Solutions (ANS) segments in the aggregate. See the Segment Results section below for the aggregation of our Core financial measures.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Impacts of Current Economic Conditions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Macroeconomic factors such as higher interest rates, inflation and concerns about a global economic slow-down have softened demand for our products, with certain customers reducing purchases as they right-size their inventories and others pausing capital spending. This has negatively impacted our net sales in certain segments for the three and six months ended June 30, 2023 and may continue to negatively impact net sales further into 2023. Conversely, in certain of our segments, we have seen higher demand and favorable pricing impacts that have partially offset the impact of lower demand in certain of our other segments. We are also seeing lower input costs, and we proactively implemented cost savings initiatives that have favorably impacted our profitability in the first half of 2023.</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2022, our ANS reporting unit failed the annual goodwill impairment test, and a partial impairment of $1,119.6 million was recorded as of October 1, 2022. Also, the amount by which our Building and Data Center Connectivity (BDCC) reporting unit’s fair value exceeded its carrying value was lower year over year. The BDCC reporting unit is in our CCS reportable segment. Although we did not identify any indicators of impairment during the three or six months ended June 30, 2023, considering the low headroom coming out of 2022 for the ANS and BDCC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our ANS and BDCC reporting units are not realized or decrease materially, we may be required to recognize additional goodwill impairment charges, and these charges could be material to our results of operations.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fourth quarter of 2022, our Home Networks reporting unit had an indicator of impairment as its carrying amount exceeded its estimated fair value, and as such, we performed a definite-lived asset recoverability test. We did not identify any impairments of definite-lived intangible assets as a result of this test in 2022, and we do not have any indicators of impairment during the three or six months ended June 30, 2023. However, changes in the estimates of forecasted net cash flows or changes in classification from held for use may result in future asset impairments that could be material to our results of operations.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more discussion on risks related to our customers, our supply chain and future impairments, see Part I, Item 1A, “Risk Factors” in our 2022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critical accounting policies as disclosed in our 2022 Annual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380"/>
        <w:spacing w:after="0" w:line="271" w:lineRule="auto"/>
        <w:rPr>
          <w:sz w:val="20"/>
          <w:szCs w:val="20"/>
          <w:color w:val="auto"/>
        </w:rPr>
      </w:pPr>
      <w:r>
        <w:rPr>
          <w:rFonts w:ascii="Arial" w:cs="Arial" w:eastAsia="Arial" w:hAnsi="Arial"/>
          <w:sz w:val="18"/>
          <w:szCs w:val="18"/>
          <w:b w:val="1"/>
          <w:bCs w:val="1"/>
          <w:color w:val="auto"/>
        </w:rPr>
        <w:t>COMPARISON OF RESULTS OF OPERATIONS FOR THE THREE AND SIX MONTHS ENDED JUNE 30, 2023 WITH THE THREE AND SIX MONTHS ENDED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80" w:type="dxa"/>
            <w:vAlign w:val="bottom"/>
            <w:vMerge w:val="restart"/>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 of Net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9"/>
              </w:rPr>
              <w:t>% of Net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280" w:type="dxa"/>
            <w:vAlign w:val="bottom"/>
            <w:vMerge w:val="restart"/>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millions,</w:t>
            </w: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except per share amounts)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1,918.4</w:t>
            </w:r>
          </w:p>
        </w:tc>
        <w:tc>
          <w:tcPr>
            <w:tcW w:w="280" w:type="dxa"/>
            <w:vAlign w:val="bottom"/>
          </w:tcPr>
          <w:p>
            <w:pPr>
              <w:spacing w:after="0"/>
              <w:rPr>
                <w:sz w:val="19"/>
                <w:szCs w:val="19"/>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(381.8 )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66"/>
        </w:trPr>
        <w:tc>
          <w:tcPr>
            <w:tcW w:w="406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1,588.8</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1,876.3</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81.6</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(287.5 )</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(15.3 )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617.2</w:t>
            </w:r>
          </w:p>
        </w:tc>
        <w:tc>
          <w:tcPr>
            <w:tcW w:w="2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683.2</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(66.0 )</w:t>
            </w: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(9.7 )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CFF"/>
          </w:tcPr>
          <w:p>
            <w:pPr>
              <w:ind w:left="20"/>
              <w:spacing w:after="0" w:line="249"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85.8</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259.5</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(40.1 )</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CFF"/>
          </w:tcPr>
          <w:p>
            <w:pPr>
              <w:ind w:left="20"/>
              <w:spacing w:after="0" w:line="243"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262.5</w:t>
            </w:r>
          </w:p>
        </w:tc>
        <w:tc>
          <w:tcPr>
            <w:tcW w:w="2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286.8</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(24.3 )</w:t>
            </w: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(100.4 )</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(5.2 )</w:t>
            </w:r>
          </w:p>
        </w:tc>
        <w:tc>
          <w:tcPr>
            <w:tcW w:w="180" w:type="dxa"/>
            <w:vAlign w:val="bottom"/>
          </w:tcPr>
          <w:p>
            <w:pPr>
              <w:spacing w:after="0"/>
              <w:rPr>
                <w:sz w:val="20"/>
                <w:szCs w:val="20"/>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8"/>
                <w:szCs w:val="18"/>
                <w:color w:val="auto"/>
              </w:rPr>
              <w:t>(61.0 )</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(39.4 )</w:t>
            </w:r>
          </w:p>
        </w:tc>
        <w:tc>
          <w:tcPr>
            <w:tcW w:w="96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Diluted loss per share</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(0.55 )</w:t>
            </w:r>
          </w:p>
        </w:tc>
        <w:tc>
          <w:tcPr>
            <w:tcW w:w="8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128"/>
              <w:spacing w:after="0"/>
              <w:rPr>
                <w:sz w:val="20"/>
                <w:szCs w:val="20"/>
                <w:color w:val="auto"/>
              </w:rPr>
            </w:pPr>
            <w:r>
              <w:rPr>
                <w:rFonts w:ascii="Arial" w:cs="Arial" w:eastAsia="Arial" w:hAnsi="Arial"/>
                <w:sz w:val="18"/>
                <w:szCs w:val="18"/>
                <w:color w:val="auto"/>
              </w:rPr>
              <w:t>(0.36 )</w:t>
            </w: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(0.19 )</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80" w:type="dxa"/>
            <w:vAlign w:val="bottom"/>
            <w:vMerge w:val="restart"/>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 of Net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9"/>
              </w:rPr>
              <w:t>% of Net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280" w:type="dxa"/>
            <w:vAlign w:val="bottom"/>
            <w:vMerge w:val="restart"/>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(dollars in millions,</w:t>
            </w: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except per share amounts)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0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3,919.9</w:t>
            </w:r>
          </w:p>
        </w:tc>
        <w:tc>
          <w:tcPr>
            <w:tcW w:w="280" w:type="dxa"/>
            <w:vAlign w:val="bottom"/>
          </w:tcPr>
          <w:p>
            <w:pPr>
              <w:spacing w:after="0"/>
              <w:rPr>
                <w:sz w:val="19"/>
                <w:szCs w:val="19"/>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4,528.8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(608.9 )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66"/>
        </w:trPr>
        <w:tc>
          <w:tcPr>
            <w:tcW w:w="406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3,253.2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3,609.2</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(356.0 )</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1,308.9</w:t>
            </w:r>
          </w:p>
        </w:tc>
        <w:tc>
          <w:tcPr>
            <w:tcW w:w="2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1,319.5</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(10.6 )</w:t>
            </w: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134.8</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CFF"/>
          </w:tcPr>
          <w:p>
            <w:pPr>
              <w:ind w:left="20"/>
              <w:spacing w:after="0" w:line="249"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296.2</w:t>
            </w:r>
          </w:p>
        </w:tc>
        <w:tc>
          <w:tcPr>
            <w:tcW w:w="2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126.4</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169.8</w:t>
            </w: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571.5</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CFF"/>
          </w:tcPr>
          <w:p>
            <w:pPr>
              <w:ind w:left="20"/>
              <w:spacing w:after="0" w:line="243"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577.8</w:t>
            </w:r>
          </w:p>
        </w:tc>
        <w:tc>
          <w:tcPr>
            <w:tcW w:w="2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516.8</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C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(97.0 )</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color w:val="auto"/>
              </w:rPr>
              <w:t>(2.5 )</w:t>
            </w:r>
          </w:p>
        </w:tc>
        <w:tc>
          <w:tcPr>
            <w:tcW w:w="180" w:type="dxa"/>
            <w:vAlign w:val="bottom"/>
          </w:tcPr>
          <w:p>
            <w:pPr>
              <w:spacing w:after="0"/>
              <w:rPr>
                <w:sz w:val="20"/>
                <w:szCs w:val="20"/>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8"/>
                <w:szCs w:val="18"/>
                <w:color w:val="auto"/>
              </w:rPr>
              <w:t>(200.9 )</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(4.4 )</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Diluted loss per share</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(0.61 )</w:t>
            </w:r>
          </w:p>
        </w:tc>
        <w:tc>
          <w:tcPr>
            <w:tcW w:w="8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128"/>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(45.0 )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ind w:left="520" w:right="560" w:hanging="512"/>
        <w:spacing w:after="0" w:line="258"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 financial measures reflect the results of our CCS, OWN, NICS and ANS segments, in the aggregate, and exclude the results of our Home segment. See "Segment Results" below for illustration of the aggregation of our Core financial measures.</w:t>
      </w:r>
    </w:p>
    <w:p>
      <w:pPr>
        <w:spacing w:after="0" w:line="1" w:lineRule="exact"/>
        <w:rPr>
          <w:rFonts w:ascii="Arial" w:cs="Arial" w:eastAsia="Arial" w:hAnsi="Arial"/>
          <w:sz w:val="18"/>
          <w:szCs w:val="18"/>
          <w:color w:val="auto"/>
        </w:rPr>
      </w:pPr>
    </w:p>
    <w:p>
      <w:pPr>
        <w:ind w:left="520" w:right="460" w:hanging="512"/>
        <w:spacing w:after="0" w:line="26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Non-GAAP Measures” in this Management’s Discussion and Analysis of Financial Condition and Results of Operations,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20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202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1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20" w:type="dxa"/>
            <w:vAlign w:val="bottom"/>
          </w:tcPr>
          <w:p>
            <w:pPr>
              <w:spacing w:after="0"/>
              <w:rPr>
                <w:sz w:val="14"/>
                <w:szCs w:val="14"/>
                <w:color w:val="auto"/>
              </w:rPr>
            </w:pPr>
          </w:p>
        </w:tc>
        <w:tc>
          <w:tcPr>
            <w:tcW w:w="8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Change</w:t>
            </w:r>
          </w:p>
        </w:tc>
        <w:tc>
          <w:tcPr>
            <w:tcW w:w="126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Change</w:t>
            </w:r>
          </w:p>
        </w:tc>
      </w:tr>
      <w:tr>
        <w:trPr>
          <w:trHeight w:val="169"/>
        </w:trPr>
        <w:tc>
          <w:tcPr>
            <w:tcW w:w="20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Pr>
          <w:p>
            <w:pPr>
              <w:jc w:val="right"/>
              <w:spacing w:after="0"/>
              <w:rPr>
                <w:sz w:val="20"/>
                <w:szCs w:val="20"/>
                <w:color w:val="auto"/>
              </w:rPr>
            </w:pPr>
            <w:r>
              <w:rPr>
                <w:rFonts w:ascii="Arial" w:cs="Arial" w:eastAsia="Arial" w:hAnsi="Arial"/>
                <w:sz w:val="18"/>
                <w:szCs w:val="18"/>
                <w:color w:val="auto"/>
              </w:rPr>
              <w:t>$  1,918.4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2,300.2</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(381.8 )</w:t>
            </w:r>
          </w:p>
        </w:tc>
        <w:tc>
          <w:tcPr>
            <w:tcW w:w="1460" w:type="dxa"/>
            <w:vAlign w:val="bottom"/>
            <w:gridSpan w:val="3"/>
          </w:tcPr>
          <w:p>
            <w:pPr>
              <w:jc w:val="right"/>
              <w:ind w:right="28"/>
              <w:spacing w:after="0"/>
              <w:rPr>
                <w:sz w:val="20"/>
                <w:szCs w:val="20"/>
                <w:color w:val="auto"/>
              </w:rPr>
            </w:pPr>
            <w:r>
              <w:rPr>
                <w:rFonts w:ascii="Arial" w:cs="Arial" w:eastAsia="Arial" w:hAnsi="Arial"/>
                <w:sz w:val="18"/>
                <w:szCs w:val="18"/>
                <w:color w:val="auto"/>
              </w:rPr>
              <w:t>(16.6 )% $</w:t>
            </w:r>
          </w:p>
        </w:tc>
        <w:tc>
          <w:tcPr>
            <w:tcW w:w="660" w:type="dxa"/>
            <w:vAlign w:val="bottom"/>
          </w:tcPr>
          <w:p>
            <w:pPr>
              <w:ind w:left="120"/>
              <w:spacing w:after="0"/>
              <w:rPr>
                <w:sz w:val="20"/>
                <w:szCs w:val="20"/>
                <w:color w:val="auto"/>
              </w:rPr>
            </w:pPr>
            <w:r>
              <w:rPr>
                <w:rFonts w:ascii="Arial" w:cs="Arial" w:eastAsia="Arial" w:hAnsi="Arial"/>
                <w:sz w:val="18"/>
                <w:szCs w:val="18"/>
                <w:color w:val="auto"/>
                <w:w w:val="86"/>
              </w:rPr>
              <w:t>3,919.9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89"/>
              </w:rPr>
              <w:t>4,528.8</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   (608.9 )</w:t>
            </w: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w w:val="88"/>
              </w:rPr>
              <w:t>(13.4 )%</w:t>
            </w:r>
          </w:p>
        </w:tc>
      </w:tr>
      <w:tr>
        <w:trPr>
          <w:trHeight w:val="249"/>
        </w:trPr>
        <w:tc>
          <w:tcPr>
            <w:tcW w:w="2020" w:type="dxa"/>
            <w:vAlign w:val="bottom"/>
          </w:tcPr>
          <w:p>
            <w:pPr>
              <w:ind w:left="200"/>
              <w:spacing w:after="0"/>
              <w:rPr>
                <w:sz w:val="20"/>
                <w:szCs w:val="20"/>
                <w:color w:val="auto"/>
              </w:rPr>
            </w:pPr>
            <w:r>
              <w:rPr>
                <w:rFonts w:ascii="Arial" w:cs="Arial" w:eastAsia="Arial" w:hAnsi="Arial"/>
                <w:sz w:val="18"/>
                <w:szCs w:val="18"/>
                <w:color w:val="auto"/>
              </w:rPr>
              <w:t>Domestic</w:t>
            </w:r>
          </w:p>
        </w:tc>
        <w:tc>
          <w:tcPr>
            <w:tcW w:w="860" w:type="dxa"/>
            <w:vAlign w:val="bottom"/>
          </w:tcPr>
          <w:p>
            <w:pPr>
              <w:jc w:val="right"/>
              <w:spacing w:after="0"/>
              <w:rPr>
                <w:sz w:val="20"/>
                <w:szCs w:val="20"/>
                <w:color w:val="auto"/>
              </w:rPr>
            </w:pPr>
            <w:r>
              <w:rPr>
                <w:rFonts w:ascii="Arial" w:cs="Arial" w:eastAsia="Arial" w:hAnsi="Arial"/>
                <w:sz w:val="18"/>
                <w:szCs w:val="18"/>
                <w:color w:val="auto"/>
              </w:rPr>
              <w:t>1,105.4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(318.9 )</w:t>
            </w:r>
          </w:p>
        </w:tc>
        <w:tc>
          <w:tcPr>
            <w:tcW w:w="1260" w:type="dxa"/>
            <w:vAlign w:val="bottom"/>
            <w:gridSpan w:val="2"/>
          </w:tcPr>
          <w:p>
            <w:pPr>
              <w:jc w:val="right"/>
              <w:ind w:right="168"/>
              <w:spacing w:after="0"/>
              <w:rPr>
                <w:sz w:val="20"/>
                <w:szCs w:val="20"/>
                <w:color w:val="auto"/>
              </w:rPr>
            </w:pPr>
            <w:r>
              <w:rPr>
                <w:rFonts w:ascii="Arial" w:cs="Arial" w:eastAsia="Arial" w:hAnsi="Arial"/>
                <w:sz w:val="18"/>
                <w:szCs w:val="18"/>
                <w:color w:val="auto"/>
              </w:rPr>
              <w:t>(22.4 )</w:t>
            </w:r>
          </w:p>
        </w:tc>
        <w:tc>
          <w:tcPr>
            <w:tcW w:w="20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86"/>
              </w:rPr>
              <w:t>2,423.4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9"/>
              </w:rPr>
              <w:t>2,771.4</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(348.0 )</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w w:val="96"/>
              </w:rPr>
              <w:t>(12.6 )</w:t>
            </w:r>
          </w:p>
        </w:tc>
        <w:tc>
          <w:tcPr>
            <w:tcW w:w="100" w:type="dxa"/>
            <w:vAlign w:val="bottom"/>
          </w:tcPr>
          <w:p>
            <w:pPr>
              <w:spacing w:after="0"/>
              <w:rPr>
                <w:sz w:val="21"/>
                <w:szCs w:val="21"/>
                <w:color w:val="auto"/>
              </w:rPr>
            </w:pPr>
          </w:p>
        </w:tc>
      </w:tr>
      <w:tr>
        <w:trPr>
          <w:trHeight w:val="250"/>
        </w:trPr>
        <w:tc>
          <w:tcPr>
            <w:tcW w:w="2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International</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813.0</w:t>
            </w:r>
          </w:p>
        </w:tc>
        <w:tc>
          <w:tcPr>
            <w:tcW w:w="3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875.9</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(62.9 )</w:t>
            </w:r>
          </w:p>
        </w:tc>
        <w:tc>
          <w:tcPr>
            <w:tcW w:w="1260" w:type="dxa"/>
            <w:vAlign w:val="bottom"/>
            <w:gridSpan w:val="2"/>
            <w:shd w:val="clear" w:color="auto" w:fill="CCECFF"/>
          </w:tcPr>
          <w:p>
            <w:pPr>
              <w:jc w:val="right"/>
              <w:ind w:right="168"/>
              <w:spacing w:after="0"/>
              <w:rPr>
                <w:sz w:val="20"/>
                <w:szCs w:val="20"/>
                <w:color w:val="auto"/>
              </w:rPr>
            </w:pPr>
            <w:r>
              <w:rPr>
                <w:rFonts w:ascii="Arial" w:cs="Arial" w:eastAsia="Arial" w:hAnsi="Arial"/>
                <w:sz w:val="18"/>
                <w:szCs w:val="18"/>
                <w:color w:val="auto"/>
              </w:rPr>
              <w:t>(7.2 )</w:t>
            </w: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ind w:left="120"/>
              <w:spacing w:after="0"/>
              <w:rPr>
                <w:sz w:val="20"/>
                <w:szCs w:val="20"/>
                <w:color w:val="auto"/>
              </w:rPr>
            </w:pPr>
            <w:r>
              <w:rPr>
                <w:rFonts w:ascii="Arial" w:cs="Arial" w:eastAsia="Arial" w:hAnsi="Arial"/>
                <w:sz w:val="18"/>
                <w:szCs w:val="18"/>
                <w:color w:val="auto"/>
                <w:w w:val="86"/>
              </w:rPr>
              <w:t>1,496.5</w:t>
            </w:r>
          </w:p>
        </w:tc>
        <w:tc>
          <w:tcPr>
            <w:tcW w:w="3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ind w:left="100"/>
              <w:spacing w:after="0"/>
              <w:rPr>
                <w:sz w:val="20"/>
                <w:szCs w:val="20"/>
                <w:color w:val="auto"/>
              </w:rPr>
            </w:pPr>
            <w:r>
              <w:rPr>
                <w:rFonts w:ascii="Arial" w:cs="Arial" w:eastAsia="Arial" w:hAnsi="Arial"/>
                <w:sz w:val="18"/>
                <w:szCs w:val="18"/>
                <w:color w:val="auto"/>
                <w:w w:val="89"/>
              </w:rPr>
              <w:t>1,757.4</w:t>
            </w:r>
          </w:p>
        </w:tc>
        <w:tc>
          <w:tcPr>
            <w:tcW w:w="1400" w:type="dxa"/>
            <w:vAlign w:val="bottom"/>
            <w:gridSpan w:val="3"/>
            <w:shd w:val="clear" w:color="auto" w:fill="CCECFF"/>
          </w:tcPr>
          <w:p>
            <w:pPr>
              <w:jc w:val="right"/>
              <w:ind w:right="200"/>
              <w:spacing w:after="0"/>
              <w:rPr>
                <w:sz w:val="20"/>
                <w:szCs w:val="20"/>
                <w:color w:val="auto"/>
              </w:rPr>
            </w:pPr>
            <w:r>
              <w:rPr>
                <w:rFonts w:ascii="Arial" w:cs="Arial" w:eastAsia="Arial" w:hAnsi="Arial"/>
                <w:sz w:val="18"/>
                <w:szCs w:val="18"/>
                <w:color w:val="auto"/>
              </w:rPr>
              <w:t>(260.9 )</w:t>
            </w:r>
          </w:p>
        </w:tc>
        <w:tc>
          <w:tcPr>
            <w:tcW w:w="1040" w:type="dxa"/>
            <w:vAlign w:val="bottom"/>
            <w:gridSpan w:val="2"/>
            <w:shd w:val="clear" w:color="auto" w:fill="CCECFF"/>
          </w:tcPr>
          <w:p>
            <w:pPr>
              <w:ind w:left="520"/>
              <w:spacing w:after="0"/>
              <w:rPr>
                <w:sz w:val="20"/>
                <w:szCs w:val="20"/>
                <w:color w:val="auto"/>
              </w:rPr>
            </w:pPr>
            <w:r>
              <w:rPr>
                <w:rFonts w:ascii="Arial" w:cs="Arial" w:eastAsia="Arial" w:hAnsi="Arial"/>
                <w:sz w:val="18"/>
                <w:szCs w:val="18"/>
                <w:color w:val="auto"/>
                <w:w w:val="96"/>
              </w:rPr>
              <w:t>(14.8 )</w:t>
            </w:r>
          </w:p>
        </w:tc>
        <w:tc>
          <w:tcPr>
            <w:tcW w:w="100" w:type="dxa"/>
            <w:vAlign w:val="bottom"/>
          </w:tcPr>
          <w:p>
            <w:pPr>
              <w:spacing w:after="0"/>
              <w:rPr>
                <w:sz w:val="21"/>
                <w:szCs w:val="21"/>
                <w:color w:val="auto"/>
              </w:rPr>
            </w:pPr>
          </w:p>
        </w:tc>
      </w:tr>
      <w:tr>
        <w:trPr>
          <w:trHeight w:val="648"/>
        </w:trPr>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638"/>
              <w:spacing w:after="0"/>
              <w:rPr>
                <w:sz w:val="20"/>
                <w:szCs w:val="20"/>
                <w:color w:val="auto"/>
              </w:rPr>
            </w:pPr>
            <w:r>
              <w:rPr>
                <w:rFonts w:ascii="Arial" w:cs="Arial" w:eastAsia="Arial" w:hAnsi="Arial"/>
                <w:sz w:val="18"/>
                <w:szCs w:val="18"/>
                <w:color w:val="auto"/>
                <w:w w:val="99"/>
              </w:rPr>
              <w:t>25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7"/>
        </w:trPr>
        <w:tc>
          <w:tcPr>
            <w:tcW w:w="20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661" w:right="239" w:bottom="1440" w:gutter="0" w:footer="0" w:header="0"/>
        </w:sectPr>
      </w:pPr>
    </w:p>
    <w:bookmarkStart w:id="26" w:name="page27"/>
    <w:bookmarkEnd w:id="26"/>
    <w:p>
      <w:pPr>
        <w:ind w:right="80"/>
        <w:spacing w:after="0" w:line="269" w:lineRule="auto"/>
        <w:rPr>
          <w:sz w:val="20"/>
          <w:szCs w:val="20"/>
          <w:color w:val="auto"/>
        </w:rPr>
      </w:pPr>
      <w:r>
        <w:rPr>
          <w:rFonts w:ascii="Arial" w:cs="Arial" w:eastAsia="Arial" w:hAnsi="Arial"/>
          <w:sz w:val="17"/>
          <w:szCs w:val="17"/>
          <w:color w:val="auto"/>
        </w:rPr>
        <w:t>Net sales for the three and six months ended June 30, 2023 decreased $381.8 million, or 16.6%, and $608.9 million, or 13.4%, respectively, compared to the prior year periods primarily driven by decreased sales volumes but partially offset by higher pricing. Our lower volumes are being driven by certain customers reducing purchases as they right-size their inventories and others pausing capital spending. Core net sales for the three and six months ended June 30, 2023 decreased $287.5 million, or 15.3%, and $356.0 million, or 9.9%, respectively, compared to the prior year periods. The decrease in core net sales for the three months ended June 30, 2023 was driven by decreases of $287.8 million in the CCS segment and $162.1 million in the OWN segment, partially offset by increases of $122.2 million in the NICS segment and $40.2 million in the ANS segment. The decrease in core net sales for the six months ended June 30, 2023 was driven by decreases of $303.0 million in the CCS segment and $293.8 million in the OWN segment, partially offset by increases of $218.7 million in the NICS segment and $22.1 million in the ANS segment. For the three and six months ended June 30, 2023, net sales in the Home segment decreased $94.3 million and $252.9 million, respectively, compared to the prior year periods. For further details by segment, see "Segment Results" below.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From a regional perspective, for the three months ended June 30, 2023 compared to the prior year period, net sales decreased in the U.S. by $318.9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Asia Pacific (APAC) region by $28.1 million, the Caribbean and Latin American (CALA) region by $22.2 million, the Europe, Middle East and Africa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(EMEA) region by $8.6 million and Canada by $4.0 million. For the six months ended June 30, 2023 compared to the prior year period, net sales decreased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U.S. by $348.0 million, the EMEA region by $88.5 million, the CALA region by $76.6 million, the APAC region by $72.6 million and Canada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$23.2 million. Net sales to customers located outside of the U.S. comprised 42.4% and 38.2% of total net sales for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respectively, compared to 38.1% and 38.8% for the three and six months ended June 30, 2022, respectively. Foreign exchange rate changes impacted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sales unfavorably by less than 1% for the three and six months ended June 30, 2023 compared to the prior year periods. For additional information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regional sales by segment, see "Segment Results" below and Note 7 in the Notes to Unaudited Condensed Consolidated Financial Statements included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SG&amp;A expense and R&amp;D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2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2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Change</w:t>
            </w:r>
          </w:p>
        </w:tc>
        <w:tc>
          <w:tcPr>
            <w:tcW w:w="122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2100" w:type="dxa"/>
            <w:vAlign w:val="bottom"/>
            <w:vMerge w:val="restart"/>
          </w:tcPr>
          <w:p>
            <w:pPr>
              <w:ind w:left="20"/>
              <w:spacing w:after="0"/>
              <w:rPr>
                <w:sz w:val="20"/>
                <w:szCs w:val="20"/>
                <w:color w:val="auto"/>
              </w:rPr>
            </w:pPr>
            <w:r>
              <w:rPr>
                <w:rFonts w:ascii="Arial" w:cs="Arial" w:eastAsia="Arial" w:hAnsi="Arial"/>
                <w:sz w:val="17"/>
                <w:szCs w:val="17"/>
                <w:color w:val="auto"/>
              </w:rPr>
              <w:t>Gross profit</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w w:val="90"/>
              </w:rPr>
              <w:t>(dollars</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in</w:t>
            </w:r>
          </w:p>
        </w:tc>
        <w:tc>
          <w:tcPr>
            <w:tcW w:w="800" w:type="dxa"/>
            <w:vAlign w:val="bottom"/>
            <w:tcBorders>
              <w:top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w w:val="76"/>
              </w:rPr>
              <w:t>millions)</w:t>
            </w: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617.2</w:t>
            </w:r>
          </w:p>
        </w:tc>
        <w:tc>
          <w:tcPr>
            <w:tcW w:w="2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683.2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(66.0 )</w:t>
            </w:r>
          </w:p>
        </w:tc>
        <w:tc>
          <w:tcPr>
            <w:tcW w:w="1400" w:type="dxa"/>
            <w:vAlign w:val="bottom"/>
            <w:gridSpan w:val="3"/>
          </w:tcPr>
          <w:p>
            <w:pPr>
              <w:ind w:left="680"/>
              <w:spacing w:after="0"/>
              <w:rPr>
                <w:sz w:val="20"/>
                <w:szCs w:val="20"/>
                <w:color w:val="auto"/>
              </w:rPr>
            </w:pPr>
            <w:r>
              <w:rPr>
                <w:rFonts w:ascii="Arial" w:cs="Arial" w:eastAsia="Arial" w:hAnsi="Arial"/>
                <w:sz w:val="16"/>
                <w:szCs w:val="16"/>
                <w:color w:val="auto"/>
              </w:rPr>
              <w:t>(9.7 )% $</w:t>
            </w:r>
          </w:p>
        </w:tc>
        <w:tc>
          <w:tcPr>
            <w:tcW w:w="620" w:type="dxa"/>
            <w:vAlign w:val="bottom"/>
          </w:tcPr>
          <w:p>
            <w:pPr>
              <w:jc w:val="right"/>
              <w:spacing w:after="0"/>
              <w:rPr>
                <w:sz w:val="20"/>
                <w:szCs w:val="20"/>
                <w:color w:val="auto"/>
              </w:rPr>
            </w:pPr>
            <w:r>
              <w:rPr>
                <w:rFonts w:ascii="Arial" w:cs="Arial" w:eastAsia="Arial" w:hAnsi="Arial"/>
                <w:sz w:val="16"/>
                <w:szCs w:val="16"/>
                <w:color w:val="auto"/>
              </w:rPr>
              <w:t>1,308.9</w:t>
            </w:r>
          </w:p>
        </w:tc>
        <w:tc>
          <w:tcPr>
            <w:tcW w:w="3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1,319.5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(10.6 )</w:t>
            </w:r>
          </w:p>
        </w:tc>
        <w:tc>
          <w:tcPr>
            <w:tcW w:w="1160" w:type="dxa"/>
            <w:vAlign w:val="bottom"/>
            <w:gridSpan w:val="3"/>
          </w:tcPr>
          <w:p>
            <w:pPr>
              <w:ind w:left="700"/>
              <w:spacing w:after="0"/>
              <w:rPr>
                <w:sz w:val="20"/>
                <w:szCs w:val="20"/>
                <w:color w:val="auto"/>
              </w:rPr>
            </w:pPr>
            <w:r>
              <w:rPr>
                <w:rFonts w:ascii="Arial" w:cs="Arial" w:eastAsia="Arial" w:hAnsi="Arial"/>
                <w:sz w:val="16"/>
                <w:szCs w:val="16"/>
                <w:color w:val="auto"/>
                <w:w w:val="85"/>
              </w:rPr>
              <w:t>(0.8 )%</w:t>
            </w:r>
          </w:p>
        </w:tc>
        <w:tc>
          <w:tcPr>
            <w:tcW w:w="0" w:type="dxa"/>
            <w:vAlign w:val="bottom"/>
          </w:tcPr>
          <w:p>
            <w:pPr>
              <w:spacing w:after="0"/>
              <w:rPr>
                <w:sz w:val="1"/>
                <w:szCs w:val="1"/>
                <w:color w:val="auto"/>
              </w:rPr>
            </w:pPr>
          </w:p>
        </w:tc>
      </w:tr>
      <w:tr>
        <w:trPr>
          <w:trHeight w:val="238"/>
        </w:trPr>
        <w:tc>
          <w:tcPr>
            <w:tcW w:w="2100" w:type="dxa"/>
            <w:vAlign w:val="bottom"/>
          </w:tcPr>
          <w:p>
            <w:pPr>
              <w:ind w:left="200"/>
              <w:spacing w:after="0"/>
              <w:rPr>
                <w:sz w:val="20"/>
                <w:szCs w:val="20"/>
                <w:color w:val="auto"/>
              </w:rPr>
            </w:pPr>
            <w:r>
              <w:rPr>
                <w:rFonts w:ascii="Arial" w:cs="Arial" w:eastAsia="Arial" w:hAnsi="Arial"/>
                <w:sz w:val="17"/>
                <w:szCs w:val="17"/>
                <w:color w:val="auto"/>
              </w:rPr>
              <w:t>As a percent of sales</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32.2 %</w:t>
            </w:r>
          </w:p>
        </w:tc>
        <w:tc>
          <w:tcPr>
            <w:tcW w:w="2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29.7 %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33.4 %</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29.1 %</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100" w:type="dxa"/>
            <w:vAlign w:val="bottom"/>
            <w:shd w:val="clear" w:color="auto" w:fill="CCECFF"/>
          </w:tcPr>
          <w:p>
            <w:pPr>
              <w:ind w:left="20"/>
              <w:spacing w:after="0"/>
              <w:rPr>
                <w:sz w:val="20"/>
                <w:szCs w:val="20"/>
                <w:color w:val="auto"/>
              </w:rPr>
            </w:pPr>
            <w:r>
              <w:rPr>
                <w:rFonts w:ascii="Arial" w:cs="Arial" w:eastAsia="Arial" w:hAnsi="Arial"/>
                <w:sz w:val="17"/>
                <w:szCs w:val="17"/>
                <w:color w:val="auto"/>
              </w:rPr>
              <w:t>SG&amp;A expense</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254.9</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277.2</w:t>
            </w:r>
          </w:p>
        </w:tc>
        <w:tc>
          <w:tcPr>
            <w:tcW w:w="28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6"/>
                <w:szCs w:val="16"/>
                <w:color w:val="auto"/>
              </w:rPr>
              <w:t>(22.3 )</w:t>
            </w:r>
          </w:p>
        </w:tc>
        <w:tc>
          <w:tcPr>
            <w:tcW w:w="1220" w:type="dxa"/>
            <w:vAlign w:val="bottom"/>
            <w:gridSpan w:val="2"/>
            <w:shd w:val="clear" w:color="auto" w:fill="CCECFF"/>
          </w:tcPr>
          <w:p>
            <w:pPr>
              <w:ind w:left="680"/>
              <w:spacing w:after="0"/>
              <w:rPr>
                <w:sz w:val="20"/>
                <w:szCs w:val="20"/>
                <w:color w:val="auto"/>
              </w:rPr>
            </w:pPr>
            <w:r>
              <w:rPr>
                <w:rFonts w:ascii="Arial" w:cs="Arial" w:eastAsia="Arial" w:hAnsi="Arial"/>
                <w:sz w:val="16"/>
                <w:szCs w:val="16"/>
                <w:color w:val="auto"/>
              </w:rPr>
              <w:t>(8.0 )</w:t>
            </w:r>
          </w:p>
        </w:tc>
        <w:tc>
          <w:tcPr>
            <w:tcW w:w="1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518.4</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563.2</w:t>
            </w: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6"/>
                <w:szCs w:val="16"/>
                <w:color w:val="auto"/>
              </w:rPr>
              <w:t>(44.8 )</w:t>
            </w:r>
          </w:p>
        </w:tc>
        <w:tc>
          <w:tcPr>
            <w:tcW w:w="1100" w:type="dxa"/>
            <w:vAlign w:val="bottom"/>
            <w:gridSpan w:val="2"/>
            <w:shd w:val="clear" w:color="auto" w:fill="CCECFF"/>
          </w:tcPr>
          <w:p>
            <w:pPr>
              <w:ind w:left="700"/>
              <w:spacing w:after="0"/>
              <w:rPr>
                <w:sz w:val="20"/>
                <w:szCs w:val="20"/>
                <w:color w:val="auto"/>
              </w:rPr>
            </w:pPr>
            <w:r>
              <w:rPr>
                <w:rFonts w:ascii="Arial" w:cs="Arial" w:eastAsia="Arial" w:hAnsi="Arial"/>
                <w:sz w:val="16"/>
                <w:szCs w:val="16"/>
                <w:color w:val="auto"/>
              </w:rPr>
              <w:t>(8.0 )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0"/>
              <w:spacing w:after="0"/>
              <w:rPr>
                <w:sz w:val="20"/>
                <w:szCs w:val="20"/>
                <w:color w:val="auto"/>
              </w:rPr>
            </w:pPr>
            <w:r>
              <w:rPr>
                <w:rFonts w:ascii="Arial" w:cs="Arial" w:eastAsia="Arial" w:hAnsi="Arial"/>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13.3 %</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12.1 %</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13.2 %</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12.4 %</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100" w:type="dxa"/>
            <w:vAlign w:val="bottom"/>
            <w:shd w:val="clear" w:color="auto" w:fill="CCECFF"/>
          </w:tcPr>
          <w:p>
            <w:pPr>
              <w:ind w:left="20"/>
              <w:spacing w:after="0"/>
              <w:rPr>
                <w:sz w:val="20"/>
                <w:szCs w:val="20"/>
                <w:color w:val="auto"/>
              </w:rPr>
            </w:pPr>
            <w:r>
              <w:rPr>
                <w:rFonts w:ascii="Arial" w:cs="Arial" w:eastAsia="Arial" w:hAnsi="Arial"/>
                <w:sz w:val="17"/>
                <w:szCs w:val="17"/>
                <w:color w:val="auto"/>
              </w:rPr>
              <w:t>R&amp;D expense</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153.2</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165.4</w:t>
            </w:r>
          </w:p>
        </w:tc>
        <w:tc>
          <w:tcPr>
            <w:tcW w:w="28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80"/>
              <w:spacing w:after="0"/>
              <w:rPr>
                <w:sz w:val="20"/>
                <w:szCs w:val="20"/>
                <w:color w:val="auto"/>
              </w:rPr>
            </w:pPr>
            <w:r>
              <w:rPr>
                <w:rFonts w:ascii="Arial" w:cs="Arial" w:eastAsia="Arial" w:hAnsi="Arial"/>
                <w:sz w:val="16"/>
                <w:szCs w:val="16"/>
                <w:color w:val="auto"/>
              </w:rPr>
              <w:t>(12.2 )</w:t>
            </w:r>
          </w:p>
        </w:tc>
        <w:tc>
          <w:tcPr>
            <w:tcW w:w="1220" w:type="dxa"/>
            <w:vAlign w:val="bottom"/>
            <w:gridSpan w:val="2"/>
            <w:shd w:val="clear" w:color="auto" w:fill="CCECFF"/>
          </w:tcPr>
          <w:p>
            <w:pPr>
              <w:ind w:left="680"/>
              <w:spacing w:after="0"/>
              <w:rPr>
                <w:sz w:val="20"/>
                <w:szCs w:val="20"/>
                <w:color w:val="auto"/>
              </w:rPr>
            </w:pPr>
            <w:r>
              <w:rPr>
                <w:rFonts w:ascii="Arial" w:cs="Arial" w:eastAsia="Arial" w:hAnsi="Arial"/>
                <w:sz w:val="16"/>
                <w:szCs w:val="16"/>
                <w:color w:val="auto"/>
              </w:rPr>
              <w:t>(7.4 )</w:t>
            </w:r>
          </w:p>
        </w:tc>
        <w:tc>
          <w:tcPr>
            <w:tcW w:w="1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306.6</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336.1</w:t>
            </w: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6"/>
                <w:szCs w:val="16"/>
                <w:color w:val="auto"/>
              </w:rPr>
              <w:t>(29.5 )</w:t>
            </w:r>
          </w:p>
        </w:tc>
        <w:tc>
          <w:tcPr>
            <w:tcW w:w="1100" w:type="dxa"/>
            <w:vAlign w:val="bottom"/>
            <w:gridSpan w:val="2"/>
            <w:shd w:val="clear" w:color="auto" w:fill="CCECFF"/>
          </w:tcPr>
          <w:p>
            <w:pPr>
              <w:ind w:left="700"/>
              <w:spacing w:after="0"/>
              <w:rPr>
                <w:sz w:val="20"/>
                <w:szCs w:val="20"/>
                <w:color w:val="auto"/>
              </w:rPr>
            </w:pPr>
            <w:r>
              <w:rPr>
                <w:rFonts w:ascii="Arial" w:cs="Arial" w:eastAsia="Arial" w:hAnsi="Arial"/>
                <w:sz w:val="16"/>
                <w:szCs w:val="16"/>
                <w:color w:val="auto"/>
              </w:rPr>
              <w:t>(8.8 )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00"/>
              <w:spacing w:after="0"/>
              <w:rPr>
                <w:sz w:val="20"/>
                <w:szCs w:val="20"/>
                <w:color w:val="auto"/>
              </w:rPr>
            </w:pPr>
            <w:r>
              <w:rPr>
                <w:rFonts w:ascii="Arial" w:cs="Arial" w:eastAsia="Arial" w:hAnsi="Arial"/>
                <w:sz w:val="17"/>
                <w:szCs w:val="17"/>
                <w:color w:val="auto"/>
              </w:rPr>
              <w:t>As a percent of sales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8.0 %</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7.2 %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7.8 %</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7.4 %</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(net sales less cost of sales)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Gross profit decreased by $66.0 million and $10.6 million, respectively, for the three and six months ended June 30, 2023 compared to the prior year periods primarily due to lower net sales, partially offset by lower freight and material costs and favorable product mix.</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the three and six months ended June 30, 2023, selling, general and administrative (SG&amp;A) expense decreased by $22.3 million and $44.8 million, respectively, compared to the prior year periods. The decrease in the three and six months ended June 30, 2023 was primarily due to lower variable incentive compensation expense of $15.1 million and $13.1 million, respectively, and a decrease in transaction, transformation and integration costs of $8.4 million and $21.4 million, respectively. Although our transaction, transformation and integration costs have decreased year-over-year during the first half of 2023, we expect to continue to incur these costs in the second half of 2023 related to CommScope NEXT initiatives, and the resulting charges and cash requirements could be material. These favorable impacts were partially offset by $4.1 million in costs incurred primarily in the second quarter of 2023 related to the identification, investigation, defense and recovery efforts connected to a cyber incident that occurred in late March of 2023. The incident resulted in minimal impact to our business operations, and we do not expect significant additional costs related to the recovery effort.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Research and development (R&amp;D) expense decreased for the three and six months ended June 30, 2023 compared to the prior year periods primarily due to lower spending across all segments. R&amp;D activities generally relate to ensuring that our products are capable of meeting the evolving technological needs of our customers, bringing new products to market and modifying existing products to better serve our customers.</w:t>
      </w: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Amortization of purchased intangible assets and Restructuring costs,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center"/>
              <w:ind w:right="56"/>
              <w:spacing w:after="0"/>
              <w:rPr>
                <w:sz w:val="20"/>
                <w:szCs w:val="20"/>
                <w:color w:val="auto"/>
              </w:rPr>
            </w:pPr>
            <w:r>
              <w:rPr>
                <w:rFonts w:ascii="Arial" w:cs="Arial" w:eastAsia="Arial" w:hAnsi="Arial"/>
                <w:sz w:val="14"/>
                <w:szCs w:val="14"/>
                <w:b w:val="1"/>
                <w:bCs w:val="1"/>
                <w:color w:val="auto"/>
                <w:w w:val="92"/>
              </w:rPr>
              <w:t>Six Months Ended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1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4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660" w:type="dxa"/>
            <w:vAlign w:val="bottom"/>
          </w:tcPr>
          <w:p>
            <w:pPr>
              <w:jc w:val="right"/>
              <w:ind w:right="10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24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5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Amortization of purchased</w:t>
            </w: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w w:val="98"/>
              </w:rPr>
              <w:t>(dollars</w:t>
            </w:r>
          </w:p>
        </w:tc>
        <w:tc>
          <w:tcPr>
            <w:tcW w:w="240" w:type="dxa"/>
            <w:vAlign w:val="bottom"/>
          </w:tcPr>
          <w:p>
            <w:pPr>
              <w:jc w:val="right"/>
              <w:ind w:right="78"/>
              <w:spacing w:after="0"/>
              <w:rPr>
                <w:sz w:val="20"/>
                <w:szCs w:val="20"/>
                <w:color w:val="auto"/>
              </w:rPr>
            </w:pPr>
            <w:r>
              <w:rPr>
                <w:rFonts w:ascii="Arial" w:cs="Arial" w:eastAsia="Arial" w:hAnsi="Arial"/>
                <w:sz w:val="12"/>
                <w:szCs w:val="12"/>
                <w:b w:val="1"/>
                <w:bCs w:val="1"/>
                <w:color w:val="auto"/>
                <w:w w:val="74"/>
              </w:rPr>
              <w:t>in</w:t>
            </w:r>
          </w:p>
        </w:tc>
        <w:tc>
          <w:tcPr>
            <w:tcW w:w="700" w:type="dxa"/>
            <w:vAlign w:val="bottom"/>
            <w:tcBorders>
              <w:top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w w:val="72"/>
              </w:rPr>
              <w:t>millions)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  101.4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(37.6 )</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(27.1 )% $</w:t>
            </w:r>
          </w:p>
        </w:tc>
        <w:tc>
          <w:tcPr>
            <w:tcW w:w="540" w:type="dxa"/>
            <w:vAlign w:val="bottom"/>
          </w:tcPr>
          <w:p>
            <w:pPr>
              <w:jc w:val="right"/>
              <w:spacing w:after="0"/>
              <w:rPr>
                <w:sz w:val="20"/>
                <w:szCs w:val="20"/>
                <w:color w:val="auto"/>
              </w:rPr>
            </w:pPr>
            <w:r>
              <w:rPr>
                <w:rFonts w:ascii="Arial" w:cs="Arial" w:eastAsia="Arial" w:hAnsi="Arial"/>
                <w:sz w:val="18"/>
                <w:szCs w:val="18"/>
                <w:color w:val="auto"/>
              </w:rPr>
              <w:t>227.8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279.7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(51.9 )</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w w:val="85"/>
              </w:rPr>
              <w:t>(18.6 )%</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Restructuring costs, net</w:t>
            </w:r>
          </w:p>
        </w:tc>
        <w:tc>
          <w:tcPr>
            <w:tcW w:w="660" w:type="dxa"/>
            <w:vAlign w:val="bottom"/>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c>
          <w:tcPr>
            <w:tcW w:w="1240" w:type="dxa"/>
            <w:vAlign w:val="bottom"/>
            <w:gridSpan w:val="2"/>
          </w:tcPr>
          <w:p>
            <w:pPr>
              <w:jc w:val="right"/>
              <w:ind w:right="118"/>
              <w:spacing w:after="0"/>
              <w:rPr>
                <w:sz w:val="20"/>
                <w:szCs w:val="20"/>
                <w:color w:val="auto"/>
              </w:rPr>
            </w:pPr>
            <w:r>
              <w:rPr>
                <w:rFonts w:ascii="Arial" w:cs="Arial" w:eastAsia="Arial" w:hAnsi="Arial"/>
                <w:sz w:val="18"/>
                <w:szCs w:val="18"/>
                <w:color w:val="auto"/>
              </w:rPr>
              <w:t>(7.8 )</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(19.2 )</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6986270" cy="291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86270" cy="29146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2023, amortization of purchased intangible assets was lower compared to the prior year periods because certain of our intangible assets became fully amortized.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 net</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net restructuring costs recorded during the three and six months ended June 30, 2023 and 2022 were primarily related to CommScope NEXT. The net restructuring costs for the six months ended June 30, 2023 reflected a gain on the sale of property, primarily related to a gain of $20.2 million on the sale of an international manufacturing facility. We received proceeds of $38.4 million related to the sale. Excluding the impacts of the sale, for the three and six months ended June 30, 2023, our restructuring costs were $35.5 million and $51.6 million, respectively, and we paid $31.2 million and $50.2 million, respectively, to settle restructuring liabilities. We expect to pay an additional $45.1 million by the end of 2023 and $11.7 million in 2024 related to restructuring actions that have been initiated. Additional restructuring actions related to CommScope NEXT are expected to be identified, and the resulting charges and cash requirements could be material.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5"/>
        </w:trPr>
        <w:tc>
          <w:tcPr>
            <w:tcW w:w="2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28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5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r>
      <w:tr>
        <w:trPr>
          <w:trHeight w:val="169"/>
        </w:trPr>
        <w:tc>
          <w:tcPr>
            <w:tcW w:w="2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ind w:left="140"/>
              <w:spacing w:after="0"/>
              <w:rPr>
                <w:sz w:val="20"/>
                <w:szCs w:val="20"/>
                <w:color w:val="auto"/>
              </w:rPr>
            </w:pPr>
            <w:r>
              <w:rPr>
                <w:rFonts w:ascii="Arial" w:cs="Arial" w:eastAsia="Arial" w:hAnsi="Arial"/>
                <w:sz w:val="14"/>
                <w:szCs w:val="14"/>
                <w:b w:val="1"/>
                <w:bCs w:val="1"/>
                <w:color w:val="auto"/>
                <w:w w:val="79"/>
              </w:rPr>
              <w:t>in</w:t>
            </w:r>
          </w:p>
        </w:tc>
        <w:tc>
          <w:tcPr>
            <w:tcW w:w="700" w:type="dxa"/>
            <w:vAlign w:val="bottom"/>
            <w:tcBorders>
              <w:top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w w:val="97"/>
              </w:rPr>
              <w:t>millions)</w:t>
            </w: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Foreign currency gain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(0.9 )  $</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(2.6 )</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(152.9 )% $</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(2.3 )  $</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(253.3 )%</w:t>
            </w:r>
          </w:p>
        </w:tc>
      </w:tr>
      <w:tr>
        <w:trPr>
          <w:trHeight w:val="242"/>
        </w:trPr>
        <w:tc>
          <w:tcPr>
            <w:tcW w:w="2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1440" w:type="dxa"/>
            <w:vAlign w:val="bottom"/>
            <w:gridSpan w:val="3"/>
          </w:tcPr>
          <w:p>
            <w:pPr>
              <w:jc w:val="right"/>
              <w:ind w:right="368"/>
              <w:spacing w:after="0"/>
              <w:rPr>
                <w:sz w:val="20"/>
                <w:szCs w:val="20"/>
                <w:color w:val="auto"/>
              </w:rPr>
            </w:pPr>
            <w:r>
              <w:rPr>
                <w:rFonts w:ascii="Arial" w:cs="Arial" w:eastAsia="Arial" w:hAnsi="Arial"/>
                <w:sz w:val="18"/>
                <w:szCs w:val="18"/>
                <w:color w:val="auto"/>
              </w:rPr>
              <w:t>NM</w:t>
            </w: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-299720</wp:posOffset>
            </wp:positionV>
            <wp:extent cx="706374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63740" cy="154305"/>
                    </a:xfrm>
                    <a:prstGeom prst="rect">
                      <a:avLst/>
                    </a:prstGeom>
                    <a:noFill/>
                  </pic:spPr>
                </pic:pic>
              </a:graphicData>
            </a:graphic>
          </wp:anchor>
        </w:drawing>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Foreign currency gain (loss)</w:t>
      </w:r>
    </w:p>
    <w:p>
      <w:pPr>
        <w:spacing w:after="0" w:line="117"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and six months ended June 30, 2023 compared to the prior year periods was primarily driven by certain unhedged currencies.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change in other income (expense), net for the three and six months ended June 30, 2023 compared to the prior year periods was primarily driven by a gain of $2.9 million and $10.4 million, respectively, on the early extinguishment of debt related to our debt repurchases as further discussed in Note 5 in the Notes to Unaudited Condensed Consolidated Financial Statements included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Interest income and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20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58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58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25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w w:val="83"/>
              </w:rPr>
              <w:t>millions)</w:t>
            </w: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2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  (168.5 )  $</w:t>
            </w:r>
          </w:p>
        </w:tc>
        <w:tc>
          <w:tcPr>
            <w:tcW w:w="8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(140.1 )</w:t>
            </w:r>
          </w:p>
        </w:tc>
        <w:tc>
          <w:tcPr>
            <w:tcW w:w="10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   (28.4 )</w:t>
            </w:r>
          </w:p>
        </w:tc>
        <w:tc>
          <w:tcPr>
            <w:tcW w:w="1460" w:type="dxa"/>
            <w:vAlign w:val="bottom"/>
            <w:gridSpan w:val="3"/>
            <w:shd w:val="clear" w:color="auto" w:fill="CCECFF"/>
          </w:tcPr>
          <w:p>
            <w:pPr>
              <w:jc w:val="right"/>
              <w:ind w:right="8"/>
              <w:spacing w:after="0"/>
              <w:rPr>
                <w:sz w:val="20"/>
                <w:szCs w:val="20"/>
                <w:color w:val="auto"/>
              </w:rPr>
            </w:pPr>
            <w:r>
              <w:rPr>
                <w:rFonts w:ascii="Arial" w:cs="Arial" w:eastAsia="Arial" w:hAnsi="Arial"/>
                <w:sz w:val="18"/>
                <w:szCs w:val="18"/>
                <w:color w:val="auto"/>
              </w:rPr>
              <w:t>20.3 % $</w:t>
            </w:r>
          </w:p>
        </w:tc>
        <w:tc>
          <w:tcPr>
            <w:tcW w:w="1120" w:type="dxa"/>
            <w:vAlign w:val="bottom"/>
            <w:gridSpan w:val="3"/>
            <w:shd w:val="clear" w:color="auto" w:fill="CCECFF"/>
          </w:tcPr>
          <w:p>
            <w:pPr>
              <w:jc w:val="right"/>
              <w:ind w:right="80"/>
              <w:spacing w:after="0"/>
              <w:rPr>
                <w:sz w:val="20"/>
                <w:szCs w:val="20"/>
                <w:color w:val="auto"/>
              </w:rPr>
            </w:pPr>
            <w:r>
              <w:rPr>
                <w:rFonts w:ascii="Arial" w:cs="Arial" w:eastAsia="Arial" w:hAnsi="Arial"/>
                <w:sz w:val="18"/>
                <w:szCs w:val="18"/>
                <w:color w:val="auto"/>
              </w:rPr>
              <w:t>(333.6 )   $</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(276.6 )</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(57.0 )</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20.6 %</w:t>
            </w:r>
          </w:p>
        </w:tc>
        <w:tc>
          <w:tcPr>
            <w:tcW w:w="20" w:type="dxa"/>
            <w:vAlign w:val="bottom"/>
          </w:tcPr>
          <w:p>
            <w:pPr>
              <w:spacing w:after="0"/>
              <w:rPr>
                <w:sz w:val="21"/>
                <w:szCs w:val="21"/>
                <w:color w:val="auto"/>
              </w:rPr>
            </w:pPr>
          </w:p>
        </w:tc>
      </w:tr>
      <w:tr>
        <w:trPr>
          <w:trHeight w:val="237"/>
        </w:trPr>
        <w:tc>
          <w:tcPr>
            <w:tcW w:w="2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58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Income tax (expense) benefit</w:t>
            </w: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(8.4 )</w:t>
            </w:r>
          </w:p>
        </w:tc>
        <w:tc>
          <w:tcPr>
            <w:tcW w:w="20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(22.9 )</w:t>
            </w:r>
          </w:p>
        </w:tc>
        <w:tc>
          <w:tcPr>
            <w:tcW w:w="1280" w:type="dxa"/>
            <w:vAlign w:val="bottom"/>
            <w:gridSpan w:val="2"/>
            <w:shd w:val="clear" w:color="auto" w:fill="CCECFF"/>
          </w:tcPr>
          <w:p>
            <w:pPr>
              <w:jc w:val="right"/>
              <w:ind w:right="108"/>
              <w:spacing w:after="0"/>
              <w:rPr>
                <w:sz w:val="20"/>
                <w:szCs w:val="20"/>
                <w:color w:val="auto"/>
              </w:rPr>
            </w:pPr>
            <w:r>
              <w:rPr>
                <w:rFonts w:ascii="Arial" w:cs="Arial" w:eastAsia="Arial" w:hAnsi="Arial"/>
                <w:sz w:val="18"/>
                <w:szCs w:val="18"/>
                <w:color w:val="auto"/>
              </w:rPr>
              <w:t>(157.9 )</w:t>
            </w:r>
          </w:p>
        </w:tc>
        <w:tc>
          <w:tcPr>
            <w:tcW w:w="18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(0.6 )</w:t>
            </w:r>
          </w:p>
        </w:tc>
        <w:tc>
          <w:tcPr>
            <w:tcW w:w="18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(16.4 )</w:t>
            </w: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(96.3 )</w:t>
            </w:r>
          </w:p>
        </w:tc>
        <w:tc>
          <w:tcPr>
            <w:tcW w:w="20" w:type="dxa"/>
            <w:vAlign w:val="bottom"/>
          </w:tcPr>
          <w:p>
            <w:pPr>
              <w:spacing w:after="0"/>
              <w:rPr>
                <w:sz w:val="21"/>
                <w:szCs w:val="2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interest income</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increase in interest expense for the three and six months ended June 30, 2023 compared to the prior year periods was driven by the increased variable interest rate on our senior secured term loan due 2026 (2026 Term Loan) as a result of the Federal Reserve’s increases in interest rates beginning in 2022. Our interest expense will continue to increase if the Federal Reserve raises interest rates again during the remainder of 2023. Our weighted average effective interest rate on outstanding borrowings, including the impact of the interest rate swap contracts, which were settled in June of 2023, and the amortization of debt issuance costs and original issue discount, was 7.24% at June 30, 2023, 6.91% at December 31, 2022 and 6.11% at June 30,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three and six months ended June 30, 2023, we recognized income tax expense of $8.4 million on a pretax loss of $92.0 million and income tax expense of $0.6 million on a pretax loss of $96.4 million, respectively. Our tax expense was unfavorably impacted by U.S. anti-deferral provisions and noncreditable withholding taxes for the three and six months ended June 30, 2023. Excess tax costs of $5.4 million and $6.9 million related to equity compensation awards also impacted the tax expense unfavorably for the three and six months ended June 30, 2023, respectively. These unfavorable impacts were partially offset by the favorable impacts of federal income tax credits as well as $1.5 million and $9.8 million of tax benefits related to the release of various uncertain tax positions for the three and six months ended June 30, 2023, respectively.</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and six months ended June 30, 2022, we recognized income tax benefit of $14.5 million on a pretax loss of $75.5 million and $16.4 million of income tax expense on a pretax loss of $184.5 million, respectively. For the three and six months ended June 30, 2022, our change in income tax was driven by the unfavorable impacts of U.S. anti-deferral provisions and non-creditable withholding taxes. These unfavorable impacts were offset partially by decreases in prior year uncertain tax positions.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7"/>
          </w:tcPr>
          <w:p>
            <w:pPr>
              <w:jc w:val="center"/>
              <w:ind w:right="308"/>
              <w:spacing w:after="0"/>
              <w:rPr>
                <w:sz w:val="20"/>
                <w:szCs w:val="20"/>
                <w:color w:val="auto"/>
              </w:rPr>
            </w:pPr>
            <w:r>
              <w:rPr>
                <w:rFonts w:ascii="Arial" w:cs="Arial" w:eastAsia="Arial" w:hAnsi="Arial"/>
                <w:sz w:val="14"/>
                <w:szCs w:val="14"/>
                <w:b w:val="1"/>
                <w:bCs w:val="1"/>
                <w:color w:val="auto"/>
                <w:w w:val="95"/>
              </w:rPr>
              <w:t>Three Months Ended</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right"/>
              <w:ind w:right="73"/>
              <w:spacing w:after="0" w:line="133"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52"/>
              <w:spacing w:after="0" w:line="133"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in</w:t>
            </w:r>
          </w:p>
        </w:tc>
        <w:tc>
          <w:tcPr>
            <w:tcW w:w="860" w:type="dxa"/>
            <w:vAlign w:val="bottom"/>
            <w:tcBorders>
              <w:top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86"/>
              </w:rPr>
              <w:t>millions)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CCS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698.9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3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986.7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(287.8 )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(29.2 ) %</w:t>
            </w:r>
          </w:p>
        </w:tc>
        <w:tc>
          <w:tcPr>
            <w:tcW w:w="0" w:type="dxa"/>
            <w:vAlign w:val="bottom"/>
          </w:tcPr>
          <w:p>
            <w:pPr>
              <w:spacing w:after="0"/>
              <w:rPr>
                <w:sz w:val="1"/>
                <w:szCs w:val="1"/>
                <w:color w:val="auto"/>
              </w:rPr>
            </w:pPr>
          </w:p>
        </w:tc>
      </w:tr>
      <w:tr>
        <w:trPr>
          <w:trHeight w:val="249"/>
        </w:trPr>
        <w:tc>
          <w:tcPr>
            <w:tcW w:w="3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228.8</w:t>
            </w:r>
          </w:p>
        </w:tc>
        <w:tc>
          <w:tcPr>
            <w:tcW w:w="2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390.9</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(162.1 )</w:t>
            </w:r>
          </w:p>
        </w:tc>
        <w:tc>
          <w:tcPr>
            <w:tcW w:w="12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NICS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12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333.5</w:t>
            </w:r>
          </w:p>
        </w:tc>
        <w:tc>
          <w:tcPr>
            <w:tcW w:w="26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293.3</w:t>
            </w:r>
          </w:p>
        </w:tc>
        <w:tc>
          <w:tcPr>
            <w:tcW w:w="24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340"/>
              <w:spacing w:after="0" w:line="236"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1,588.8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1,876.3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(287.5 )</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43"/>
        </w:trPr>
        <w:tc>
          <w:tcPr>
            <w:tcW w:w="3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329.6</w:t>
            </w:r>
          </w:p>
        </w:tc>
        <w:tc>
          <w:tcPr>
            <w:tcW w:w="2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423.9</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(94.3 )</w:t>
            </w:r>
          </w:p>
        </w:tc>
        <w:tc>
          <w:tcPr>
            <w:tcW w:w="12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0"/>
        </w:trPr>
        <w:tc>
          <w:tcPr>
            <w:tcW w:w="36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7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840" w:type="dxa"/>
            <w:vAlign w:val="bottom"/>
            <w:shd w:val="clear" w:color="auto" w:fill="CCECFF"/>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1,918.4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3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2,300.2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(381.8 )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(16.6 )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Operating income (loss) by segment: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CCS</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jc w:val="center"/>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(82.8 )</w:t>
            </w: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(74.1 ) %</w:t>
            </w:r>
          </w:p>
        </w:tc>
        <w:tc>
          <w:tcPr>
            <w:tcW w:w="0" w:type="dxa"/>
            <w:vAlign w:val="bottom"/>
          </w:tcPr>
          <w:p>
            <w:pPr>
              <w:spacing w:after="0"/>
              <w:rPr>
                <w:sz w:val="1"/>
                <w:szCs w:val="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OWN</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(16.1 )</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49"/>
        </w:trPr>
        <w:tc>
          <w:tcPr>
            <w:tcW w:w="3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NICS</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44.7</w:t>
            </w:r>
          </w:p>
        </w:tc>
        <w:tc>
          <w:tcPr>
            <w:tcW w:w="2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88"/>
              <w:spacing w:after="0"/>
              <w:rPr>
                <w:sz w:val="20"/>
                <w:szCs w:val="20"/>
                <w:color w:val="auto"/>
              </w:rPr>
            </w:pPr>
            <w:r>
              <w:rPr>
                <w:rFonts w:ascii="Arial" w:cs="Arial" w:eastAsia="Arial" w:hAnsi="Arial"/>
                <w:sz w:val="18"/>
                <w:szCs w:val="18"/>
                <w:color w:val="auto"/>
              </w:rPr>
              <w:t>(43.7 )</w:t>
            </w:r>
          </w:p>
        </w:tc>
        <w:tc>
          <w:tcPr>
            <w:tcW w:w="1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(21.3 )</w:t>
            </w: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88.4</w:t>
            </w:r>
          </w:p>
        </w:tc>
        <w:tc>
          <w:tcPr>
            <w:tcW w:w="26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4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Arial" w:cs="Arial" w:eastAsia="Arial" w:hAnsi="Arial"/>
                <w:sz w:val="18"/>
                <w:szCs w:val="18"/>
                <w:color w:val="auto"/>
              </w:rPr>
              <w:t>ANS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(25.7 )</w:t>
            </w: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(8.8 )</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21"/>
                <w:szCs w:val="21"/>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680" w:type="dxa"/>
            <w:vAlign w:val="bottom"/>
            <w:shd w:val="clear" w:color="auto" w:fill="CCECFF"/>
          </w:tcPr>
          <w:p>
            <w:pPr>
              <w:ind w:left="340"/>
              <w:spacing w:after="0" w:line="236"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20" w:type="dxa"/>
            <w:vAlign w:val="bottom"/>
            <w:tcBorders>
              <w:top w:val="single" w:sz="8" w:color="auto"/>
            </w:tcBorders>
            <w:shd w:val="clear" w:color="auto" w:fill="CCECFF"/>
          </w:tcPr>
          <w:p>
            <w:pPr>
              <w:spacing w:after="0"/>
              <w:rPr>
                <w:sz w:val="20"/>
                <w:szCs w:val="20"/>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110.0</w:t>
            </w:r>
          </w:p>
        </w:tc>
        <w:tc>
          <w:tcPr>
            <w:tcW w:w="26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spacing w:after="0"/>
              <w:rPr>
                <w:sz w:val="20"/>
                <w:szCs w:val="20"/>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Arial" w:cs="Arial" w:eastAsia="Arial" w:hAnsi="Arial"/>
                <w:sz w:val="18"/>
                <w:szCs w:val="18"/>
                <w:color w:val="auto"/>
              </w:rPr>
              <w:t>Home</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(37.8 )</w:t>
            </w:r>
          </w:p>
        </w:tc>
        <w:tc>
          <w:tcPr>
            <w:tcW w:w="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(11.5 )</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(22.7 )</w:t>
            </w: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(5.4 )</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(15.1 )</w:t>
            </w: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6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operating income</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Borders>
              <w:bottom w:val="single" w:sz="8" w:color="CCECFF"/>
            </w:tcBorders>
            <w:shd w:val="clear" w:color="auto" w:fill="CCECFF"/>
          </w:tcPr>
          <w:p>
            <w:pPr>
              <w:spacing w:after="0"/>
              <w:rPr>
                <w:sz w:val="24"/>
                <w:szCs w:val="24"/>
                <w:color w:val="auto"/>
              </w:rPr>
            </w:pPr>
          </w:p>
        </w:tc>
        <w:tc>
          <w:tcPr>
            <w:tcW w:w="80" w:type="dxa"/>
            <w:vAlign w:val="bottom"/>
            <w:tcBorders>
              <w:bottom w:val="single" w:sz="8" w:color="CCECFF"/>
            </w:tcBorders>
            <w:shd w:val="clear" w:color="auto" w:fill="CCECFF"/>
          </w:tcPr>
          <w:p>
            <w:pPr>
              <w:spacing w:after="0"/>
              <w:rPr>
                <w:sz w:val="24"/>
                <w:szCs w:val="24"/>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CCECFF"/>
            </w:tcBorders>
            <w:shd w:val="clear" w:color="auto" w:fill="CCECFF"/>
          </w:tcPr>
          <w:p>
            <w:pPr>
              <w:jc w:val="center"/>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CCECFF"/>
            </w:tcBorders>
            <w:shd w:val="clear" w:color="auto" w:fill="CCECFF"/>
          </w:tcPr>
          <w:p>
            <w:pPr>
              <w:spacing w:after="0"/>
              <w:rPr>
                <w:sz w:val="24"/>
                <w:szCs w:val="24"/>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CCECFF"/>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CCECFF"/>
            </w:tcBorders>
            <w:shd w:val="clear" w:color="auto" w:fill="CCECFF"/>
          </w:tcPr>
          <w:p>
            <w:pPr>
              <w:spacing w:after="0"/>
              <w:rPr>
                <w:sz w:val="24"/>
                <w:szCs w:val="24"/>
                <w:color w:val="auto"/>
              </w:rPr>
            </w:pPr>
          </w:p>
        </w:tc>
        <w:tc>
          <w:tcPr>
            <w:tcW w:w="126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Adjusted EBITDA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CCS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3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(89.4 )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(52.9 ) %</w:t>
            </w:r>
          </w:p>
        </w:tc>
        <w:tc>
          <w:tcPr>
            <w:tcW w:w="0" w:type="dxa"/>
            <w:vAlign w:val="bottom"/>
          </w:tcPr>
          <w:p>
            <w:pPr>
              <w:spacing w:after="0"/>
              <w:rPr>
                <w:sz w:val="1"/>
                <w:szCs w:val="1"/>
                <w:color w:val="auto"/>
              </w:rPr>
            </w:pPr>
          </w:p>
        </w:tc>
      </w:tr>
      <w:tr>
        <w:trPr>
          <w:trHeight w:val="249"/>
        </w:trPr>
        <w:tc>
          <w:tcPr>
            <w:tcW w:w="3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(33.6 )</w:t>
            </w:r>
          </w:p>
        </w:tc>
        <w:tc>
          <w:tcPr>
            <w:tcW w:w="12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NICS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(7.4 )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90.2</w:t>
            </w:r>
          </w:p>
        </w:tc>
        <w:tc>
          <w:tcPr>
            <w:tcW w:w="2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9"/>
        </w:trPr>
        <w:tc>
          <w:tcPr>
            <w:tcW w:w="36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12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340"/>
              <w:spacing w:after="0" w:line="236"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(24.3 )</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43"/>
        </w:trPr>
        <w:tc>
          <w:tcPr>
            <w:tcW w:w="3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12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(3.0 )</w:t>
            </w:r>
          </w:p>
        </w:tc>
        <w:tc>
          <w:tcPr>
            <w:tcW w:w="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(0.9 )</w:t>
            </w: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(15.8 )</w:t>
            </w:r>
          </w:p>
        </w:tc>
        <w:tc>
          <w:tcPr>
            <w:tcW w:w="12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(123.4 )</w:t>
            </w:r>
          </w:p>
        </w:tc>
        <w:tc>
          <w:tcPr>
            <w:tcW w:w="0" w:type="dxa"/>
            <w:vAlign w:val="bottom"/>
          </w:tcPr>
          <w:p>
            <w:pPr>
              <w:spacing w:after="0"/>
              <w:rPr>
                <w:sz w:val="1"/>
                <w:szCs w:val="1"/>
                <w:color w:val="auto"/>
              </w:rPr>
            </w:pPr>
          </w:p>
        </w:tc>
      </w:tr>
      <w:tr>
        <w:trPr>
          <w:trHeight w:val="20"/>
        </w:trPr>
        <w:tc>
          <w:tcPr>
            <w:tcW w:w="36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7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840" w:type="dxa"/>
            <w:vAlign w:val="bottom"/>
            <w:shd w:val="clear" w:color="auto" w:fill="CCECFF"/>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80" w:type="dxa"/>
            <w:vAlign w:val="bottom"/>
          </w:tcPr>
          <w:p>
            <w:pPr>
              <w:ind w:left="20"/>
              <w:spacing w:after="0" w:line="187" w:lineRule="exact"/>
              <w:rPr>
                <w:sz w:val="20"/>
                <w:szCs w:val="20"/>
                <w:color w:val="auto"/>
              </w:rPr>
            </w:pPr>
            <w:r>
              <w:rPr>
                <w:rFonts w:ascii="Arial" w:cs="Arial" w:eastAsia="Arial" w:hAnsi="Arial"/>
                <w:sz w:val="18"/>
                <w:szCs w:val="18"/>
                <w:color w:val="auto"/>
              </w:rPr>
              <w:t>Non-GAAP consolidated adjusted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259.5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299.6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(40.1 )</w:t>
            </w: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line="22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4"/>
                <w:szCs w:val="24"/>
                <w:color w:val="auto"/>
                <w:vertAlign w:val="superscript"/>
              </w:rPr>
              <w:t>(2)</w:t>
            </w:r>
          </w:p>
        </w:tc>
        <w:tc>
          <w:tcPr>
            <w:tcW w:w="1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3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(13.4 )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-3479800</wp:posOffset>
            </wp:positionV>
            <wp:extent cx="7747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-3479800</wp:posOffset>
            </wp:positionV>
            <wp:extent cx="76835"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-3479800</wp:posOffset>
            </wp:positionV>
            <wp:extent cx="7747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-3162935</wp:posOffset>
            </wp:positionV>
            <wp:extent cx="7747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-3162935</wp:posOffset>
            </wp:positionV>
            <wp:extent cx="7683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-3162935</wp:posOffset>
            </wp:positionV>
            <wp:extent cx="7747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-1568450</wp:posOffset>
            </wp:positionV>
            <wp:extent cx="312039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20390" cy="18034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-616585</wp:posOffset>
            </wp:positionV>
            <wp:extent cx="7747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-616585</wp:posOffset>
            </wp:positionV>
            <wp:extent cx="76835"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-616585</wp:posOffset>
            </wp:positionV>
            <wp:extent cx="7747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-299720</wp:posOffset>
            </wp:positionV>
            <wp:extent cx="77470" cy="6083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60833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-299720</wp:posOffset>
            </wp:positionV>
            <wp:extent cx="76835" cy="6083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60833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77470" cy="6083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608330"/>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553" w:right="7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7"/>
          </w:tcPr>
          <w:p>
            <w:pPr>
              <w:ind w:left="46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72"/>
              <w:spacing w:after="0" w:line="13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tcPr>
          <w:p>
            <w:pPr>
              <w:jc w:val="right"/>
              <w:ind w:right="312"/>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Sales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6"/>
              </w:rPr>
              <w:t>in</w:t>
            </w:r>
          </w:p>
        </w:tc>
        <w:tc>
          <w:tcPr>
            <w:tcW w:w="880" w:type="dxa"/>
            <w:vAlign w:val="bottom"/>
            <w:tcBorders>
              <w:top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w w:val="83"/>
              </w:rPr>
              <w:t>millions)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 by segment:</w:t>
            </w: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0"/>
              <w:spacing w:after="0"/>
              <w:rPr>
                <w:sz w:val="20"/>
                <w:szCs w:val="20"/>
                <w:color w:val="auto"/>
              </w:rPr>
            </w:pPr>
            <w:r>
              <w:rPr>
                <w:rFonts w:ascii="Arial" w:cs="Arial" w:eastAsia="Arial" w:hAnsi="Arial"/>
                <w:sz w:val="18"/>
                <w:szCs w:val="18"/>
                <w:color w:val="auto"/>
              </w:rPr>
              <w:t>CCS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3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1,824.7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(303.0 )</w:t>
            </w:r>
          </w:p>
        </w:tc>
        <w:tc>
          <w:tcPr>
            <w:tcW w:w="1300" w:type="dxa"/>
            <w:vAlign w:val="bottom"/>
            <w:gridSpan w:val="3"/>
          </w:tcPr>
          <w:p>
            <w:pPr>
              <w:jc w:val="right"/>
              <w:ind w:right="30"/>
              <w:spacing w:after="0"/>
              <w:rPr>
                <w:sz w:val="20"/>
                <w:szCs w:val="20"/>
                <w:color w:val="auto"/>
              </w:rPr>
            </w:pPr>
            <w:r>
              <w:rPr>
                <w:rFonts w:ascii="Arial" w:cs="Arial" w:eastAsia="Arial" w:hAnsi="Arial"/>
                <w:sz w:val="18"/>
                <w:szCs w:val="18"/>
                <w:color w:val="auto"/>
              </w:rPr>
              <w:t>(16.6 ) %</w:t>
            </w:r>
          </w:p>
        </w:tc>
        <w:tc>
          <w:tcPr>
            <w:tcW w:w="0" w:type="dxa"/>
            <w:vAlign w:val="bottom"/>
          </w:tcPr>
          <w:p>
            <w:pPr>
              <w:spacing w:after="0"/>
              <w:rPr>
                <w:sz w:val="1"/>
                <w:szCs w:val="1"/>
                <w:color w:val="auto"/>
              </w:rPr>
            </w:pPr>
          </w:p>
        </w:tc>
      </w:tr>
      <w:tr>
        <w:trPr>
          <w:trHeight w:val="249"/>
        </w:trPr>
        <w:tc>
          <w:tcPr>
            <w:tcW w:w="3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487.2</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781.0</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(293.8 )</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(37.6 )</w:t>
            </w: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0"/>
              <w:spacing w:after="0"/>
              <w:rPr>
                <w:sz w:val="20"/>
                <w:szCs w:val="20"/>
                <w:color w:val="auto"/>
              </w:rPr>
            </w:pPr>
            <w:r>
              <w:rPr>
                <w:rFonts w:ascii="Arial" w:cs="Arial" w:eastAsia="Arial" w:hAnsi="Arial"/>
                <w:sz w:val="18"/>
                <w:szCs w:val="18"/>
                <w:color w:val="auto"/>
              </w:rPr>
              <w:t>NICS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14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632.2</w:t>
            </w:r>
          </w:p>
        </w:tc>
        <w:tc>
          <w:tcPr>
            <w:tcW w:w="2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610.1</w:t>
            </w:r>
          </w:p>
        </w:tc>
        <w:tc>
          <w:tcPr>
            <w:tcW w:w="28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340"/>
              <w:spacing w:after="0" w:line="236"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3,609.2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(356.0 )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(9.9 )</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666.7</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919.6</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(252.9 )</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(27.5 )</w:t>
            </w: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8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3,919.9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3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4,528.8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(608.9 )</w:t>
            </w:r>
          </w:p>
        </w:tc>
        <w:tc>
          <w:tcPr>
            <w:tcW w:w="1300" w:type="dxa"/>
            <w:vAlign w:val="bottom"/>
            <w:gridSpan w:val="3"/>
          </w:tcPr>
          <w:p>
            <w:pPr>
              <w:jc w:val="right"/>
              <w:ind w:right="30"/>
              <w:spacing w:after="0"/>
              <w:rPr>
                <w:sz w:val="20"/>
                <w:szCs w:val="20"/>
                <w:color w:val="auto"/>
              </w:rPr>
            </w:pPr>
            <w:r>
              <w:rPr>
                <w:rFonts w:ascii="Arial" w:cs="Arial" w:eastAsia="Arial" w:hAnsi="Arial"/>
                <w:sz w:val="18"/>
                <w:szCs w:val="18"/>
                <w:color w:val="auto"/>
              </w:rPr>
              <w:t>(13.4 )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7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color w:val="auto"/>
              </w:rPr>
              <w:t>Operating income (loss) by segment:</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CCS</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152.9</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149.0</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200"/>
              <w:spacing w:after="0"/>
              <w:rPr>
                <w:sz w:val="20"/>
                <w:szCs w:val="20"/>
                <w:color w:val="auto"/>
              </w:rPr>
            </w:pPr>
            <w:r>
              <w:rPr>
                <w:rFonts w:ascii="Arial" w:cs="Arial" w:eastAsia="Arial" w:hAnsi="Arial"/>
                <w:sz w:val="18"/>
                <w:szCs w:val="18"/>
                <w:color w:val="auto"/>
              </w:rPr>
              <w:t>OWN</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(19.8 )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(20.5 )</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NICS</w:t>
            </w: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28"/>
              <w:spacing w:after="0"/>
              <w:rPr>
                <w:sz w:val="20"/>
                <w:szCs w:val="20"/>
                <w:color w:val="auto"/>
              </w:rPr>
            </w:pPr>
            <w:r>
              <w:rPr>
                <w:rFonts w:ascii="Arial" w:cs="Arial" w:eastAsia="Arial" w:hAnsi="Arial"/>
                <w:sz w:val="18"/>
                <w:szCs w:val="18"/>
                <w:color w:val="auto"/>
              </w:rPr>
              <w:t>(86.7 )</w:t>
            </w:r>
          </w:p>
        </w:tc>
        <w:tc>
          <w:tcPr>
            <w:tcW w:w="1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(22.0 )</w:t>
            </w: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166.3</w:t>
            </w:r>
          </w:p>
        </w:tc>
        <w:tc>
          <w:tcPr>
            <w:tcW w:w="26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0"/>
              <w:spacing w:after="0"/>
              <w:rPr>
                <w:sz w:val="20"/>
                <w:szCs w:val="20"/>
                <w:color w:val="auto"/>
              </w:rPr>
            </w:pPr>
            <w:r>
              <w:rPr>
                <w:rFonts w:ascii="Arial" w:cs="Arial" w:eastAsia="Arial" w:hAnsi="Arial"/>
                <w:sz w:val="18"/>
                <w:szCs w:val="18"/>
                <w:color w:val="auto"/>
              </w:rPr>
              <w:t>ANS</w:t>
            </w: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8"/>
                <w:szCs w:val="18"/>
                <w:color w:val="auto"/>
              </w:rPr>
              <w:t>(32.3 )</w:t>
            </w:r>
          </w:p>
        </w:tc>
        <w:tc>
          <w:tcPr>
            <w:tcW w:w="1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(5.3 )</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(60.1 )</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CFF"/>
          </w:tcPr>
          <w:p>
            <w:pPr>
              <w:ind w:left="340"/>
              <w:spacing w:after="0" w:line="236" w:lineRule="exact"/>
              <w:rPr>
                <w:sz w:val="20"/>
                <w:szCs w:val="20"/>
                <w:color w:val="auto"/>
              </w:rPr>
            </w:pPr>
            <w:r>
              <w:rPr>
                <w:rFonts w:ascii="Arial" w:cs="Arial" w:eastAsia="Arial" w:hAnsi="Arial"/>
                <w:sz w:val="18"/>
                <w:szCs w:val="18"/>
                <w:color w:val="auto"/>
              </w:rPr>
              <w:t xml:space="preserve">Core operating income (loss) </w:t>
            </w:r>
            <w:r>
              <w:rPr>
                <w:rFonts w:ascii="Arial" w:cs="Arial" w:eastAsia="Arial" w:hAnsi="Arial"/>
                <w:sz w:val="24"/>
                <w:szCs w:val="24"/>
                <w:color w:val="auto"/>
                <w:vertAlign w:val="superscript"/>
              </w:rPr>
              <w:t>(1)</w:t>
            </w:r>
          </w:p>
        </w:tc>
        <w:tc>
          <w:tcPr>
            <w:tcW w:w="140" w:type="dxa"/>
            <w:vAlign w:val="bottom"/>
            <w:tcBorders>
              <w:top w:val="single" w:sz="8" w:color="auto"/>
            </w:tcBorders>
            <w:shd w:val="clear" w:color="auto" w:fill="CCECFF"/>
          </w:tcPr>
          <w:p>
            <w:pPr>
              <w:spacing w:after="0"/>
              <w:rPr>
                <w:sz w:val="20"/>
                <w:szCs w:val="20"/>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296.2</w:t>
            </w:r>
          </w:p>
        </w:tc>
        <w:tc>
          <w:tcPr>
            <w:tcW w:w="2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spacing w:after="0"/>
              <w:rPr>
                <w:sz w:val="20"/>
                <w:szCs w:val="20"/>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126.4</w:t>
            </w:r>
          </w:p>
        </w:tc>
        <w:tc>
          <w:tcPr>
            <w:tcW w:w="2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169.8</w:t>
            </w:r>
          </w:p>
        </w:tc>
        <w:tc>
          <w:tcPr>
            <w:tcW w:w="260" w:type="dxa"/>
            <w:vAlign w:val="bottom"/>
            <w:shd w:val="clear" w:color="auto" w:fill="CCECFF"/>
          </w:tcPr>
          <w:p>
            <w:pPr>
              <w:spacing w:after="0"/>
              <w:rPr>
                <w:sz w:val="20"/>
                <w:szCs w:val="20"/>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0"/>
              <w:spacing w:after="0"/>
              <w:rPr>
                <w:sz w:val="20"/>
                <w:szCs w:val="20"/>
                <w:color w:val="auto"/>
              </w:rPr>
            </w:pPr>
            <w:r>
              <w:rPr>
                <w:rFonts w:ascii="Arial" w:cs="Arial" w:eastAsia="Arial" w:hAnsi="Arial"/>
                <w:sz w:val="18"/>
                <w:szCs w:val="18"/>
                <w:color w:val="auto"/>
              </w:rPr>
              <w:t>Home</w:t>
            </w:r>
          </w:p>
        </w:tc>
        <w:tc>
          <w:tcPr>
            <w:tcW w:w="1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(71.5 )</w:t>
            </w:r>
          </w:p>
        </w:tc>
        <w:tc>
          <w:tcPr>
            <w:tcW w:w="1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(10.7 )</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8"/>
                <w:szCs w:val="18"/>
                <w:color w:val="auto"/>
              </w:rPr>
              <w:t>(36.5 )</w:t>
            </w:r>
          </w:p>
        </w:tc>
        <w:tc>
          <w:tcPr>
            <w:tcW w:w="1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(35.0 )</w:t>
            </w: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operating income</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224.7</w:t>
            </w:r>
          </w:p>
        </w:tc>
        <w:tc>
          <w:tcPr>
            <w:tcW w:w="26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CCECFF"/>
            </w:tcBorders>
            <w:shd w:val="clear" w:color="auto" w:fill="CCECFF"/>
          </w:tcPr>
          <w:p>
            <w:pPr>
              <w:spacing w:after="0"/>
              <w:rPr>
                <w:sz w:val="24"/>
                <w:szCs w:val="24"/>
                <w:color w:val="auto"/>
              </w:rPr>
            </w:pP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CCECFF"/>
            </w:tcBorders>
            <w:shd w:val="clear" w:color="auto" w:fill="CCECFF"/>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CCECFF"/>
            </w:tcBorders>
            <w:shd w:val="clear" w:color="auto" w:fill="CCECFF"/>
          </w:tcPr>
          <w:p>
            <w:pPr>
              <w:spacing w:after="0"/>
              <w:rPr>
                <w:sz w:val="24"/>
                <w:szCs w:val="24"/>
                <w:color w:val="auto"/>
              </w:rPr>
            </w:pPr>
          </w:p>
        </w:tc>
        <w:tc>
          <w:tcPr>
            <w:tcW w:w="7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CCECFF"/>
            </w:tcBorders>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134.8</w:t>
            </w:r>
          </w:p>
        </w:tc>
        <w:tc>
          <w:tcPr>
            <w:tcW w:w="260" w:type="dxa"/>
            <w:vAlign w:val="bottom"/>
            <w:tcBorders>
              <w:bottom w:val="single" w:sz="8" w:color="CCECFF"/>
            </w:tcBorders>
            <w:shd w:val="clear" w:color="auto" w:fill="CCECFF"/>
          </w:tcPr>
          <w:p>
            <w:pPr>
              <w:spacing w:after="0"/>
              <w:rPr>
                <w:sz w:val="24"/>
                <w:szCs w:val="24"/>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Adjusted EBITDA by segment:</w:t>
            </w: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0"/>
              <w:spacing w:after="0"/>
              <w:rPr>
                <w:sz w:val="20"/>
                <w:szCs w:val="20"/>
                <w:color w:val="auto"/>
              </w:rPr>
            </w:pPr>
            <w:r>
              <w:rPr>
                <w:rFonts w:ascii="Arial" w:cs="Arial" w:eastAsia="Arial" w:hAnsi="Arial"/>
                <w:sz w:val="18"/>
                <w:szCs w:val="18"/>
                <w:color w:val="auto"/>
              </w:rPr>
              <w:t>CCS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227.2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3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(40.3 )</w:t>
            </w:r>
          </w:p>
        </w:tc>
        <w:tc>
          <w:tcPr>
            <w:tcW w:w="1300" w:type="dxa"/>
            <w:vAlign w:val="bottom"/>
            <w:gridSpan w:val="3"/>
          </w:tcPr>
          <w:p>
            <w:pPr>
              <w:jc w:val="right"/>
              <w:ind w:right="30"/>
              <w:spacing w:after="0"/>
              <w:rPr>
                <w:sz w:val="20"/>
                <w:szCs w:val="20"/>
                <w:color w:val="auto"/>
              </w:rPr>
            </w:pPr>
            <w:r>
              <w:rPr>
                <w:rFonts w:ascii="Arial" w:cs="Arial" w:eastAsia="Arial" w:hAnsi="Arial"/>
                <w:sz w:val="18"/>
                <w:szCs w:val="18"/>
                <w:color w:val="auto"/>
              </w:rPr>
              <w:t>(15.1 ) %</w:t>
            </w:r>
          </w:p>
        </w:tc>
        <w:tc>
          <w:tcPr>
            <w:tcW w:w="0" w:type="dxa"/>
            <w:vAlign w:val="bottom"/>
          </w:tcPr>
          <w:p>
            <w:pPr>
              <w:spacing w:after="0"/>
              <w:rPr>
                <w:sz w:val="1"/>
                <w:szCs w:val="1"/>
                <w:color w:val="auto"/>
              </w:rPr>
            </w:pPr>
          </w:p>
        </w:tc>
      </w:tr>
      <w:tr>
        <w:trPr>
          <w:trHeight w:val="249"/>
        </w:trPr>
        <w:tc>
          <w:tcPr>
            <w:tcW w:w="3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146.3</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(45.0 )</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(30.8 )</w:t>
            </w: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0"/>
              <w:spacing w:after="0"/>
              <w:rPr>
                <w:sz w:val="20"/>
                <w:szCs w:val="20"/>
                <w:color w:val="auto"/>
              </w:rPr>
            </w:pPr>
            <w:r>
              <w:rPr>
                <w:rFonts w:ascii="Arial" w:cs="Arial" w:eastAsia="Arial" w:hAnsi="Arial"/>
                <w:sz w:val="18"/>
                <w:szCs w:val="18"/>
                <w:color w:val="auto"/>
              </w:rPr>
              <w:t>NICS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8"/>
                <w:szCs w:val="18"/>
                <w:color w:val="auto"/>
              </w:rPr>
              <w:t>(29.1 )</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(7.4 )</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162.0</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116.4</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132.1</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(15.7 )</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(11.9 )</w:t>
            </w: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Borders>
              <w:top w:val="single" w:sz="8" w:color="CCECFF"/>
            </w:tcBorders>
          </w:tcPr>
          <w:p>
            <w:pPr>
              <w:ind w:left="340"/>
              <w:spacing w:after="0" w:line="236"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26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78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CECFF"/>
            </w:tcBorders>
          </w:tcPr>
          <w:p>
            <w:pPr>
              <w:spacing w:after="0"/>
              <w:rPr>
                <w:sz w:val="20"/>
                <w:szCs w:val="20"/>
                <w:color w:val="auto"/>
              </w:rPr>
            </w:pPr>
          </w:p>
        </w:tc>
        <w:tc>
          <w:tcPr>
            <w:tcW w:w="380" w:type="dxa"/>
            <w:vAlign w:val="bottom"/>
            <w:tcBorders>
              <w:top w:val="single" w:sz="8" w:color="CCEC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280" w:type="dxa"/>
            <w:vAlign w:val="bottom"/>
            <w:tcBorders>
              <w:top w:val="single" w:sz="8" w:color="CCECFF"/>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78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CFF"/>
            </w:tcBorders>
          </w:tcPr>
          <w:p>
            <w:pPr>
              <w:spacing w:after="0"/>
              <w:rPr>
                <w:sz w:val="20"/>
                <w:szCs w:val="20"/>
                <w:color w:val="auto"/>
              </w:rPr>
            </w:pPr>
          </w:p>
        </w:tc>
        <w:tc>
          <w:tcPr>
            <w:tcW w:w="380" w:type="dxa"/>
            <w:vAlign w:val="bottom"/>
            <w:tcBorders>
              <w:top w:val="single" w:sz="8" w:color="CCEC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Borders>
              <w:top w:val="single" w:sz="8" w:color="CCECFF"/>
            </w:tcBorders>
          </w:tcPr>
          <w:p>
            <w:pPr>
              <w:spacing w:after="0"/>
              <w:rPr>
                <w:sz w:val="20"/>
                <w:szCs w:val="20"/>
                <w:color w:val="auto"/>
              </w:rPr>
            </w:pPr>
          </w:p>
        </w:tc>
        <w:tc>
          <w:tcPr>
            <w:tcW w:w="88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CFF"/>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14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(0.9 )</w:t>
            </w: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(42.4 )</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(117.5 )</w:t>
            </w:r>
          </w:p>
        </w:tc>
        <w:tc>
          <w:tcPr>
            <w:tcW w:w="32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840" w:type="dxa"/>
            <w:vAlign w:val="bottom"/>
            <w:tcBorders>
              <w:top w:val="single" w:sz="8" w:color="CCECFF"/>
            </w:tcBorders>
          </w:tcPr>
          <w:p>
            <w:pPr>
              <w:ind w:left="20"/>
              <w:spacing w:after="0" w:line="187" w:lineRule="exact"/>
              <w:rPr>
                <w:sz w:val="20"/>
                <w:szCs w:val="20"/>
                <w:color w:val="auto"/>
              </w:rPr>
            </w:pPr>
            <w:r>
              <w:rPr>
                <w:rFonts w:ascii="Arial" w:cs="Arial" w:eastAsia="Arial" w:hAnsi="Arial"/>
                <w:sz w:val="18"/>
                <w:szCs w:val="18"/>
                <w:color w:val="auto"/>
              </w:rPr>
              <w:t>Non-GAAP consolidated adjusted</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571.5</w:t>
            </w:r>
          </w:p>
        </w:tc>
        <w:tc>
          <w:tcPr>
            <w:tcW w:w="260" w:type="dxa"/>
            <w:vAlign w:val="bottom"/>
            <w:tcBorders>
              <w:top w:val="single" w:sz="8" w:color="CCECFF"/>
            </w:tcBorders>
          </w:tcPr>
          <w:p>
            <w:pPr>
              <w:spacing w:after="0"/>
              <w:rPr>
                <w:sz w:val="16"/>
                <w:szCs w:val="16"/>
                <w:color w:val="auto"/>
              </w:rPr>
            </w:pPr>
          </w:p>
        </w:tc>
        <w:tc>
          <w:tcPr>
            <w:tcW w:w="100" w:type="dxa"/>
            <w:vAlign w:val="bottom"/>
            <w:tcBorders>
              <w:top w:val="single" w:sz="8" w:color="CCECFF"/>
            </w:tcBorders>
          </w:tcPr>
          <w:p>
            <w:pPr>
              <w:spacing w:after="0"/>
              <w:rPr>
                <w:sz w:val="16"/>
                <w:szCs w:val="16"/>
                <w:color w:val="auto"/>
              </w:rPr>
            </w:pPr>
          </w:p>
        </w:tc>
        <w:tc>
          <w:tcPr>
            <w:tcW w:w="780" w:type="dxa"/>
            <w:vAlign w:val="bottom"/>
            <w:tcBorders>
              <w:top w:val="single" w:sz="8" w:color="CCECFF"/>
            </w:tcBorders>
          </w:tcPr>
          <w:p>
            <w:pPr>
              <w:spacing w:after="0"/>
              <w:rPr>
                <w:sz w:val="16"/>
                <w:szCs w:val="16"/>
                <w:color w:val="auto"/>
              </w:rPr>
            </w:pPr>
          </w:p>
        </w:tc>
        <w:tc>
          <w:tcPr>
            <w:tcW w:w="120" w:type="dxa"/>
            <w:vAlign w:val="bottom"/>
            <w:tcBorders>
              <w:top w:val="single" w:sz="8" w:color="CCECFF"/>
            </w:tcBorders>
          </w:tcPr>
          <w:p>
            <w:pPr>
              <w:spacing w:after="0"/>
              <w:rPr>
                <w:sz w:val="16"/>
                <w:szCs w:val="16"/>
                <w:color w:val="auto"/>
              </w:rPr>
            </w:pPr>
          </w:p>
        </w:tc>
        <w:tc>
          <w:tcPr>
            <w:tcW w:w="380" w:type="dxa"/>
            <w:vAlign w:val="bottom"/>
            <w:tcBorders>
              <w:top w:val="single" w:sz="8" w:color="CCECFF"/>
            </w:tcBorders>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552.9</w:t>
            </w:r>
          </w:p>
        </w:tc>
        <w:tc>
          <w:tcPr>
            <w:tcW w:w="280" w:type="dxa"/>
            <w:vAlign w:val="bottom"/>
            <w:tcBorders>
              <w:top w:val="single" w:sz="8" w:color="CCECFF"/>
            </w:tcBorders>
          </w:tcPr>
          <w:p>
            <w:pPr>
              <w:spacing w:after="0"/>
              <w:rPr>
                <w:sz w:val="16"/>
                <w:szCs w:val="16"/>
                <w:color w:val="auto"/>
              </w:rPr>
            </w:pPr>
          </w:p>
        </w:tc>
        <w:tc>
          <w:tcPr>
            <w:tcW w:w="100" w:type="dxa"/>
            <w:vAlign w:val="bottom"/>
            <w:tcBorders>
              <w:top w:val="single" w:sz="8" w:color="CCECFF"/>
            </w:tcBorders>
          </w:tcPr>
          <w:p>
            <w:pPr>
              <w:spacing w:after="0"/>
              <w:rPr>
                <w:sz w:val="16"/>
                <w:szCs w:val="16"/>
                <w:color w:val="auto"/>
              </w:rPr>
            </w:pPr>
          </w:p>
        </w:tc>
        <w:tc>
          <w:tcPr>
            <w:tcW w:w="780" w:type="dxa"/>
            <w:vAlign w:val="bottom"/>
            <w:tcBorders>
              <w:top w:val="single" w:sz="8" w:color="CCECFF"/>
            </w:tcBorders>
          </w:tcPr>
          <w:p>
            <w:pPr>
              <w:spacing w:after="0"/>
              <w:rPr>
                <w:sz w:val="16"/>
                <w:szCs w:val="16"/>
                <w:color w:val="auto"/>
              </w:rPr>
            </w:pPr>
          </w:p>
        </w:tc>
        <w:tc>
          <w:tcPr>
            <w:tcW w:w="100" w:type="dxa"/>
            <w:vAlign w:val="bottom"/>
            <w:tcBorders>
              <w:top w:val="single" w:sz="8" w:color="CCECFF"/>
            </w:tcBorders>
          </w:tcPr>
          <w:p>
            <w:pPr>
              <w:spacing w:after="0"/>
              <w:rPr>
                <w:sz w:val="16"/>
                <w:szCs w:val="16"/>
                <w:color w:val="auto"/>
              </w:rPr>
            </w:pPr>
          </w:p>
        </w:tc>
        <w:tc>
          <w:tcPr>
            <w:tcW w:w="380" w:type="dxa"/>
            <w:vAlign w:val="bottom"/>
            <w:tcBorders>
              <w:top w:val="single" w:sz="8" w:color="CCECFF"/>
            </w:tcBorders>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Borders>
              <w:top w:val="single" w:sz="8" w:color="CCECFF"/>
            </w:tcBorders>
          </w:tcPr>
          <w:p>
            <w:pPr>
              <w:spacing w:after="0"/>
              <w:rPr>
                <w:sz w:val="16"/>
                <w:szCs w:val="16"/>
                <w:color w:val="auto"/>
              </w:rPr>
            </w:pPr>
          </w:p>
        </w:tc>
        <w:tc>
          <w:tcPr>
            <w:tcW w:w="880" w:type="dxa"/>
            <w:vAlign w:val="bottom"/>
            <w:tcBorders>
              <w:top w:val="single" w:sz="8" w:color="CCECFF"/>
            </w:tcBorders>
          </w:tcPr>
          <w:p>
            <w:pPr>
              <w:spacing w:after="0"/>
              <w:rPr>
                <w:sz w:val="16"/>
                <w:szCs w:val="16"/>
                <w:color w:val="auto"/>
              </w:rPr>
            </w:pPr>
          </w:p>
        </w:tc>
        <w:tc>
          <w:tcPr>
            <w:tcW w:w="100" w:type="dxa"/>
            <w:vAlign w:val="bottom"/>
            <w:tcBorders>
              <w:top w:val="single" w:sz="8" w:color="CCECFF"/>
            </w:tcBorders>
          </w:tcPr>
          <w:p>
            <w:pPr>
              <w:spacing w:after="0"/>
              <w:rPr>
                <w:sz w:val="16"/>
                <w:szCs w:val="16"/>
                <w:color w:val="auto"/>
              </w:rPr>
            </w:pPr>
          </w:p>
        </w:tc>
        <w:tc>
          <w:tcPr>
            <w:tcW w:w="320" w:type="dxa"/>
            <w:vAlign w:val="bottom"/>
            <w:tcBorders>
              <w:top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60"/>
              <w:spacing w:after="0" w:line="22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4"/>
                <w:szCs w:val="24"/>
                <w:color w:val="auto"/>
                <w:vertAlign w:val="superscript"/>
              </w:rPr>
              <w:t>(2)</w:t>
            </w:r>
          </w:p>
        </w:tc>
        <w:tc>
          <w:tcPr>
            <w:tcW w:w="1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-3479800</wp:posOffset>
            </wp:positionV>
            <wp:extent cx="85725"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-3479800</wp:posOffset>
            </wp:positionV>
            <wp:extent cx="85725"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-3479800</wp:posOffset>
            </wp:positionV>
            <wp:extent cx="76835"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-3162935</wp:posOffset>
            </wp:positionV>
            <wp:extent cx="8572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-3162935</wp:posOffset>
            </wp:positionV>
            <wp:extent cx="8572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-3162935</wp:posOffset>
            </wp:positionV>
            <wp:extent cx="7683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-1568450</wp:posOffset>
            </wp:positionV>
            <wp:extent cx="324866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48660" cy="18034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-616585</wp:posOffset>
            </wp:positionV>
            <wp:extent cx="85725"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-616585</wp:posOffset>
            </wp:positionV>
            <wp:extent cx="85725"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-616585</wp:posOffset>
            </wp:positionV>
            <wp:extent cx="76835" cy="163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-299720</wp:posOffset>
            </wp:positionV>
            <wp:extent cx="85725" cy="6083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60833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-299720</wp:posOffset>
            </wp:positionV>
            <wp:extent cx="85725" cy="6083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60833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-299720</wp:posOffset>
            </wp:positionV>
            <wp:extent cx="76835" cy="6083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608330"/>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131" w:lineRule="exact"/>
        <w:rPr>
          <w:sz w:val="20"/>
          <w:szCs w:val="20"/>
          <w:color w:val="auto"/>
        </w:rPr>
      </w:pPr>
    </w:p>
    <w:p>
      <w:pPr>
        <w:ind w:left="540" w:right="440" w:hanging="53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Core financial measures reflect the results of our CCS, OWN, NICS and ANS segments, in the aggregate, and exclude the results of our Home segment.</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“Reconciliation of Non-GAAP Measures” within this Management’s Discussion and Analysis of Financial Condition and Results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Connectivity and Cable Solutions Segment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Net sales for the CCS segment decreased for the three and six months ended June 30, 2023 compared to the prior year periods primarily due to lower sales volumes as certain customers have paused spending as they right-size their inventory levels. From a regional perspective, for the three months ended June 30, 2023, net sales decreased in the U.S. by $192.7 million, the EMEA region by $41.5 million, the APAC region by $29.6 million, Canada by $12.9 million and the CALA region by $11.1 million compared to the prior year period. For the six months ended June 30, 2023, net sales decreased in the U.S. by $170.6 million, the EMEA region by $59.7 million, the APAC region by $40.9 million, Canada by $16.1 million and the CALA region by $15.7 million compared to the prior year period. Foreign exchange rate changes impacted CCS segment net sales unfavorably by less than 1% during the three and six months ended June 30, 2023 compared to the prior year periods.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1" w:name="page32"/>
    <w:bookmarkEnd w:id="31"/>
    <w:p>
      <w:pPr>
        <w:spacing w:after="0" w:line="269" w:lineRule="auto"/>
        <w:rPr>
          <w:sz w:val="20"/>
          <w:szCs w:val="20"/>
          <w:color w:val="auto"/>
        </w:rPr>
      </w:pPr>
      <w:r>
        <w:rPr>
          <w:rFonts w:ascii="Arial" w:cs="Arial" w:eastAsia="Arial" w:hAnsi="Arial"/>
          <w:sz w:val="17"/>
          <w:szCs w:val="17"/>
          <w:color w:val="auto"/>
        </w:rPr>
        <w:t>During the six months ended June 30, 2023, CCS operating income was favorably impacted by a gain on the sale of an international manufacturing facility of $20.2 million that was recorded as a reduction to restructuring costs. Excluding this gain from CCS operating income, for the three and six months ended June 30, 2023, CCS segment operating income and adjusted EBITDA decreased compared to the prior year periods primarily due to lower sales volumes, partially offset by lower SG&amp;A, freight, material and R&amp;D costs and favorable product mix. CCS segment operating income for the three months ended June 30, 2023 was favorably impacted by reductions of $8.5 million in amortization expense and for the six months ended June 30, 2023, was favorably impacted by reductions of $18.9 million in amortization expense and $7.3 million in transaction, transformation and integration costs. CCS operating income during this period was also favorably impacted by a $2.0 million recovery of accounts receivable that we have previously reserved during the prior year period for $3.7 million when we determined they were uncollectible due to the Russia/Ukraine conflict. During the six months ended June 30, 2023, CCS operating income was unfavorably impacted by an increase of $5.1 million in restructuring costs, excluding the gain on the sale of a facility discussed above. Amortization expense, restructuring costs, transaction, transformation and integration costs and the charges and recoveries related to accounts receivable that were determined to be uncollectible as a result of the Russia/Ukraine conflict are not reflected in adjusted EBITDA. See “Reconciliation of Segment Adjusted EBITDA”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Wireless Networks Segment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the three and six months ended June 30, 2023, OWN segment net sales decreased compared to the prior year periods primarily due to lower sales volumes as a result of reductions in spending by certain North American operators. From a regional perspective, for the three months ended June 30, 2023, OWN segment net sales decreased in the U.S. by $152.7 million, Canada by $10.5 million, the APAC region by $6.8 million and the CALA region by $3.3 million but increased in the EMEA region by $11.2 million compared to the prior year period. For the six months ended June 30, 2023, net sales decreased in the U.S. by $238.9 million, Canada by $18.9 million, the APAC region by $14.7 million, the EMEA region by $12.4 million and the CALA region by $8.9 million compared to the prior year period. Foreign exchange rate changes impacted OWN segment net sales unfavorably by less than 1% during the three and six months ended June 30, 2023 compared to the prior year periods.</w:t>
      </w:r>
    </w:p>
    <w:p>
      <w:pPr>
        <w:spacing w:after="0" w:line="17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For the three and six months ended June 30, 2023, OWN segment operating income and adjusted EBITDA decreased compared to the prior year periods primarily due to lower sales volumes and unfavorable product mix, partially offset by lower freight, material, SG&amp;A and R&amp;D costs. OWN segment operating income for the three and six months ended June 30, 2023 was favorably impacted by reductions in restructuring costs of $13.5 million and $15.6 million, respectively. Restructuring costs are not reflected in adjusted EBITDA. See “Reconciliation of Segment Adjusted EBITDA”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Networking, Intelligent Cellular and Security Solutions Segment</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three and six months ended June 30, 2023, NICS segment net sales increased compared to the prior year periods primarily due to higher sales volumes of our Ruckus products as well as our distributed antenna systems products and to a lesser degree favorable pricing impacts. From a regional perspective, for the three months ended June 30, 2023, NICS segment net sales increased in the EMEA region by $49.4 million, the U.S. by $48.3 million, the APAC region by $19.2 million, Canada by $3.6 million and the CALA region by $1.7 million compared to the prior year period. For the six months ended June 30, 2023, net sales increased in the U.S. by $125.7 million, the EMEA region by $58.2 million, the APAC region by $24.4 million, the CALA region by $5.6 million and Canada by $4.8 million compared to the prior year period. Foreign exchange rate changes impacted NICS segment net sales favorably by less than 1% during the three months ended June 30, 2023 but unfavorably by less than 1% during the six months ended June 30, 2023 compared to the prior year periods.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three and six months ended June 30, 2023, NICS segment operating income and adjusted EBITDA both increased compared to the prior year periods primarily due to higher sales volumes, increased pricing, lower material costs, favorable product mix, and lower freight costs. See “Reconciliation of Segment Adjusted EBITDA” below.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Access Network Solutions Segment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the three and six months ended June 30, 2023, net sales increased in the ANS segment due to higher sales volumes compared to the prior year periods. From a regional perspective, for the three months ended June 30, 2023, ANS segment net sales increased in the U.S. by $32.6 million, the CALA region by $8.6 million, Canada by $7.3 million and the EMEA region by $2.0 million, but decreased in the APAC region by $10.3 million compared to the prior year period. For the six months ended June 30, 2023, net sales increased in the U.S. by $64.0 million, Canada by $8.2 million and the EMEA region by $3.4 million, but decreased in the APAC region by $34.5 million and the CALA region by $19.0 million compared to the prior year period. Foreign exchange rate changes had no impact on ANS segment net sales for the three months ended June 30, 2023 but impacted net sales unfavorably by less than 1% during the six months ended June 30, 2023 compared to the prior year periods.</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the three months ended June 30, 2023, ANS segment operating income and adjusted EBITDA increased compared to the prior year period primarily due to higher sales volumes and lower freight costs, partially offset by higher material costs and unfavorable product mix. For the six months ended June 30, 2023, ANS segment operating loss and adjusted EBITDA were favorably impacted by higher sales volumes and lower freight costs, but these impacts were more than offset by higher material costs and unfavorable product mix. ANS segment operating income (loss) for the three months and six months ended June 30, 2023 was favorably impacted by reductions in both amortization expense of $24.6 million and $24.7 million, respectively, and transaction, transformation and integration costs of $5.7 million and $11.1 million, respectively. Amortization expense and transaction, transformation and integration costs are not reflected in adjusted EBITDA. See “Reconciliation of Segment Adjusted EBITDA”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Networks Segment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sales for the Home segment decreased for the three and six months ended June 30, 2023 due to lower sales volumes compared to the prior year periods. From a regional perspective, for the three months ended June 30, 2023, Home segment net sales decreased in the U.S. by $54.4 million, the EMEA region by $29.7 million, the CALA region by $18.1 million and the APAC region by $0.6 million but increased in Canada by $8.5 million compared to the prior year period. For the six months ended June 30, 2023, net sales decreased in the U.S. by $128.2 million, the EMEA region by $78.0 million, the CALA region by $38.6 million, the APAC region by $6.9 million and Canada by $1.2 million compared to the prior year period. Foreign exchange rate changes impacted Home segment net sales unfavorably by less than 1% during the three and six months ended June 30, 2023 compared to the prior year periods.</w:t>
      </w:r>
    </w:p>
    <w:p>
      <w:pPr>
        <w:spacing w:after="0" w:line="16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For the three and six months ended June 30, 2023, Home segment operating loss increased and adjusted EBITDA decreased compared to the prior year periods primarily due to lower sales volumes, partially offset by favorable product mix. For the six months ended June 30, 2023, Home segment operating loss was favorably impacted by the reversal of $11.0 million in intellectual property litigation settlement charges related to a claim that was settled at an amount that was lower than estimated. This favorable impact was partially offset by an increase of $6.6 million in restructuring costs. Intellectual property litigation settlement charges and restructuring costs are not reflected in adjusted EBITDA. See “Reconciliation of Segment Adjusted EBITDA”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key measures of our liquidity and capital resources (in millions, except percentage data):</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4"/>
                <w:szCs w:val="14"/>
                <w:color w:val="auto"/>
              </w:rPr>
            </w:pPr>
          </w:p>
        </w:tc>
        <w:tc>
          <w:tcPr>
            <w:tcW w:w="13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760" w:type="dxa"/>
            <w:vAlign w:val="bottom"/>
          </w:tcPr>
          <w:p>
            <w:pPr>
              <w:jc w:val="right"/>
              <w:ind w:right="33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r>
      <w:tr>
        <w:trPr>
          <w:trHeight w:val="185"/>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2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w w:val="90"/>
              </w:rPr>
              <w:t>millions)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59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418.1</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398.1</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5.0  %</w:t>
            </w:r>
          </w:p>
        </w:tc>
      </w:tr>
      <w:tr>
        <w:trPr>
          <w:trHeight w:val="215"/>
        </w:trPr>
        <w:tc>
          <w:tcPr>
            <w:tcW w:w="590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4"/>
                <w:szCs w:val="24"/>
                <w:color w:val="auto"/>
                <w:vertAlign w:val="superscript"/>
              </w:rPr>
              <w:t>(1)</w:t>
            </w:r>
            <w:r>
              <w:rPr>
                <w:rFonts w:ascii="Arial" w:cs="Arial" w:eastAsia="Arial" w:hAnsi="Arial"/>
                <w:sz w:val="18"/>
                <w:szCs w:val="18"/>
                <w:color w:val="auto"/>
              </w:rPr>
              <w:t>, excluding cash and cash</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7"/>
        </w:trPr>
        <w:tc>
          <w:tcPr>
            <w:tcW w:w="5900" w:type="dxa"/>
            <w:vAlign w:val="bottom"/>
          </w:tcPr>
          <w:p>
            <w:pPr>
              <w:ind w:left="160"/>
              <w:spacing w:after="0"/>
              <w:rPr>
                <w:sz w:val="20"/>
                <w:szCs w:val="20"/>
                <w:color w:val="auto"/>
              </w:rPr>
            </w:pPr>
            <w:r>
              <w:rPr>
                <w:rFonts w:ascii="Arial" w:cs="Arial" w:eastAsia="Arial" w:hAnsi="Arial"/>
                <w:sz w:val="18"/>
                <w:szCs w:val="18"/>
                <w:color w:val="auto"/>
              </w:rPr>
              <w:t>equivalents and current portion of long-term debt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0"/>
                <w:szCs w:val="20"/>
                <w:color w:val="auto"/>
              </w:rPr>
            </w:pPr>
          </w:p>
        </w:tc>
      </w:tr>
      <w:tr>
        <w:trPr>
          <w:trHeight w:val="250"/>
        </w:trPr>
        <w:tc>
          <w:tcPr>
            <w:tcW w:w="59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Availability under Revolving Credit Facility</w:t>
            </w: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859.0</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908.8</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(49.8 )</w:t>
            </w:r>
          </w:p>
        </w:tc>
        <w:tc>
          <w:tcPr>
            <w:tcW w:w="126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(5.5 )</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9,412.9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9,501.6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(88.7 )</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(0.9 )</w:t>
            </w:r>
          </w:p>
        </w:tc>
      </w:tr>
      <w:tr>
        <w:trPr>
          <w:trHeight w:val="249"/>
        </w:trPr>
        <w:tc>
          <w:tcPr>
            <w:tcW w:w="5900" w:type="dxa"/>
            <w:vAlign w:val="bottom"/>
            <w:shd w:val="clear" w:color="auto" w:fill="CCECFF"/>
          </w:tcPr>
          <w:p>
            <w:pPr>
              <w:ind w:left="20"/>
              <w:spacing w:after="0" w:line="249" w:lineRule="exact"/>
              <w:rPr>
                <w:sz w:val="20"/>
                <w:szCs w:val="20"/>
                <w:color w:val="auto"/>
              </w:rPr>
            </w:pPr>
            <w:r>
              <w:rPr>
                <w:rFonts w:ascii="Arial" w:cs="Arial" w:eastAsia="Arial" w:hAnsi="Arial"/>
                <w:sz w:val="18"/>
                <w:szCs w:val="18"/>
                <w:color w:val="auto"/>
              </w:rPr>
              <w:t xml:space="preserve">Total capitalization </w:t>
            </w:r>
            <w:r>
              <w:rPr>
                <w:rFonts w:ascii="Arial" w:cs="Arial" w:eastAsia="Arial" w:hAnsi="Arial"/>
                <w:sz w:val="24"/>
                <w:szCs w:val="24"/>
                <w:color w:val="auto"/>
                <w:vertAlign w:val="superscript"/>
              </w:rPr>
              <w:t>(2)</w:t>
            </w: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8,927.8</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9,055.9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(128.1 )</w:t>
            </w:r>
          </w:p>
        </w:tc>
        <w:tc>
          <w:tcPr>
            <w:tcW w:w="126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(1.4 )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Long-term debt as a percentage of total capitalization</w:t>
            </w: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105.4 %</w:t>
            </w:r>
          </w:p>
        </w:tc>
        <w:tc>
          <w:tcPr>
            <w:tcW w:w="120" w:type="dxa"/>
            <w:vAlign w:val="bottom"/>
          </w:tcPr>
          <w:p>
            <w:pPr>
              <w:spacing w:after="0"/>
              <w:rPr>
                <w:sz w:val="20"/>
                <w:szCs w:val="20"/>
                <w:color w:val="auto"/>
              </w:rPr>
            </w:pP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104.9 %</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1912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4" w:lineRule="exact"/>
        <w:rPr>
          <w:sz w:val="20"/>
          <w:szCs w:val="20"/>
          <w:color w:val="auto"/>
        </w:rPr>
      </w:pPr>
    </w:p>
    <w:p>
      <w:pPr>
        <w:ind w:left="520" w:right="500" w:hanging="466"/>
        <w:spacing w:after="0" w:line="274"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Working capital consisted of current assets of $3,424.9 million less current liabilities of $1,721.6 million as of June 30, 2023. Working capital consisted of current assets of $3,726.2 million less current liabilities of $2,107.5 million as of December 31, 2022.</w:t>
      </w:r>
    </w:p>
    <w:p>
      <w:pPr>
        <w:ind w:left="520" w:hanging="466"/>
        <w:spacing w:after="0" w:line="26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capitalization includes long-term debt, including the current portion, Series A convertible preferred stock (the Convertible Preferred Stock) and stockholders’ deficit.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3" w:name="page34"/>
    <w:bookmarkEnd w:id="33"/>
    <w:p>
      <w:pPr>
        <w:ind w:right="200"/>
        <w:spacing w:after="0" w:line="342" w:lineRule="auto"/>
        <w:rPr>
          <w:sz w:val="20"/>
          <w:szCs w:val="20"/>
          <w:color w:val="auto"/>
        </w:rPr>
      </w:pPr>
      <w:r>
        <w:rPr>
          <w:rFonts w:ascii="Arial" w:cs="Arial" w:eastAsia="Arial" w:hAnsi="Arial"/>
          <w:sz w:val="16"/>
          <w:szCs w:val="16"/>
          <w:color w:val="auto"/>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second quarter of 2023, we amended our 2026 Term Loan to replace LIBOR with an adjusted Secured Overnight Financing Rate as administered by the Federal Reserve Bank of New York (SOFR) as the reference interest rate in anticipation of the cessation of LIBOR in 2023. The changes will be effective July 1, 2023. We do not anticipate a material impact on our results of operations or cash flows with the transition to SOFR in our variable rate debt, but the impact is still uncertain.</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primary uses of liquidity include debt service requirements, voluntary debt repayments, redemptions or purchases on the open market, working capital requirements, capital expenditures, business separation transaction costs, transformation costs, restructuring costs, dividends related to the Convertible Preferred Stock if we elect to pay such dividends in cash, litigation settlements, income tax payments and other contractual obligations.</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believe that our existing cash, cash equivalents and cash flows from operations, combined with availability under our Revolving Credit Facility, will be sufficient to meet our presently anticipated future cash needs. We may experience volatility in cash flows between periods due to, among other reasons, variability in the timing of vendor payments and customer receipts. We may, from time to time, borrow additional amounts under our Revolving Credit Facility or issue debt or equity securities, if market conditions are favorable, to meet future cash needs or to reduce our borrowing costs. In addition, we may, from time to time, seek to repurchase our outstanding debt through cash purchases in the open market. Any such repurchases will be dependent upon several factors, including our liquidity requirements, contractual restrictions, general market conditions and applicable regulatory, legal and accounting factors. Whether or not we repurchase any of our debt and the size and timing of any such repurchases will be determined at our discretion.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six months ended June 30, 2023, the interest payments on our variable rate debt increased as a result of the Federal Reserve’s increase in interest rates that started in 2022. Our interest payments on our variable rate debt will continue to increase in the second half of 2023 if the Federal Reserve continues to raise interest rates. See Part II, Item 7A, “Quantitative and Qualitative Disclosure About Market Risk” in our 2022 Annual Report for further discussion of our interest rate risk.</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June 30, 2023, our non-GAAP pro forma adjusted EBITDA, as measured pursuant to the indentures governing our notes, was $1,414.6 million, which included annualized savings expected from cost reduction initiatives of $119.3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as of June 30, 2023.</w:t>
      </w:r>
    </w:p>
    <w:p>
      <w:pPr>
        <w:spacing w:after="0" w:line="18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Cash and cash equivalents increased during the six months ended June 30, 2023 primarily driven by cash generated by operating activities of $90.7 million and proceeds from the sale of property, plant and equipment of $41.6 million, partially offset by cash paid for debt repurchases of $75.0 million and capital expenditures of $35.2 million. The proceeds on the sale of property, plant and equipment primarily relate to the sale of an international manufacturing facility that was closed as part of CommScope NEXT. As of June 30, 2023, approximately 49% of our cash and cash equivalents were held outside the U.S.</w:t>
      </w:r>
    </w:p>
    <w:p>
      <w:pPr>
        <w:spacing w:after="0" w:line="1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Working capital, excluding cash and cash equivalents and the current portion of long-term debt, increased during the six months ended June 30, 2023 primarily due to reductions in current liabilities with unfavorable operating performance driving lower accounts payable. Accrued liabilities also decreased due to the pay out of our 2022 variable incentive compensation. These impacts were offset by lower accounts receivable, again due to unfavorable operating performance with lower net sales in the second quarter of 2023 compared to the fourth quarter of 2022. During the six months ended June 30, 2023, we sold accounts receivable under customer-sponsored supplier financing agreements. This had an impact of approximately $42 million on working capital, excluding cash and cash equivalents and the current portion of long-term debt, as of June 30, 2023. Under these agreements, we are able to sell certain accounts receivable to a bank, and we retain no interest in and have no servicing responsibilities for the accounts receivable sold. The net reduction in total capitalization during the six months ended June 30, 2023 reflected the net loss for the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Cash Flow Overview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Change</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Change</w:t>
            </w:r>
          </w:p>
        </w:tc>
      </w:tr>
      <w:tr>
        <w:trPr>
          <w:trHeight w:val="169"/>
        </w:trPr>
        <w:tc>
          <w:tcPr>
            <w:tcW w:w="66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in</w:t>
            </w: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generated by (used in) operating activities</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90.7</w:t>
            </w: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148"/>
              <w:spacing w:after="0"/>
              <w:rPr>
                <w:sz w:val="20"/>
                <w:szCs w:val="20"/>
                <w:color w:val="auto"/>
              </w:rPr>
            </w:pPr>
            <w:r>
              <w:rPr>
                <w:rFonts w:ascii="Arial" w:cs="Arial" w:eastAsia="Arial" w:hAnsi="Arial"/>
                <w:sz w:val="18"/>
                <w:szCs w:val="18"/>
                <w:color w:val="auto"/>
              </w:rPr>
              <w:t>(109.1 )</w:t>
            </w:r>
          </w:p>
        </w:tc>
        <w:tc>
          <w:tcPr>
            <w:tcW w:w="140" w:type="dxa"/>
            <w:vAlign w:val="bottom"/>
            <w:shd w:val="clear" w:color="auto" w:fill="CCEC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199.8</w:t>
            </w:r>
          </w:p>
        </w:tc>
        <w:tc>
          <w:tcPr>
            <w:tcW w:w="2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ind w:left="66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1"/>
                <w:szCs w:val="2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Net cash generated by (used in) investing activities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8"/>
                <w:szCs w:val="18"/>
                <w:color w:val="auto"/>
              </w:rPr>
              <w:t>(39.2 )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r>
      <w:tr>
        <w:trPr>
          <w:trHeight w:val="242"/>
        </w:trPr>
        <w:tc>
          <w:tcPr>
            <w:tcW w:w="6680" w:type="dxa"/>
            <w:vAlign w:val="bottom"/>
          </w:tcPr>
          <w:p>
            <w:pPr>
              <w:ind w:left="20"/>
              <w:spacing w:after="0"/>
              <w:rPr>
                <w:sz w:val="20"/>
                <w:szCs w:val="20"/>
                <w:color w:val="auto"/>
              </w:rPr>
            </w:pPr>
            <w:r>
              <w:rPr>
                <w:rFonts w:ascii="Arial" w:cs="Arial" w:eastAsia="Arial" w:hAnsi="Arial"/>
                <w:sz w:val="18"/>
                <w:szCs w:val="18"/>
                <w:color w:val="auto"/>
              </w:rPr>
              <w:t>Net cash generated by (used in) financing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(97.8 )</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(119.2 )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(557.0 )%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9"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8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0"/>
              </w:rPr>
              <w:t>millions)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82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CFF"/>
          </w:tcPr>
          <w:p>
            <w:pPr>
              <w:jc w:val="right"/>
              <w:ind w:right="576"/>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CFF"/>
          </w:tcPr>
          <w:p>
            <w:pPr>
              <w:jc w:val="right"/>
              <w:ind w:right="188"/>
              <w:spacing w:after="0"/>
              <w:rPr>
                <w:sz w:val="20"/>
                <w:szCs w:val="20"/>
                <w:color w:val="auto"/>
              </w:rPr>
            </w:pPr>
            <w:r>
              <w:rPr>
                <w:rFonts w:ascii="Arial" w:cs="Arial" w:eastAsia="Arial" w:hAnsi="Arial"/>
                <w:sz w:val="18"/>
                <w:szCs w:val="18"/>
                <w:color w:val="auto"/>
              </w:rPr>
              <w:t>(97.0 )</w:t>
            </w:r>
          </w:p>
        </w:tc>
        <w:tc>
          <w:tcPr>
            <w:tcW w:w="36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(200.9 )</w:t>
            </w: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Adjustments to reconcile net loss to net cash generated by (used in) operating activities:</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2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303.5</w:t>
            </w:r>
          </w:p>
        </w:tc>
        <w:tc>
          <w:tcPr>
            <w:tcW w:w="3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356.3</w:t>
            </w:r>
          </w:p>
        </w:tc>
        <w:tc>
          <w:tcPr>
            <w:tcW w:w="140" w:type="dxa"/>
            <w:vAlign w:val="bottom"/>
            <w:shd w:val="clear" w:color="auto" w:fill="CCECFF"/>
          </w:tcPr>
          <w:p>
            <w:pPr>
              <w:spacing w:after="0"/>
              <w:rPr>
                <w:sz w:val="21"/>
                <w:szCs w:val="21"/>
                <w:color w:val="auto"/>
              </w:rPr>
            </w:pP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Equity-based compensation</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r>
      <w:tr>
        <w:trPr>
          <w:trHeight w:val="249"/>
        </w:trPr>
        <w:tc>
          <w:tcPr>
            <w:tcW w:w="82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88"/>
              <w:spacing w:after="0"/>
              <w:rPr>
                <w:sz w:val="20"/>
                <w:szCs w:val="20"/>
                <w:color w:val="auto"/>
              </w:rPr>
            </w:pPr>
            <w:r>
              <w:rPr>
                <w:rFonts w:ascii="Arial" w:cs="Arial" w:eastAsia="Arial" w:hAnsi="Arial"/>
                <w:sz w:val="18"/>
                <w:szCs w:val="18"/>
                <w:color w:val="auto"/>
              </w:rPr>
              <w:t>(61.9 )</w:t>
            </w:r>
          </w:p>
        </w:tc>
        <w:tc>
          <w:tcPr>
            <w:tcW w:w="3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(26.2 )</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240" w:type="dxa"/>
            <w:vAlign w:val="bottom"/>
            <w:shd w:val="clear" w:color="auto" w:fill="CCECFF"/>
          </w:tcPr>
          <w:p>
            <w:pPr>
              <w:ind w:left="56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174.4</w:t>
            </w:r>
          </w:p>
        </w:tc>
        <w:tc>
          <w:tcPr>
            <w:tcW w:w="3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(86.4 )</w:t>
            </w:r>
          </w:p>
        </w:tc>
      </w:tr>
      <w:tr>
        <w:trPr>
          <w:trHeight w:val="237"/>
        </w:trPr>
        <w:tc>
          <w:tcPr>
            <w:tcW w:w="8240" w:type="dxa"/>
            <w:vAlign w:val="bottom"/>
          </w:tcPr>
          <w:p>
            <w:pPr>
              <w:ind w:left="560"/>
              <w:spacing w:after="0"/>
              <w:rPr>
                <w:sz w:val="20"/>
                <w:szCs w:val="20"/>
                <w:color w:val="auto"/>
              </w:rPr>
            </w:pPr>
            <w:r>
              <w:rPr>
                <w:rFonts w:ascii="Arial" w:cs="Arial" w:eastAsia="Arial" w:hAnsi="Arial"/>
                <w:sz w:val="18"/>
                <w:szCs w:val="18"/>
                <w:color w:val="auto"/>
              </w:rPr>
              <w:t>Inventories</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135.6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(151.4 )</w:t>
            </w:r>
          </w:p>
        </w:tc>
      </w:tr>
      <w:tr>
        <w:trPr>
          <w:trHeight w:val="249"/>
        </w:trPr>
        <w:tc>
          <w:tcPr>
            <w:tcW w:w="8240" w:type="dxa"/>
            <w:vAlign w:val="bottom"/>
            <w:shd w:val="clear" w:color="auto" w:fill="CCECFF"/>
          </w:tcPr>
          <w:p>
            <w:pPr>
              <w:ind w:left="56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CFF"/>
          </w:tcPr>
          <w:p>
            <w:pPr>
              <w:spacing w:after="0"/>
              <w:rPr>
                <w:sz w:val="21"/>
                <w:szCs w:val="21"/>
                <w:color w:val="auto"/>
              </w:rPr>
            </w:pPr>
          </w:p>
        </w:tc>
      </w:tr>
      <w:tr>
        <w:trPr>
          <w:trHeight w:val="237"/>
        </w:trPr>
        <w:tc>
          <w:tcPr>
            <w:tcW w:w="8240" w:type="dxa"/>
            <w:vAlign w:val="bottom"/>
          </w:tcPr>
          <w:p>
            <w:pPr>
              <w:ind w:left="560"/>
              <w:spacing w:after="0"/>
              <w:rPr>
                <w:sz w:val="20"/>
                <w:szCs w:val="20"/>
                <w:color w:val="auto"/>
              </w:rPr>
            </w:pPr>
            <w:r>
              <w:rPr>
                <w:rFonts w:ascii="Arial" w:cs="Arial" w:eastAsia="Arial" w:hAnsi="Arial"/>
                <w:sz w:val="18"/>
                <w:szCs w:val="18"/>
                <w:color w:val="auto"/>
              </w:rPr>
              <w:t>Accounts payable and other liabilities</w:t>
            </w:r>
          </w:p>
        </w:tc>
        <w:tc>
          <w:tcPr>
            <w:tcW w:w="780" w:type="dxa"/>
            <w:vAlign w:val="bottom"/>
          </w:tcPr>
          <w:p>
            <w:pPr>
              <w:spacing w:after="0"/>
              <w:rPr>
                <w:sz w:val="20"/>
                <w:szCs w:val="20"/>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w w:val="86"/>
              </w:rPr>
              <w:t>(411.2 )</w:t>
            </w:r>
          </w:p>
        </w:tc>
        <w:tc>
          <w:tcPr>
            <w:tcW w:w="3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(28.8 )</w:t>
            </w:r>
          </w:p>
        </w:tc>
      </w:tr>
      <w:tr>
        <w:trPr>
          <w:trHeight w:val="249"/>
        </w:trPr>
        <w:tc>
          <w:tcPr>
            <w:tcW w:w="82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CFF"/>
          </w:tcPr>
          <w:p>
            <w:pPr>
              <w:spacing w:after="0"/>
              <w:rPr>
                <w:sz w:val="21"/>
                <w:szCs w:val="2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(2.7 )</w:t>
            </w:r>
          </w:p>
        </w:tc>
      </w:tr>
      <w:tr>
        <w:trPr>
          <w:trHeight w:val="20"/>
        </w:trPr>
        <w:tc>
          <w:tcPr>
            <w:tcW w:w="8240" w:type="dxa"/>
            <w:vAlign w:val="bottom"/>
            <w:shd w:val="clear" w:color="auto" w:fill="CCEC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generated by (used in) operating activities</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90.7</w:t>
            </w:r>
          </w:p>
        </w:tc>
        <w:tc>
          <w:tcPr>
            <w:tcW w:w="3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(109.1 )</w:t>
            </w:r>
          </w:p>
        </w:tc>
      </w:tr>
      <w:tr>
        <w:trPr>
          <w:trHeight w:val="20"/>
        </w:trPr>
        <w:tc>
          <w:tcPr>
            <w:tcW w:w="8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-187960</wp:posOffset>
            </wp:positionV>
            <wp:extent cx="85725"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six months ended June 30, 2023, the increase in cash generated by operating activities compared to the prior year period was primarily driven by reduced inventory purchases, cost saving initiatives and lower tax payments, partially offset by higher interest payments.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8"/>
        </w:trPr>
        <w:tc>
          <w:tcPr>
            <w:tcW w:w="82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69"/>
        </w:trPr>
        <w:tc>
          <w:tcPr>
            <w:tcW w:w="8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8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82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820" w:type="dxa"/>
            <w:vAlign w:val="bottom"/>
            <w:shd w:val="clear" w:color="auto" w:fill="CCECFF"/>
          </w:tcPr>
          <w:p>
            <w:pPr>
              <w:jc w:val="right"/>
              <w:ind w:right="616"/>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w w:val="96"/>
              </w:rPr>
              <w:t>(35.2 )</w:t>
            </w:r>
          </w:p>
        </w:tc>
        <w:tc>
          <w:tcPr>
            <w:tcW w:w="440" w:type="dxa"/>
            <w:vAlign w:val="bottom"/>
            <w:shd w:val="clear" w:color="auto" w:fill="CCEC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(55.1 )</w:t>
            </w: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82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CFF"/>
          </w:tcPr>
          <w:p>
            <w:pPr>
              <w:spacing w:after="0"/>
              <w:rPr>
                <w:sz w:val="21"/>
                <w:szCs w:val="2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Borders>
              <w:bottom w:val="single" w:sz="8" w:color="CCECFF"/>
            </w:tcBorders>
            <w:shd w:val="clear" w:color="auto" w:fill="CCECFF"/>
          </w:tcPr>
          <w:p>
            <w:pPr>
              <w:spacing w:after="0"/>
              <w:rPr>
                <w:sz w:val="21"/>
                <w:szCs w:val="21"/>
                <w:color w:val="auto"/>
              </w:rPr>
            </w:pPr>
          </w:p>
        </w:tc>
        <w:tc>
          <w:tcPr>
            <w:tcW w:w="44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generated by (used in) investing activities</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(39.2 )</w:t>
            </w:r>
          </w:p>
        </w:tc>
      </w:tr>
      <w:tr>
        <w:trPr>
          <w:trHeight w:val="20"/>
        </w:trPr>
        <w:tc>
          <w:tcPr>
            <w:tcW w:w="8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-187960</wp:posOffset>
            </wp:positionV>
            <wp:extent cx="8572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six months ended June 30, 2023, the increase in cash generated by investing activities compared to the prior year period was primarily driven by proceeds from the sale of property, plant and equipment of $41.6 million and a $19.9 decrease in capital expenditures. The current period proceeds on the sale of property, plant and equipment primarily relate to the sale of an international manufacturing facility that was closed as part of CommScope NEXT. Cash generated by investing activities were favorably impacted in the current year period by proceeds of $11.2 million related to the sale of an equity investment and proceeds of $9.3 million on the sale of certain nonfinancial assets. Cash used in investing activities in the prior year period was impacted favorably by proceeds of $6.9 million related to the sale of an equity method investment, a return of $4.5 million on equity method investments and proceeds of $4.5 million on the sale of certain nonfinancial assets.</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66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8"/>
        </w:trPr>
        <w:tc>
          <w:tcPr>
            <w:tcW w:w="85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69"/>
        </w:trPr>
        <w:tc>
          <w:tcPr>
            <w:tcW w:w="85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237"/>
        </w:trPr>
        <w:tc>
          <w:tcPr>
            <w:tcW w:w="8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85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Long-term debt repaid</w:t>
            </w:r>
          </w:p>
        </w:tc>
        <w:tc>
          <w:tcPr>
            <w:tcW w:w="720" w:type="dxa"/>
            <w:vAlign w:val="bottom"/>
            <w:shd w:val="clear" w:color="auto" w:fill="CCECFF"/>
          </w:tcPr>
          <w:p>
            <w:pPr>
              <w:jc w:val="right"/>
              <w:ind w:right="53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w w:val="88"/>
              </w:rPr>
              <w:t>(16.0 )</w:t>
            </w: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(176.0 )</w:t>
            </w:r>
          </w:p>
        </w:tc>
      </w:tr>
      <w:tr>
        <w:trPr>
          <w:trHeight w:val="237"/>
        </w:trPr>
        <w:tc>
          <w:tcPr>
            <w:tcW w:w="8500" w:type="dxa"/>
            <w:vAlign w:val="bottom"/>
          </w:tcPr>
          <w:p>
            <w:pPr>
              <w:ind w:left="200"/>
              <w:spacing w:after="0"/>
              <w:rPr>
                <w:sz w:val="20"/>
                <w:szCs w:val="20"/>
                <w:color w:val="auto"/>
              </w:rPr>
            </w:pPr>
            <w:r>
              <w:rPr>
                <w:rFonts w:ascii="Arial" w:cs="Arial" w:eastAsia="Arial" w:hAnsi="Arial"/>
                <w:sz w:val="18"/>
                <w:szCs w:val="18"/>
                <w:color w:val="auto"/>
              </w:rPr>
              <w:t>Long-term debt repurchases</w:t>
            </w:r>
          </w:p>
        </w:tc>
        <w:tc>
          <w:tcPr>
            <w:tcW w:w="7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(75.0 )</w:t>
            </w: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85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Long-term debt proceeds</w:t>
            </w:r>
          </w:p>
        </w:tc>
        <w:tc>
          <w:tcPr>
            <w:tcW w:w="720" w:type="dxa"/>
            <w:vAlign w:val="bottom"/>
            <w:shd w:val="clear" w:color="auto" w:fill="CCECFF"/>
          </w:tcPr>
          <w:p>
            <w:pPr>
              <w:spacing w:after="0"/>
              <w:rPr>
                <w:sz w:val="21"/>
                <w:szCs w:val="21"/>
                <w:color w:val="auto"/>
              </w:rPr>
            </w:pPr>
          </w:p>
        </w:tc>
        <w:tc>
          <w:tcPr>
            <w:tcW w:w="76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CFF"/>
          </w:tcPr>
          <w:p>
            <w:pPr>
              <w:spacing w:after="0"/>
              <w:rPr>
                <w:sz w:val="21"/>
                <w:szCs w:val="21"/>
                <w:color w:val="auto"/>
              </w:rPr>
            </w:pPr>
          </w:p>
        </w:tc>
      </w:tr>
      <w:tr>
        <w:trPr>
          <w:trHeight w:val="237"/>
        </w:trPr>
        <w:tc>
          <w:tcPr>
            <w:tcW w:w="8500" w:type="dxa"/>
            <w:vAlign w:val="bottom"/>
          </w:tcPr>
          <w:p>
            <w:pPr>
              <w:ind w:left="200"/>
              <w:spacing w:after="0"/>
              <w:rPr>
                <w:sz w:val="20"/>
                <w:szCs w:val="20"/>
                <w:color w:val="auto"/>
              </w:rPr>
            </w:pPr>
            <w:r>
              <w:rPr>
                <w:rFonts w:ascii="Arial" w:cs="Arial" w:eastAsia="Arial" w:hAnsi="Arial"/>
                <w:sz w:val="18"/>
                <w:szCs w:val="18"/>
                <w:color w:val="auto"/>
              </w:rPr>
              <w:t>Tax withholding payments for vested equity-based compensation awards</w:t>
            </w:r>
          </w:p>
        </w:tc>
        <w:tc>
          <w:tcPr>
            <w:tcW w:w="7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(8.9 )</w:t>
            </w:r>
          </w:p>
        </w:tc>
        <w:tc>
          <w:tcPr>
            <w:tcW w:w="4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(14.0 )</w:t>
            </w:r>
          </w:p>
        </w:tc>
      </w:tr>
      <w:tr>
        <w:trPr>
          <w:trHeight w:val="249"/>
        </w:trPr>
        <w:tc>
          <w:tcPr>
            <w:tcW w:w="85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6"/>
        </w:trPr>
        <w:tc>
          <w:tcPr>
            <w:tcW w:w="8500" w:type="dxa"/>
            <w:vAlign w:val="bottom"/>
          </w:tcPr>
          <w:p>
            <w:pPr>
              <w:ind w:left="20"/>
              <w:spacing w:after="0"/>
              <w:rPr>
                <w:sz w:val="20"/>
                <w:szCs w:val="20"/>
                <w:color w:val="auto"/>
              </w:rPr>
            </w:pPr>
            <w:r>
              <w:rPr>
                <w:rFonts w:ascii="Arial" w:cs="Arial" w:eastAsia="Arial" w:hAnsi="Arial"/>
                <w:sz w:val="18"/>
                <w:szCs w:val="18"/>
                <w:color w:val="auto"/>
              </w:rPr>
              <w:t>Net cash generated by (used in) financing activities</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(97.8 )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0"/>
                <w:szCs w:val="20"/>
                <w:color w:val="auto"/>
              </w:rPr>
            </w:pPr>
          </w:p>
        </w:tc>
      </w:tr>
      <w:tr>
        <w:trPr>
          <w:trHeight w:val="20"/>
        </w:trPr>
        <w:tc>
          <w:tcPr>
            <w:tcW w:w="8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-187960</wp:posOffset>
            </wp:positionV>
            <wp:extent cx="85725"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we repurchased $56.9 million aggregate principal amount of our 2027 Senior Notes, $3.1 million aggregate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our 2028 Senior Notes and $25.4 million aggregate principal amount of our 2025 Senior Notes, for total cash consideration paid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 million. During the six months ended June 30, 2023, we also paid two quarterly scheduled amortization payments totaling $16.0 million on the 2026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We did not borrow under our senior secured asset-based revolving credit facility (Revolving Credit Facility) during the six months ended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2023. As of June 30, 2023, we had no outstanding borrowings under the Revolving Credit Facility and the remaining availability was $859.0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reflecting a borrowing base subject to maximum capacity of $953.9 million reduced by $94.9 million of letters of credit issued under the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six months ended June 30, 2022, we borrowed $210.0 million and repaid $160.0 million under the Revolving Credit Facility. We also paid two quarterly scheduled amortization payments totaling $16.0 million on the 2026 Term Loan during the six months ended June 30, 2022.</w:t>
      </w:r>
    </w:p>
    <w:p>
      <w:pPr>
        <w:spacing w:after="0" w:line="14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During the six months ended June 30, 2023, employees surrendered shares of our common stock to satisfy their tax withholding requirements on vested restricted stock units and performance share units, which reduced cash flows by $8.9 million compared to $14.0 million in the prior year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also believe presenting these non-GAAP results for the twelve months ended June 30, 2023 provides an additional tool for assessing our recent performance. Such amounts are unaudited and are derived by subtracting the data for the six months ended June 30, 2022 from the data for the year ended December 31, 2022 and then adding the data for the six months ended June 30, 2023.</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3"/>
              </w:rPr>
              <w:t>Three Months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93"/>
              </w:rPr>
              <w:t>Six Months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Year</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Twelve Months</w:t>
            </w:r>
          </w:p>
        </w:tc>
      </w:tr>
      <w:tr>
        <w:trPr>
          <w:trHeight w:val="176"/>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left="533"/>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left="534"/>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r>
      <w:tr>
        <w:trPr>
          <w:trHeight w:val="185"/>
        </w:trPr>
        <w:tc>
          <w:tcPr>
            <w:tcW w:w="3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r>
      <w:tr>
        <w:trPr>
          <w:trHeight w:val="169"/>
        </w:trPr>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89"/>
              </w:rPr>
              <w:t>2022</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Pr>
          <w:p>
            <w:pPr>
              <w:spacing w:after="0"/>
              <w:rPr>
                <w:sz w:val="14"/>
                <w:szCs w:val="14"/>
                <w:color w:val="auto"/>
              </w:rPr>
            </w:pPr>
          </w:p>
        </w:tc>
      </w:tr>
      <w:tr>
        <w:trPr>
          <w:trHeight w:val="169"/>
        </w:trPr>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millions)</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3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(100.4 )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(61.0 )</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CFF"/>
            </w:tcBorders>
            <w:gridSpan w:val="2"/>
            <w:shd w:val="clear" w:color="auto" w:fill="CCECFF"/>
          </w:tcPr>
          <w:p>
            <w:pPr>
              <w:jc w:val="right"/>
              <w:ind w:right="128"/>
              <w:spacing w:after="0"/>
              <w:rPr>
                <w:sz w:val="20"/>
                <w:szCs w:val="20"/>
                <w:color w:val="auto"/>
              </w:rPr>
            </w:pPr>
            <w:r>
              <w:rPr>
                <w:rFonts w:ascii="Arial" w:cs="Arial" w:eastAsia="Arial" w:hAnsi="Arial"/>
                <w:sz w:val="18"/>
                <w:szCs w:val="18"/>
                <w:color w:val="auto"/>
              </w:rPr>
              <w:t>(97.0 )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w w:val="99"/>
              </w:rPr>
              <w:t>(200.9 )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(1,286.9 )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(1,183.0 )</w:t>
            </w: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(14.5 )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(13.1 )</w:t>
            </w: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(28.9 )</w:t>
            </w:r>
          </w:p>
        </w:tc>
      </w:tr>
      <w:tr>
        <w:trPr>
          <w:trHeight w:val="249"/>
        </w:trPr>
        <w:tc>
          <w:tcPr>
            <w:tcW w:w="3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(1.9 )</w:t>
            </w:r>
          </w:p>
        </w:tc>
        <w:tc>
          <w:tcPr>
            <w:tcW w:w="2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(0.5 )</w:t>
            </w:r>
          </w:p>
        </w:tc>
        <w:tc>
          <w:tcPr>
            <w:tcW w:w="220" w:type="dxa"/>
            <w:vAlign w:val="bottom"/>
            <w:shd w:val="clear" w:color="auto" w:fill="CCECFF"/>
          </w:tcPr>
          <w:p>
            <w:pPr>
              <w:spacing w:after="0"/>
              <w:rPr>
                <w:sz w:val="21"/>
                <w:szCs w:val="21"/>
                <w:color w:val="auto"/>
              </w:rPr>
            </w:pPr>
          </w:p>
        </w:tc>
        <w:tc>
          <w:tcPr>
            <w:tcW w:w="1020" w:type="dxa"/>
            <w:vAlign w:val="bottom"/>
            <w:tcBorders>
              <w:right w:val="single" w:sz="8" w:color="CCECFF"/>
            </w:tcBorders>
            <w:gridSpan w:val="2"/>
            <w:shd w:val="clear" w:color="auto" w:fill="CCECFF"/>
          </w:tcPr>
          <w:p>
            <w:pPr>
              <w:jc w:val="right"/>
              <w:ind w:right="128"/>
              <w:spacing w:after="0"/>
              <w:rPr>
                <w:sz w:val="20"/>
                <w:szCs w:val="20"/>
                <w:color w:val="auto"/>
              </w:rPr>
            </w:pPr>
            <w:r>
              <w:rPr>
                <w:rFonts w:ascii="Arial" w:cs="Arial" w:eastAsia="Arial" w:hAnsi="Arial"/>
                <w:sz w:val="18"/>
                <w:szCs w:val="18"/>
                <w:color w:val="auto"/>
              </w:rPr>
              <w:t>(4.4 )</w:t>
            </w:r>
          </w:p>
        </w:tc>
        <w:tc>
          <w:tcPr>
            <w:tcW w:w="26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(2.8 )</w:t>
            </w: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(6.0 )</w:t>
            </w: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276.6</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645.9</w:t>
            </w:r>
          </w:p>
        </w:tc>
        <w:tc>
          <w:tcPr>
            <w:tcW w:w="140" w:type="dxa"/>
            <w:vAlign w:val="bottom"/>
          </w:tcPr>
          <w:p>
            <w:pPr>
              <w:spacing w:after="0"/>
              <w:rPr>
                <w:sz w:val="20"/>
                <w:szCs w:val="20"/>
                <w:color w:val="auto"/>
              </w:rPr>
            </w:pPr>
          </w:p>
        </w:tc>
      </w:tr>
      <w:tr>
        <w:trPr>
          <w:trHeight w:val="249"/>
        </w:trPr>
        <w:tc>
          <w:tcPr>
            <w:tcW w:w="3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(2.4 )</w:t>
            </w:r>
          </w:p>
        </w:tc>
        <w:tc>
          <w:tcPr>
            <w:tcW w:w="2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(1.0 )</w:t>
            </w:r>
          </w:p>
        </w:tc>
        <w:tc>
          <w:tcPr>
            <w:tcW w:w="220" w:type="dxa"/>
            <w:vAlign w:val="bottom"/>
            <w:shd w:val="clear" w:color="auto" w:fill="CCECFF"/>
          </w:tcPr>
          <w:p>
            <w:pPr>
              <w:spacing w:after="0"/>
              <w:rPr>
                <w:sz w:val="21"/>
                <w:szCs w:val="21"/>
                <w:color w:val="auto"/>
              </w:rPr>
            </w:pPr>
          </w:p>
        </w:tc>
        <w:tc>
          <w:tcPr>
            <w:tcW w:w="1020" w:type="dxa"/>
            <w:vAlign w:val="bottom"/>
            <w:tcBorders>
              <w:right w:val="single" w:sz="8" w:color="CCECFF"/>
            </w:tcBorders>
            <w:gridSpan w:val="2"/>
            <w:shd w:val="clear" w:color="auto" w:fill="CCECFF"/>
          </w:tcPr>
          <w:p>
            <w:pPr>
              <w:jc w:val="right"/>
              <w:ind w:right="128"/>
              <w:spacing w:after="0"/>
              <w:rPr>
                <w:sz w:val="20"/>
                <w:szCs w:val="20"/>
                <w:color w:val="auto"/>
              </w:rPr>
            </w:pPr>
            <w:r>
              <w:rPr>
                <w:rFonts w:ascii="Arial" w:cs="Arial" w:eastAsia="Arial" w:hAnsi="Arial"/>
                <w:sz w:val="18"/>
                <w:szCs w:val="18"/>
                <w:color w:val="auto"/>
              </w:rPr>
              <w:t>(8.1 )</w:t>
            </w:r>
          </w:p>
        </w:tc>
        <w:tc>
          <w:tcPr>
            <w:tcW w:w="26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(7.0 )</w:t>
            </w:r>
          </w:p>
        </w:tc>
      </w:tr>
      <w:tr>
        <w:trPr>
          <w:trHeight w:val="20"/>
        </w:trPr>
        <w:tc>
          <w:tcPr>
            <w:tcW w:w="39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(713.8 )</w:t>
            </w: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(579.0 )</w:t>
            </w:r>
          </w:p>
        </w:tc>
      </w:tr>
      <w:tr>
        <w:trPr>
          <w:trHeight w:val="249"/>
        </w:trPr>
        <w:tc>
          <w:tcPr>
            <w:tcW w:w="3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280" w:type="dxa"/>
            <w:vAlign w:val="bottom"/>
            <w:tcBorders>
              <w:right w:val="single" w:sz="8" w:color="CCECFF"/>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15"/>
        </w:trPr>
        <w:tc>
          <w:tcPr>
            <w:tcW w:w="3980" w:type="dxa"/>
            <w:vAlign w:val="bottom"/>
          </w:tcPr>
          <w:p>
            <w:pPr>
              <w:ind w:left="200"/>
              <w:spacing w:after="0"/>
              <w:rPr>
                <w:sz w:val="20"/>
                <w:szCs w:val="20"/>
                <w:color w:val="auto"/>
              </w:rPr>
            </w:pPr>
            <w:r>
              <w:rPr>
                <w:rFonts w:ascii="Arial" w:cs="Arial" w:eastAsia="Arial" w:hAnsi="Arial"/>
                <w:sz w:val="18"/>
                <w:szCs w:val="18"/>
                <w:color w:val="auto"/>
              </w:rPr>
              <w:t>Amortization of purchased intangible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3980" w:type="dxa"/>
            <w:vAlign w:val="bottom"/>
          </w:tcPr>
          <w:p>
            <w:pPr>
              <w:ind w:left="3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279.7</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491.1</w:t>
            </w:r>
          </w:p>
        </w:tc>
        <w:tc>
          <w:tcPr>
            <w:tcW w:w="140" w:type="dxa"/>
            <w:vAlign w:val="bottom"/>
          </w:tcPr>
          <w:p>
            <w:pPr>
              <w:spacing w:after="0"/>
              <w:rPr>
                <w:sz w:val="20"/>
                <w:szCs w:val="20"/>
                <w:color w:val="auto"/>
              </w:rPr>
            </w:pPr>
          </w:p>
        </w:tc>
      </w:tr>
      <w:tr>
        <w:trPr>
          <w:trHeight w:val="250"/>
        </w:trPr>
        <w:tc>
          <w:tcPr>
            <w:tcW w:w="39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Restructuring costs, net</w:t>
            </w: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Borders>
              <w:right w:val="single" w:sz="8" w:color="CCECFF"/>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CFF"/>
          </w:tcPr>
          <w:p>
            <w:pPr>
              <w:spacing w:after="0"/>
              <w:rPr>
                <w:sz w:val="21"/>
                <w:szCs w:val="21"/>
                <w:color w:val="auto"/>
              </w:rPr>
            </w:pPr>
          </w:p>
        </w:tc>
      </w:tr>
      <w:tr>
        <w:trPr>
          <w:trHeight w:val="237"/>
        </w:trPr>
        <w:tc>
          <w:tcPr>
            <w:tcW w:w="398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20"/>
                <w:szCs w:val="20"/>
                <w:color w:val="auto"/>
              </w:rPr>
            </w:pPr>
          </w:p>
        </w:tc>
      </w:tr>
      <w:tr>
        <w:trPr>
          <w:trHeight w:val="249"/>
        </w:trPr>
        <w:tc>
          <w:tcPr>
            <w:tcW w:w="39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1020" w:type="dxa"/>
            <w:vAlign w:val="bottom"/>
            <w:tcBorders>
              <w:right w:val="single" w:sz="8" w:color="CCECFF"/>
            </w:tcBorders>
            <w:gridSpan w:val="2"/>
            <w:shd w:val="clear" w:color="auto" w:fill="CCECFF"/>
          </w:tcPr>
          <w:p>
            <w:pPr>
              <w:jc w:val="right"/>
              <w:ind w:right="2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1,119.6</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1,119.6</w:t>
            </w:r>
          </w:p>
        </w:tc>
        <w:tc>
          <w:tcPr>
            <w:tcW w:w="140" w:type="dxa"/>
            <w:vAlign w:val="bottom"/>
            <w:shd w:val="clear" w:color="auto" w:fill="CCECFF"/>
          </w:tcPr>
          <w:p>
            <w:pPr>
              <w:spacing w:after="0"/>
              <w:rPr>
                <w:sz w:val="21"/>
                <w:szCs w:val="21"/>
                <w:color w:val="auto"/>
              </w:rPr>
            </w:pPr>
          </w:p>
        </w:tc>
      </w:tr>
      <w:tr>
        <w:trPr>
          <w:trHeight w:val="193"/>
        </w:trPr>
        <w:tc>
          <w:tcPr>
            <w:tcW w:w="3980" w:type="dxa"/>
            <w:vAlign w:val="bottom"/>
          </w:tcPr>
          <w:p>
            <w:pPr>
              <w:ind w:left="200"/>
              <w:spacing w:after="0" w:line="193" w:lineRule="exact"/>
              <w:rPr>
                <w:sz w:val="20"/>
                <w:szCs w:val="20"/>
                <w:color w:val="auto"/>
              </w:rPr>
            </w:pPr>
            <w:r>
              <w:rPr>
                <w:rFonts w:ascii="Arial" w:cs="Arial" w:eastAsia="Arial" w:hAnsi="Arial"/>
                <w:sz w:val="18"/>
                <w:szCs w:val="18"/>
                <w:color w:val="auto"/>
              </w:rPr>
              <w:t>Transaction, transformation and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66"/>
        </w:trPr>
        <w:tc>
          <w:tcPr>
            <w:tcW w:w="3980" w:type="dxa"/>
            <w:vAlign w:val="bottom"/>
          </w:tcPr>
          <w:p>
            <w:pPr>
              <w:ind w:left="340"/>
              <w:spacing w:after="0" w:line="266" w:lineRule="exact"/>
              <w:rPr>
                <w:sz w:val="20"/>
                <w:szCs w:val="20"/>
                <w:color w:val="auto"/>
              </w:rPr>
            </w:pPr>
            <w:r>
              <w:rPr>
                <w:rFonts w:ascii="Arial" w:cs="Arial" w:eastAsia="Arial" w:hAnsi="Arial"/>
                <w:sz w:val="18"/>
                <w:szCs w:val="18"/>
                <w:color w:val="auto"/>
              </w:rPr>
              <w:t xml:space="preserve">integration costs </w:t>
            </w:r>
            <w:r>
              <w:rPr>
                <w:rFonts w:ascii="Arial" w:cs="Arial" w:eastAsia="Arial" w:hAnsi="Arial"/>
                <w:sz w:val="24"/>
                <w:szCs w:val="24"/>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3"/>
                <w:szCs w:val="23"/>
                <w:color w:val="auto"/>
              </w:rPr>
            </w:pPr>
          </w:p>
        </w:tc>
      </w:tr>
      <w:tr>
        <w:trPr>
          <w:trHeight w:val="243"/>
        </w:trPr>
        <w:tc>
          <w:tcPr>
            <w:tcW w:w="39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 xml:space="preserve">Acquisition accounting adjustments </w:t>
            </w:r>
            <w:r>
              <w:rPr>
                <w:rFonts w:ascii="Arial" w:cs="Arial" w:eastAsia="Arial" w:hAnsi="Arial"/>
                <w:sz w:val="21"/>
                <w:szCs w:val="21"/>
                <w:color w:val="auto"/>
                <w:vertAlign w:val="superscript"/>
              </w:rPr>
              <w:t>(2)</w:t>
            </w: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CCECFF"/>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CFF"/>
          </w:tcPr>
          <w:p>
            <w:pPr>
              <w:spacing w:after="0"/>
              <w:rPr>
                <w:sz w:val="21"/>
                <w:szCs w:val="21"/>
                <w:color w:val="auto"/>
              </w:rPr>
            </w:pPr>
          </w:p>
        </w:tc>
      </w:tr>
      <w:tr>
        <w:trPr>
          <w:trHeight w:val="237"/>
        </w:trPr>
        <w:tc>
          <w:tcPr>
            <w:tcW w:w="398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r>
      <w:tr>
        <w:trPr>
          <w:trHeight w:val="221"/>
        </w:trPr>
        <w:tc>
          <w:tcPr>
            <w:tcW w:w="39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Reserve (recovery) of Russian accounts</w:t>
            </w:r>
          </w:p>
        </w:tc>
        <w:tc>
          <w:tcPr>
            <w:tcW w:w="2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40" w:type="dxa"/>
            <w:vAlign w:val="bottom"/>
            <w:shd w:val="clear" w:color="auto" w:fill="CCECFF"/>
          </w:tcPr>
          <w:p>
            <w:pPr>
              <w:spacing w:after="0"/>
              <w:rPr>
                <w:sz w:val="19"/>
                <w:szCs w:val="19"/>
                <w:color w:val="auto"/>
              </w:rPr>
            </w:pPr>
          </w:p>
        </w:tc>
        <w:tc>
          <w:tcPr>
            <w:tcW w:w="280" w:type="dxa"/>
            <w:vAlign w:val="bottom"/>
            <w:tcBorders>
              <w:right w:val="single" w:sz="8" w:color="CCECFF"/>
            </w:tcBorders>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44"/>
        </w:trPr>
        <w:tc>
          <w:tcPr>
            <w:tcW w:w="3980" w:type="dxa"/>
            <w:vAlign w:val="bottom"/>
            <w:shd w:val="clear" w:color="auto" w:fill="CCECFF"/>
          </w:tcPr>
          <w:p>
            <w:pPr>
              <w:ind w:left="340"/>
              <w:spacing w:after="0"/>
              <w:rPr>
                <w:sz w:val="20"/>
                <w:szCs w:val="20"/>
                <w:color w:val="auto"/>
              </w:rPr>
            </w:pPr>
            <w:r>
              <w:rPr>
                <w:rFonts w:ascii="Arial" w:cs="Arial" w:eastAsia="Arial" w:hAnsi="Arial"/>
                <w:sz w:val="18"/>
                <w:szCs w:val="18"/>
                <w:color w:val="auto"/>
              </w:rPr>
              <w:t>receivable</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(2.0 )</w:t>
            </w:r>
          </w:p>
        </w:tc>
        <w:tc>
          <w:tcPr>
            <w:tcW w:w="2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(1.7 )</w:t>
            </w:r>
          </w:p>
        </w:tc>
        <w:tc>
          <w:tcPr>
            <w:tcW w:w="220" w:type="dxa"/>
            <w:vAlign w:val="bottom"/>
            <w:shd w:val="clear" w:color="auto" w:fill="CCECFF"/>
          </w:tcPr>
          <w:p>
            <w:pPr>
              <w:spacing w:after="0"/>
              <w:rPr>
                <w:sz w:val="21"/>
                <w:szCs w:val="21"/>
                <w:color w:val="auto"/>
              </w:rPr>
            </w:pPr>
          </w:p>
        </w:tc>
        <w:tc>
          <w:tcPr>
            <w:tcW w:w="1020" w:type="dxa"/>
            <w:vAlign w:val="bottom"/>
            <w:tcBorders>
              <w:right w:val="single" w:sz="8" w:color="CCECFF"/>
            </w:tcBorders>
            <w:gridSpan w:val="2"/>
            <w:shd w:val="clear" w:color="auto" w:fill="CCECFF"/>
          </w:tcPr>
          <w:p>
            <w:pPr>
              <w:jc w:val="right"/>
              <w:ind w:right="128"/>
              <w:spacing w:after="0"/>
              <w:rPr>
                <w:sz w:val="20"/>
                <w:szCs w:val="20"/>
                <w:color w:val="auto"/>
              </w:rPr>
            </w:pPr>
            <w:r>
              <w:rPr>
                <w:rFonts w:ascii="Arial" w:cs="Arial" w:eastAsia="Arial" w:hAnsi="Arial"/>
                <w:sz w:val="18"/>
                <w:szCs w:val="18"/>
                <w:color w:val="auto"/>
              </w:rPr>
              <w:t>(2.0 )</w:t>
            </w:r>
          </w:p>
        </w:tc>
        <w:tc>
          <w:tcPr>
            <w:tcW w:w="2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(3.1 )</w:t>
            </w:r>
          </w:p>
        </w:tc>
      </w:tr>
      <w:tr>
        <w:trPr>
          <w:trHeight w:val="243"/>
        </w:trPr>
        <w:tc>
          <w:tcPr>
            <w:tcW w:w="398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Cyber incident costs </w:t>
            </w:r>
            <w:r>
              <w:rPr>
                <w:rFonts w:ascii="Arial" w:cs="Arial" w:eastAsia="Arial" w:hAnsi="Arial"/>
                <w:sz w:val="24"/>
                <w:szCs w:val="24"/>
                <w:color w:val="auto"/>
                <w:vertAlign w:val="superscript"/>
              </w:rPr>
              <w:t>(3)</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r>
      <w:tr>
        <w:trPr>
          <w:trHeight w:val="243"/>
        </w:trPr>
        <w:tc>
          <w:tcPr>
            <w:tcW w:w="39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CECFF"/>
              <w:right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63.7</w:t>
            </w:r>
          </w:p>
        </w:tc>
        <w:tc>
          <w:tcPr>
            <w:tcW w:w="4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127.2</w:t>
            </w:r>
          </w:p>
        </w:tc>
        <w:tc>
          <w:tcPr>
            <w:tcW w:w="28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6"/>
        </w:trPr>
        <w:tc>
          <w:tcPr>
            <w:tcW w:w="3980" w:type="dxa"/>
            <w:vAlign w:val="bottom"/>
          </w:tcPr>
          <w:p>
            <w:pPr>
              <w:ind w:left="20"/>
              <w:spacing w:after="0"/>
              <w:rPr>
                <w:sz w:val="20"/>
                <w:szCs w:val="20"/>
                <w:color w:val="auto"/>
              </w:rPr>
            </w:pPr>
            <w:r>
              <w:rPr>
                <w:rFonts w:ascii="Arial" w:cs="Arial" w:eastAsia="Arial" w:hAnsi="Arial"/>
                <w:sz w:val="18"/>
                <w:szCs w:val="18"/>
                <w:color w:val="auto"/>
              </w:rPr>
              <w:t>Non-GAAP adjusted 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4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1,276.7</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1,295.3</w:t>
            </w:r>
          </w:p>
        </w:tc>
        <w:tc>
          <w:tcPr>
            <w:tcW w:w="14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-2459355</wp:posOffset>
            </wp:positionV>
            <wp:extent cx="85725"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-2459355</wp:posOffset>
            </wp:positionV>
            <wp:extent cx="77470"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-2459355</wp:posOffset>
            </wp:positionV>
            <wp:extent cx="85725"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-2459355</wp:posOffset>
            </wp:positionV>
            <wp:extent cx="85725"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-2459355</wp:posOffset>
            </wp:positionV>
            <wp:extent cx="85725"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-2459355</wp:posOffset>
            </wp:positionV>
            <wp:extent cx="85725"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-187960</wp:posOffset>
            </wp:positionV>
            <wp:extent cx="85725"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7747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8572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8572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40" w:lineRule="exact"/>
        <w:rPr>
          <w:sz w:val="20"/>
          <w:szCs w:val="20"/>
          <w:color w:val="auto"/>
        </w:rPr>
      </w:pPr>
    </w:p>
    <w:p>
      <w:pPr>
        <w:ind w:left="520" w:right="8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In 2023, primarily reflects transaction costs related to certain CommScope NEXT initiatives. In 2022, primarily reflects transformation costs related to CommScope NEXT and integration costs related to the ARRIS acquisition.</w:t>
      </w:r>
    </w:p>
    <w:p>
      <w:pPr>
        <w:spacing w:after="0" w:line="43"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In 2023 and 2022, reflects ARRIS acquisition accounting adjustments related to reducing deferred revenue to its estimated fair value.</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In 2023, primarily reflects costs of the identification, investigation, defense and recovery efforts related to a cyber incident that occurred in late Q1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Reconciliation of Segment Adjusted EBITDA</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Segment adjusted EBITDA is provided as a performance measure in Note 7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(loss) in Note 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Connectivity and Cable Solutions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60" w:type="dxa"/>
            <w:vAlign w:val="bottom"/>
            <w:gridSpan w:val="6"/>
          </w:tcPr>
          <w:p>
            <w:pPr>
              <w:jc w:val="center"/>
              <w:ind w:right="308"/>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96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millions)</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w:t>
            </w:r>
          </w:p>
        </w:tc>
        <w:tc>
          <w:tcPr>
            <w:tcW w:w="2240" w:type="dxa"/>
            <w:vAlign w:val="bottom"/>
            <w:gridSpan w:val="2"/>
            <w:shd w:val="clear" w:color="auto" w:fill="CCECFF"/>
          </w:tcPr>
          <w:p>
            <w:pPr>
              <w:jc w:val="right"/>
              <w:ind w:right="44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5"/>
              </w:rPr>
              <w:t>28.9</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111.7</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152.9</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62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5"/>
              </w:rPr>
              <w:t>18.9</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37.9</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Restructuring costs (credits), net</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162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162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Reserve (recovery) of Russian accounts receivable</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(2.0 )</w:t>
            </w:r>
          </w:p>
        </w:tc>
        <w:tc>
          <w:tcPr>
            <w:tcW w:w="220" w:type="dxa"/>
            <w:vAlign w:val="bottom"/>
          </w:tcPr>
          <w:p>
            <w:pPr>
              <w:spacing w:after="0"/>
              <w:rPr>
                <w:sz w:val="20"/>
                <w:szCs w:val="20"/>
                <w:color w:val="auto"/>
              </w:rPr>
            </w:pP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rPr>
              <w:t>(1.2 )</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Cyber incident costs</w:t>
            </w:r>
          </w:p>
        </w:tc>
        <w:tc>
          <w:tcPr>
            <w:tcW w:w="162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6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15.1</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Adjusted EBITDA</w:t>
            </w:r>
          </w:p>
        </w:tc>
        <w:tc>
          <w:tcPr>
            <w:tcW w:w="1620" w:type="dxa"/>
            <w:vAlign w:val="bottom"/>
            <w:tcBorders>
              <w:bottom w:val="single" w:sz="8" w:color="CCECFF"/>
            </w:tcBorders>
            <w:shd w:val="clear" w:color="auto" w:fill="CCECFF"/>
          </w:tcPr>
          <w:p>
            <w:pPr>
              <w:spacing w:after="0"/>
              <w:rPr>
                <w:sz w:val="24"/>
                <w:szCs w:val="24"/>
                <w:color w:val="auto"/>
              </w:rPr>
            </w:pPr>
          </w:p>
        </w:tc>
        <w:tc>
          <w:tcPr>
            <w:tcW w:w="620" w:type="dxa"/>
            <w:vAlign w:val="bottom"/>
            <w:tcBorders>
              <w:bottom w:val="single" w:sz="8" w:color="auto"/>
            </w:tcBorders>
            <w:shd w:val="clear" w:color="auto" w:fill="CCECFF"/>
          </w:tcPr>
          <w:p>
            <w:pPr>
              <w:jc w:val="right"/>
              <w:ind w:right="44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5"/>
              </w:rPr>
              <w:t>79.6</w:t>
            </w:r>
          </w:p>
        </w:tc>
        <w:tc>
          <w:tcPr>
            <w:tcW w:w="3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169.0</w:t>
            </w:r>
          </w:p>
        </w:tc>
        <w:tc>
          <w:tcPr>
            <w:tcW w:w="34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227.2</w:t>
            </w:r>
          </w:p>
        </w:tc>
        <w:tc>
          <w:tcPr>
            <w:tcW w:w="3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267.5</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Outdoor Wireless Networks Segment</w:t>
            </w: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60" w:type="dxa"/>
            <w:vAlign w:val="bottom"/>
            <w:gridSpan w:val="6"/>
          </w:tcPr>
          <w:p>
            <w:pPr>
              <w:jc w:val="center"/>
              <w:ind w:right="308"/>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196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millions)</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w:t>
            </w:r>
          </w:p>
        </w:tc>
        <w:tc>
          <w:tcPr>
            <w:tcW w:w="2240" w:type="dxa"/>
            <w:vAlign w:val="bottom"/>
            <w:gridSpan w:val="2"/>
            <w:shd w:val="clear" w:color="auto" w:fill="CCECFF"/>
          </w:tcPr>
          <w:p>
            <w:pPr>
              <w:jc w:val="right"/>
              <w:ind w:right="44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5"/>
              </w:rPr>
              <w:t>27.4</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76.6</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62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Restructuring costs, net</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162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Recovery of Russian accounts receivable</w:t>
            </w:r>
          </w:p>
        </w:tc>
        <w:tc>
          <w:tcPr>
            <w:tcW w:w="162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188"/>
              <w:spacing w:after="0"/>
              <w:rPr>
                <w:sz w:val="20"/>
                <w:szCs w:val="20"/>
                <w:color w:val="auto"/>
              </w:rPr>
            </w:pPr>
            <w:r>
              <w:rPr>
                <w:rFonts w:ascii="Arial" w:cs="Arial" w:eastAsia="Arial" w:hAnsi="Arial"/>
                <w:sz w:val="18"/>
                <w:szCs w:val="18"/>
                <w:color w:val="auto"/>
              </w:rPr>
              <w:t>(0.1 )</w:t>
            </w: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Cyber incident costs</w:t>
            </w: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1620" w:type="dxa"/>
            <w:vAlign w:val="bottom"/>
            <w:tcBorders>
              <w:bottom w:val="single" w:sz="8" w:color="CCECFF"/>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4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41.7</w:t>
            </w:r>
          </w:p>
        </w:tc>
        <w:tc>
          <w:tcPr>
            <w:tcW w:w="3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c>
          <w:tcPr>
            <w:tcW w:w="3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20" w:type="dxa"/>
            <w:vAlign w:val="bottom"/>
            <w:vMerge w:val="restart"/>
          </w:tcPr>
          <w:p>
            <w:pPr>
              <w:jc w:val="right"/>
              <w:ind w:right="490"/>
              <w:spacing w:after="0"/>
              <w:rPr>
                <w:sz w:val="20"/>
                <w:szCs w:val="20"/>
                <w:color w:val="auto"/>
              </w:rPr>
            </w:pPr>
            <w:r>
              <w:rPr>
                <w:rFonts w:ascii="Arial" w:cs="Arial" w:eastAsia="Arial" w:hAnsi="Arial"/>
                <w:sz w:val="18"/>
                <w:szCs w:val="18"/>
                <w:color w:val="auto"/>
              </w:rPr>
              <w:t>37</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-3300095</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-3282950</wp:posOffset>
            </wp:positionV>
            <wp:extent cx="85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-3300095</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-3282950</wp:posOffset>
            </wp:positionV>
            <wp:extent cx="857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-3300095</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-3282950</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-3300095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-3282950</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-959485</wp:posOffset>
            </wp:positionV>
            <wp:extent cx="85725"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-959485</wp:posOffset>
            </wp:positionV>
            <wp:extent cx="85725"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-959485</wp:posOffset>
            </wp:positionV>
            <wp:extent cx="8572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-959485</wp:posOffset>
            </wp:positionV>
            <wp:extent cx="8572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Networking Intelligent Cellular and Security Solutions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524"/>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0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184"/>
              <w:spacing w:after="0"/>
              <w:rPr>
                <w:sz w:val="20"/>
                <w:szCs w:val="20"/>
                <w:color w:val="auto"/>
              </w:rPr>
            </w:pPr>
            <w:r>
              <w:rPr>
                <w:rFonts w:ascii="Arial" w:cs="Arial" w:eastAsia="Arial" w:hAnsi="Arial"/>
                <w:sz w:val="18"/>
                <w:szCs w:val="18"/>
                <w:color w:val="auto"/>
              </w:rPr>
              <w:t>(43.7 )</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79.6</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(86.7 )</w:t>
            </w:r>
          </w:p>
        </w:tc>
        <w:tc>
          <w:tcPr>
            <w:tcW w:w="0" w:type="dxa"/>
            <w:vAlign w:val="bottom"/>
          </w:tcPr>
          <w:p>
            <w:pPr>
              <w:spacing w:after="0"/>
              <w:rPr>
                <w:sz w:val="1"/>
                <w:szCs w:val="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Restructuring costs,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200" w:type="dxa"/>
            <w:vAlign w:val="bottom"/>
            <w:shd w:val="clear" w:color="auto" w:fill="CFF0FC"/>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0"/>
              <w:spacing w:after="0"/>
              <w:rPr>
                <w:sz w:val="20"/>
                <w:szCs w:val="20"/>
                <w:color w:val="auto"/>
              </w:rPr>
            </w:pPr>
            <w:r>
              <w:rPr>
                <w:rFonts w:ascii="Arial" w:cs="Arial" w:eastAsia="Arial" w:hAnsi="Arial"/>
                <w:sz w:val="18"/>
                <w:szCs w:val="18"/>
                <w:color w:val="auto"/>
              </w:rPr>
              <w:t>Reserve (recovery) of Russian accounts receivable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84"/>
              <w:spacing w:after="0"/>
              <w:rPr>
                <w:sz w:val="20"/>
                <w:szCs w:val="20"/>
                <w:color w:val="auto"/>
              </w:rPr>
            </w:pPr>
            <w:r>
              <w:rPr>
                <w:rFonts w:ascii="Arial" w:cs="Arial" w:eastAsia="Arial" w:hAnsi="Arial"/>
                <w:sz w:val="18"/>
                <w:szCs w:val="18"/>
                <w:color w:val="auto"/>
              </w:rPr>
              <w:t>(0.3 )</w:t>
            </w:r>
          </w:p>
        </w:tc>
        <w:tc>
          <w:tcPr>
            <w:tcW w:w="280" w:type="dxa"/>
            <w:vAlign w:val="bottom"/>
          </w:tcPr>
          <w:p>
            <w:pPr>
              <w:spacing w:after="0"/>
              <w:rPr>
                <w:sz w:val="20"/>
                <w:szCs w:val="20"/>
                <w:color w:val="auto"/>
              </w:rPr>
            </w:pPr>
          </w:p>
        </w:tc>
        <w:tc>
          <w:tcPr>
            <w:tcW w:w="10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Cyber incident costs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6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74.9</w:t>
            </w:r>
          </w:p>
        </w:tc>
        <w:tc>
          <w:tcPr>
            <w:tcW w:w="3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132.9</w:t>
            </w:r>
          </w:p>
        </w:tc>
        <w:tc>
          <w:tcPr>
            <w:tcW w:w="34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21"/>
        </w:trPr>
        <w:tc>
          <w:tcPr>
            <w:tcW w:w="6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Access Network Solutions Segment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524"/>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210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184"/>
              <w:spacing w:after="0"/>
              <w:rPr>
                <w:sz w:val="20"/>
                <w:szCs w:val="20"/>
                <w:color w:val="auto"/>
              </w:rPr>
            </w:pPr>
            <w:r>
              <w:rPr>
                <w:rFonts w:ascii="Arial" w:cs="Arial" w:eastAsia="Arial" w:hAnsi="Arial"/>
                <w:sz w:val="18"/>
                <w:szCs w:val="18"/>
                <w:color w:val="auto"/>
              </w:rPr>
              <w:t>(25.7 )</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(12.9 )</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62.0</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99.1</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Restructuring costs,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Cyber incident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CFF"/>
            </w:tcBorders>
            <w:gridSpan w:val="2"/>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Home Networks Segment</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524"/>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210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(37.8 )</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184"/>
              <w:spacing w:after="0"/>
              <w:rPr>
                <w:sz w:val="20"/>
                <w:szCs w:val="20"/>
                <w:color w:val="auto"/>
              </w:rPr>
            </w:pPr>
            <w:r>
              <w:rPr>
                <w:rFonts w:ascii="Arial" w:cs="Arial" w:eastAsia="Arial" w:hAnsi="Arial"/>
                <w:sz w:val="18"/>
                <w:szCs w:val="18"/>
                <w:color w:val="auto"/>
              </w:rPr>
              <w:t>(22.7 )</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(71.5 )</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Restructuring costs,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220" w:type="dxa"/>
            <w:vAlign w:val="bottom"/>
          </w:tcPr>
          <w:p>
            <w:pPr>
              <w:spacing w:after="0"/>
              <w:rPr>
                <w:sz w:val="20"/>
                <w:szCs w:val="20"/>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(11.0 )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Cyber incident costs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6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-5177155</wp:posOffset>
            </wp:positionV>
            <wp:extent cx="85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-5160010</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-5177155</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-5160010</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-5177155</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-5160010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-5177155</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-5160010</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-2837180</wp:posOffset>
            </wp:positionV>
            <wp:extent cx="85725"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-2837180</wp:posOffset>
            </wp:positionV>
            <wp:extent cx="85725"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-2837180</wp:posOffset>
            </wp:positionV>
            <wp:extent cx="85725"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-2837180</wp:posOffset>
            </wp:positionV>
            <wp:extent cx="8572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857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857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857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857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Note: Components may not sum to total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Quarterly Report on Form 10-Q or any other oral or written statements made by us or on our behalf may include forward-looking statements that reflect our current views with respect to future events and financial performance. These statements may discuss goals, targets,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6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substantial indebtedness and restrictive debt covenants; our ability to incur additional indebtedness and increases in interest rates; our ability to generate cash to service our indebtedness; the potential separation, divestiture or discontinuance of a business or product line,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United States affecting trade, including the risk and uncertainty related to tariffs or potential trade wars and potential changes to laws and policies, that may impact our products; cost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These and other factors are discussed in greater detail in our 2022 Annual Report on Form 10-K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report, except as otherwise may be required by law.</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in the interest rate risk, commodity price risk or foreign currency exchange rate risk information previously reported under Item 7A of our 2022 Annual Report, as filed with the SEC on February 23, 2023.</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Reference should be made to our 2022 Annual Report for additional information regarding discussion of the effectiveness of the Company’s controls and procedures. There have been no changes in our internal control over financial reporting during the quarter ended June 30, 2023 that have materially affected, or are reasonably likely to materially affect, our internal control over financial reporting.</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defend and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9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 is also either a plaintiff or a defendant in certain other pending legal matters in the normal course of business. Management believes that, upon final disposition, none of these other pending legal matters will have a material adverse effect on the Company’s business or financial condition.</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212529"/>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Item 1A, "Risk Factors" of our 2022 Annual Report.</w:t>
      </w:r>
    </w:p>
    <w:p>
      <w:pPr>
        <w:spacing w:after="0" w:line="288"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purchase activity for the three months ended June 30,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4"/>
                <w:szCs w:val="14"/>
                <w:color w:val="auto"/>
              </w:rPr>
            </w:pPr>
          </w:p>
        </w:tc>
        <w:tc>
          <w:tcPr>
            <w:tcW w:w="7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3"/>
              </w:rPr>
              <w:t>Maximum Value of Shares that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3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Paid</w:t>
            </w:r>
          </w:p>
        </w:tc>
        <w:tc>
          <w:tcPr>
            <w:tcW w:w="300" w:type="dxa"/>
            <w:vAlign w:val="bottom"/>
          </w:tcPr>
          <w:p>
            <w:pPr>
              <w:spacing w:after="0"/>
              <w:rPr>
                <w:sz w:val="7"/>
                <w:szCs w:val="7"/>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360" w:type="dxa"/>
            <w:vAlign w:val="bottom"/>
          </w:tcPr>
          <w:p>
            <w:pPr>
              <w:spacing w:after="0"/>
              <w:rPr>
                <w:sz w:val="7"/>
                <w:szCs w:val="7"/>
                <w:color w:val="auto"/>
              </w:rPr>
            </w:pPr>
          </w:p>
        </w:tc>
        <w:tc>
          <w:tcPr>
            <w:tcW w:w="21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May Yet be Purchased Under the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5"/>
                <w:szCs w:val="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 xml:space="preserve">Purchased </w:t>
            </w:r>
            <w:r>
              <w:rPr>
                <w:rFonts w:ascii="Arial" w:cs="Arial" w:eastAsia="Arial" w:hAnsi="Arial"/>
                <w:sz w:val="21"/>
                <w:szCs w:val="21"/>
                <w:b w:val="1"/>
                <w:bCs w:val="1"/>
                <w:color w:val="auto"/>
                <w:w w:val="86"/>
                <w:vertAlign w:val="superscript"/>
              </w:rPr>
              <w:t>(1)</w:t>
            </w:r>
          </w:p>
        </w:tc>
        <w:tc>
          <w:tcPr>
            <w:tcW w:w="3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Plans or Programs</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April 1, 2023 - April 30, 2023</w:t>
            </w:r>
          </w:p>
        </w:tc>
        <w:tc>
          <w:tcPr>
            <w:tcW w:w="160" w:type="dxa"/>
            <w:vAlign w:val="bottom"/>
            <w:shd w:val="clear" w:color="auto" w:fill="CCECFF"/>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2,175</w:t>
            </w:r>
          </w:p>
        </w:tc>
        <w:tc>
          <w:tcPr>
            <w:tcW w:w="340" w:type="dxa"/>
            <w:vAlign w:val="bottom"/>
            <w:shd w:val="clear" w:color="auto" w:fill="CCECFF"/>
          </w:tcPr>
          <w:p>
            <w:pPr>
              <w:spacing w:after="0"/>
              <w:rPr>
                <w:sz w:val="20"/>
                <w:szCs w:val="20"/>
                <w:color w:val="auto"/>
              </w:rPr>
            </w:pPr>
          </w:p>
        </w:tc>
        <w:tc>
          <w:tcPr>
            <w:tcW w:w="26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6.30</w:t>
            </w:r>
          </w:p>
        </w:tc>
        <w:tc>
          <w:tcPr>
            <w:tcW w:w="300" w:type="dxa"/>
            <w:vAlign w:val="bottom"/>
            <w:shd w:val="clear" w:color="auto" w:fill="CCECFF"/>
          </w:tcPr>
          <w:p>
            <w:pPr>
              <w:spacing w:after="0"/>
              <w:rPr>
                <w:sz w:val="20"/>
                <w:szCs w:val="20"/>
                <w:color w:val="auto"/>
              </w:rPr>
            </w:pPr>
          </w:p>
        </w:tc>
        <w:tc>
          <w:tcPr>
            <w:tcW w:w="1940" w:type="dxa"/>
            <w:vAlign w:val="bottom"/>
            <w:shd w:val="clear" w:color="auto" w:fill="CCECFF"/>
          </w:tcPr>
          <w:p>
            <w:pPr>
              <w:ind w:left="176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CFF"/>
          </w:tcPr>
          <w:p>
            <w:pPr>
              <w:spacing w:after="0"/>
              <w:rPr>
                <w:sz w:val="20"/>
                <w:szCs w:val="20"/>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CFF"/>
          </w:tcPr>
          <w:p>
            <w:pPr>
              <w:ind w:left="18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6,094</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20"/>
                <w:szCs w:val="20"/>
                <w:color w:val="auto"/>
              </w:rPr>
            </w:pPr>
          </w:p>
        </w:tc>
        <w:tc>
          <w:tcPr>
            <w:tcW w:w="1940" w:type="dxa"/>
            <w:vAlign w:val="bottom"/>
          </w:tcPr>
          <w:p>
            <w:pPr>
              <w:ind w:left="17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ind w:left="18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June 1, 2023 - June 30, 2023</w:t>
            </w:r>
          </w:p>
        </w:tc>
        <w:tc>
          <w:tcPr>
            <w:tcW w:w="160" w:type="dxa"/>
            <w:vAlign w:val="bottom"/>
            <w:tcBorders>
              <w:bottom w:val="single" w:sz="8" w:color="CCECFF"/>
            </w:tcBorders>
            <w:shd w:val="clear" w:color="auto" w:fill="CCECFF"/>
          </w:tcPr>
          <w:p>
            <w:pPr>
              <w:spacing w:after="0"/>
              <w:rPr>
                <w:sz w:val="21"/>
                <w:szCs w:val="21"/>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907,127</w:t>
            </w:r>
          </w:p>
        </w:tc>
        <w:tc>
          <w:tcPr>
            <w:tcW w:w="600" w:type="dxa"/>
            <w:vAlign w:val="bottom"/>
            <w:tcBorders>
              <w:bottom w:val="single" w:sz="8" w:color="CCECFF"/>
            </w:tcBorders>
            <w:gridSpan w:val="2"/>
            <w:shd w:val="clear" w:color="auto" w:fill="CCEC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Borders>
              <w:bottom w:val="single" w:sz="8" w:color="CCECFF"/>
            </w:tcBorders>
            <w:shd w:val="clear" w:color="auto" w:fill="CCECFF"/>
          </w:tcPr>
          <w:p>
            <w:pPr>
              <w:spacing w:after="0"/>
              <w:rPr>
                <w:sz w:val="21"/>
                <w:szCs w:val="21"/>
                <w:color w:val="auto"/>
              </w:rPr>
            </w:pPr>
          </w:p>
        </w:tc>
        <w:tc>
          <w:tcPr>
            <w:tcW w:w="1940" w:type="dxa"/>
            <w:vAlign w:val="bottom"/>
            <w:tcBorders>
              <w:bottom w:val="single" w:sz="8" w:color="auto"/>
            </w:tcBorders>
            <w:shd w:val="clear" w:color="auto" w:fill="CCECFF"/>
          </w:tcPr>
          <w:p>
            <w:pPr>
              <w:ind w:left="176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CFF"/>
            </w:tcBorders>
            <w:shd w:val="clear" w:color="auto" w:fill="CCECFF"/>
          </w:tcPr>
          <w:p>
            <w:pPr>
              <w:ind w:left="186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915,396</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20"/>
                <w:szCs w:val="20"/>
                <w:color w:val="auto"/>
              </w:rPr>
            </w:pPr>
          </w:p>
        </w:tc>
        <w:tc>
          <w:tcPr>
            <w:tcW w:w="1940" w:type="dxa"/>
            <w:vAlign w:val="bottom"/>
          </w:tcPr>
          <w:p>
            <w:pPr>
              <w:ind w:left="17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-187960</wp:posOffset>
            </wp:positionV>
            <wp:extent cx="8572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85725"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right="220" w:firstLine="8"/>
        <w:spacing w:after="0" w:line="277" w:lineRule="auto"/>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purchased were withheld to satisfy the withholding tax obligations related to restricted stock units and performance share units that vested during the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officers and directors did not enter into, modify or terminate any Rule 10b5-1 trading arrangements or non-Rule 10b5-1 trading arrangements (each as defined in in Item 408(c) of Regulation S-K) during the quarter ended June 30, 2023.</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 **</w:t>
            </w:r>
          </w:p>
        </w:tc>
        <w:tc>
          <w:tcPr>
            <w:tcW w:w="9940" w:type="dxa"/>
            <w:vAlign w:val="bottom"/>
            <w:gridSpan w:val="5"/>
          </w:tcPr>
          <w:p>
            <w:pPr>
              <w:spacing w:after="0"/>
              <w:rPr>
                <w:sz w:val="20"/>
                <w:szCs w:val="20"/>
                <w:color w:val="auto"/>
              </w:rPr>
            </w:pPr>
            <w:r>
              <w:rPr>
                <w:rFonts w:ascii="Arial" w:cs="Arial" w:eastAsia="Arial" w:hAnsi="Arial"/>
                <w:sz w:val="18"/>
                <w:szCs w:val="18"/>
                <w:color w:val="0000FF"/>
                <w:w w:val="90"/>
              </w:rPr>
              <w:t>Amendment No. 2 to Credit Agreement, dated as of June 8, 2023, by and among CommScope, Inc., CommScope Holding Company, Inc.,</w:t>
            </w:r>
          </w:p>
        </w:tc>
      </w:tr>
      <w:tr>
        <w:trPr>
          <w:trHeight w:val="20"/>
        </w:trPr>
        <w:tc>
          <w:tcPr>
            <w:tcW w:w="1060" w:type="dxa"/>
            <w:vAlign w:val="bottom"/>
          </w:tcPr>
          <w:p>
            <w:pPr>
              <w:spacing w:after="0" w:line="20" w:lineRule="exact"/>
              <w:rPr>
                <w:sz w:val="1"/>
                <w:szCs w:val="1"/>
                <w:color w:val="auto"/>
              </w:rPr>
            </w:pPr>
          </w:p>
        </w:tc>
        <w:tc>
          <w:tcPr>
            <w:tcW w:w="510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940" w:type="dxa"/>
            <w:vAlign w:val="bottom"/>
            <w:gridSpan w:val="5"/>
          </w:tcPr>
          <w:p>
            <w:pPr>
              <w:spacing w:after="0" w:line="196" w:lineRule="exact"/>
              <w:rPr>
                <w:sz w:val="20"/>
                <w:szCs w:val="20"/>
                <w:color w:val="auto"/>
              </w:rPr>
            </w:pPr>
            <w:r>
              <w:rPr>
                <w:rFonts w:ascii="Arial" w:cs="Arial" w:eastAsia="Arial" w:hAnsi="Arial"/>
                <w:sz w:val="18"/>
                <w:szCs w:val="18"/>
                <w:color w:val="0000FF"/>
              </w:rPr>
              <w:t>the subsidiary guarantors and JPMorgan Chase Bank, N.A., as administrative agent and collateral agent.</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10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31.1 **</w:t>
            </w:r>
          </w:p>
        </w:tc>
        <w:tc>
          <w:tcPr>
            <w:tcW w:w="9940" w:type="dxa"/>
            <w:vAlign w:val="bottom"/>
            <w:gridSpan w:val="5"/>
          </w:tcPr>
          <w:p>
            <w:pPr>
              <w:spacing w:after="0"/>
              <w:rPr>
                <w:sz w:val="20"/>
                <w:szCs w:val="20"/>
                <w:color w:val="auto"/>
              </w:rPr>
            </w:pPr>
            <w:r>
              <w:rPr>
                <w:rFonts w:ascii="Arial" w:cs="Arial" w:eastAsia="Arial" w:hAnsi="Arial"/>
                <w:sz w:val="18"/>
                <w:szCs w:val="18"/>
                <w:color w:val="0000FF"/>
              </w:rPr>
              <w:t>Certification of Principal Executive Officer pursuant to Rule 13a-14(a).</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10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left w:val="single" w:sz="8" w:color="0000FF"/>
            </w:tcBorders>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Arial" w:cs="Arial" w:eastAsia="Arial" w:hAnsi="Arial"/>
                <w:sz w:val="18"/>
                <w:szCs w:val="18"/>
                <w:color w:val="auto"/>
              </w:rPr>
              <w:t>31.2 **</w:t>
            </w:r>
          </w:p>
        </w:tc>
        <w:tc>
          <w:tcPr>
            <w:tcW w:w="9940" w:type="dxa"/>
            <w:vAlign w:val="bottom"/>
            <w:gridSpan w:val="5"/>
          </w:tcPr>
          <w:p>
            <w:pPr>
              <w:spacing w:after="0"/>
              <w:rPr>
                <w:sz w:val="20"/>
                <w:szCs w:val="20"/>
                <w:color w:val="auto"/>
              </w:rPr>
            </w:pPr>
            <w:r>
              <w:rPr>
                <w:rFonts w:ascii="Arial" w:cs="Arial" w:eastAsia="Arial" w:hAnsi="Arial"/>
                <w:sz w:val="18"/>
                <w:szCs w:val="18"/>
                <w:color w:val="0000FF"/>
              </w:rPr>
              <w:t>Certification of Principal Financial Officer pursuant to Rule 13a-14(a).</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100" w:type="dxa"/>
            <w:vAlign w:val="bottom"/>
            <w:tcBorders>
              <w:right w:val="single" w:sz="8" w:color="0000EE"/>
            </w:tcBorders>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18"/>
                <w:szCs w:val="18"/>
                <w:color w:val="auto"/>
              </w:rPr>
              <w:t>32.1 **</w:t>
            </w:r>
          </w:p>
        </w:tc>
        <w:tc>
          <w:tcPr>
            <w:tcW w:w="9940" w:type="dxa"/>
            <w:vAlign w:val="bottom"/>
            <w:gridSpan w:val="5"/>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Pursuant to 18 U.S.C. Section 1350 as Adopted Pursuant to</w:t>
            </w:r>
          </w:p>
        </w:tc>
      </w:tr>
      <w:tr>
        <w:trPr>
          <w:trHeight w:val="20"/>
        </w:trPr>
        <w:tc>
          <w:tcPr>
            <w:tcW w:w="1060" w:type="dxa"/>
            <w:vAlign w:val="bottom"/>
          </w:tcPr>
          <w:p>
            <w:pPr>
              <w:spacing w:after="0" w:line="20" w:lineRule="exact"/>
              <w:rPr>
                <w:sz w:val="1"/>
                <w:szCs w:val="1"/>
                <w:color w:val="auto"/>
              </w:rPr>
            </w:pPr>
          </w:p>
        </w:tc>
        <w:tc>
          <w:tcPr>
            <w:tcW w:w="7900" w:type="dxa"/>
            <w:vAlign w:val="bottom"/>
            <w:gridSpan w:val="3"/>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940" w:type="dxa"/>
            <w:vAlign w:val="bottom"/>
            <w:gridSpan w:val="5"/>
          </w:tcPr>
          <w:p>
            <w:pPr>
              <w:spacing w:after="0" w:line="196" w:lineRule="exact"/>
              <w:rPr>
                <w:sz w:val="20"/>
                <w:szCs w:val="20"/>
                <w:color w:val="auto"/>
              </w:rPr>
            </w:pPr>
            <w:r>
              <w:rPr>
                <w:rFonts w:ascii="Arial" w:cs="Arial" w:eastAsia="Arial" w:hAnsi="Arial"/>
                <w:sz w:val="18"/>
                <w:szCs w:val="18"/>
                <w:color w:val="0000FF"/>
              </w:rPr>
              <w:t>Section 906 of the Sarbanes-Oxley Act of 2002 (furnished pursuant to Item 601(b)(32)(ii) of Regulation S-K).</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90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533"/>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5"/>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r>
      <w:tr>
        <w:trPr>
          <w:trHeight w:val="230"/>
        </w:trPr>
        <w:tc>
          <w:tcPr>
            <w:tcW w:w="1060" w:type="dxa"/>
            <w:vAlign w:val="bottom"/>
          </w:tcPr>
          <w:p>
            <w:pPr>
              <w:spacing w:after="0"/>
              <w:rPr>
                <w:sz w:val="20"/>
                <w:szCs w:val="20"/>
                <w:color w:val="auto"/>
              </w:rPr>
            </w:pPr>
          </w:p>
        </w:tc>
        <w:tc>
          <w:tcPr>
            <w:tcW w:w="994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5"/>
          </w:tcPr>
          <w:p>
            <w:pPr>
              <w:spacing w:after="0"/>
              <w:rPr>
                <w:sz w:val="20"/>
                <w:szCs w:val="20"/>
                <w:color w:val="auto"/>
              </w:rPr>
            </w:pPr>
            <w:r>
              <w:rPr>
                <w:rFonts w:ascii="Arial" w:cs="Arial" w:eastAsia="Arial" w:hAnsi="Arial"/>
                <w:sz w:val="18"/>
                <w:szCs w:val="18"/>
                <w:color w:val="auto"/>
              </w:rPr>
              <w:t>Inline XBRL Schema Document, furnished herewith.</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060" w:hanging="1039"/>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17" w:lineRule="exact"/>
        <w:rPr>
          <w:rFonts w:ascii="Arial" w:cs="Arial" w:eastAsia="Arial" w:hAnsi="Arial"/>
          <w:sz w:val="18"/>
          <w:szCs w:val="18"/>
          <w:color w:val="auto"/>
        </w:rPr>
      </w:pPr>
    </w:p>
    <w:p>
      <w:pPr>
        <w:ind w:left="1060" w:hanging="213"/>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1" w:right="5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COMMSCOPE HOLDING COMPANY, INC.</w:t>
            </w:r>
          </w:p>
        </w:tc>
      </w:tr>
      <w:tr>
        <w:trPr>
          <w:trHeight w:val="520"/>
        </w:trPr>
        <w:tc>
          <w:tcPr>
            <w:tcW w:w="6160" w:type="dxa"/>
            <w:vAlign w:val="bottom"/>
          </w:tcPr>
          <w:p>
            <w:pPr>
              <w:spacing w:after="0"/>
              <w:rPr>
                <w:sz w:val="20"/>
                <w:szCs w:val="20"/>
                <w:color w:val="auto"/>
              </w:rPr>
            </w:pPr>
            <w:r>
              <w:rPr>
                <w:rFonts w:ascii="Arial" w:cs="Arial" w:eastAsia="Arial" w:hAnsi="Arial"/>
                <w:sz w:val="18"/>
                <w:szCs w:val="18"/>
                <w:color w:val="auto"/>
              </w:rPr>
              <w:t>August 2, 2023</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Kyle D. Lorentzen</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ind w:left="20"/>
              <w:spacing w:after="0"/>
              <w:rPr>
                <w:sz w:val="20"/>
                <w:szCs w:val="20"/>
                <w:color w:val="auto"/>
              </w:rPr>
            </w:pPr>
            <w:r>
              <w:rPr>
                <w:rFonts w:ascii="Arial" w:cs="Arial" w:eastAsia="Arial" w:hAnsi="Arial"/>
                <w:sz w:val="18"/>
                <w:szCs w:val="18"/>
                <w:color w:val="auto"/>
              </w:rPr>
              <w:t>Kyle D. Lorentzen</w:t>
            </w:r>
          </w:p>
        </w:tc>
      </w:tr>
      <w:tr>
        <w:trPr>
          <w:trHeight w:val="242"/>
        </w:trPr>
        <w:tc>
          <w:tcPr>
            <w:tcW w:w="616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43"/>
        </w:trPr>
        <w:tc>
          <w:tcPr>
            <w:tcW w:w="616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2 TO CREDIT AGREEMENT</w:t>
      </w:r>
    </w:p>
    <w:p>
      <w:pPr>
        <w:spacing w:after="0" w:line="200" w:lineRule="exact"/>
        <w:rPr>
          <w:sz w:val="20"/>
          <w:szCs w:val="20"/>
          <w:color w:val="auto"/>
        </w:rPr>
      </w:pPr>
    </w:p>
    <w:p>
      <w:pPr>
        <w:spacing w:after="0" w:line="21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This AMENDMENT NO. 2 TO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June 8, 2023, to the Term Loan Credit Agreement, dated as of April 4, 2019 (as amended by Amendment Agreement as of August 11, 2021 and as further amended, restated, amended and restated, modified and/or supplemented from time to time,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Existing Credit Agreement, as amended by this Agreement,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is made by and among COMMSCOPE,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COMMSCOPE HOLDING COMPANY, INC., a Delaware corporation (“</w:t>
      </w:r>
      <w:r>
        <w:rPr>
          <w:rFonts w:ascii="Arial" w:cs="Arial" w:eastAsia="Arial" w:hAnsi="Arial"/>
          <w:sz w:val="20"/>
          <w:szCs w:val="20"/>
          <w:u w:val="single" w:color="auto"/>
          <w:color w:val="auto"/>
        </w:rPr>
        <w:t>Holdings</w:t>
      </w:r>
      <w:r>
        <w:rPr>
          <w:rFonts w:ascii="Arial" w:cs="Arial" w:eastAsia="Arial" w:hAnsi="Arial"/>
          <w:sz w:val="20"/>
          <w:szCs w:val="20"/>
          <w:color w:val="auto"/>
        </w:rPr>
        <w:t xml:space="preserve"> ”), the Subsidiary Guarantors and JPMORGAN CHASE BANK, N.A., as Administrative Agent and Collateral Agent for the Lenders (in such capacities,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Capitalized terms used but not otherwise defined herein shall have the respective meaning assigned to such terms in the Credit Agreement.</w:t>
      </w:r>
    </w:p>
    <w:p>
      <w:pPr>
        <w:spacing w:after="0" w:line="19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 xml:space="preserve">WHEREAS, the Administrative Agent has determined pursuant to </w:t>
      </w:r>
      <w:r>
        <w:rPr>
          <w:rFonts w:ascii="Arial" w:cs="Arial" w:eastAsia="Arial" w:hAnsi="Arial"/>
          <w:sz w:val="18"/>
          <w:szCs w:val="18"/>
          <w:u w:val="single" w:color="auto"/>
          <w:color w:val="auto"/>
        </w:rPr>
        <w:t>Section 3.03(b)(ii)(z)</w:t>
      </w:r>
      <w:r>
        <w:rPr>
          <w:rFonts w:ascii="Arial" w:cs="Arial" w:eastAsia="Arial" w:hAnsi="Arial"/>
          <w:sz w:val="18"/>
          <w:szCs w:val="18"/>
          <w:color w:val="auto"/>
        </w:rPr>
        <w:t xml:space="preserve"> of the Existing Credit Agreement that the supervisor for the administrator of the Screen Rate or a Governmental Authority having jurisdiction over the Administrative Agent has made a public statement identifying a specific date after which the Screen Rate may no longer be used for determining interest rates for loans;</w:t>
      </w:r>
    </w:p>
    <w:p>
      <w:pPr>
        <w:spacing w:after="0" w:line="15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WHEREAS, the Administrative Agent and the Borrower have determined in accordance with the Existing Credit Agreement to replace the Eurodollar Rate with an alternate rate of interest for all purposes under the Credit Agreement and any Loan Document and to make related amendments to the Existing Credit Agreement, which amendments shall become effective at and after 5:00 p.m. (New York City time) on the fifth (5th) Business Day after the date notice of such alternate rate of interest is provided to the Lenders (such time, the “</w:t>
      </w:r>
      <w:r>
        <w:rPr>
          <w:rFonts w:ascii="Arial" w:cs="Arial" w:eastAsia="Arial" w:hAnsi="Arial"/>
          <w:sz w:val="19"/>
          <w:szCs w:val="19"/>
          <w:u w:val="single" w:color="auto"/>
          <w:color w:val="auto"/>
        </w:rPr>
        <w:t>Objection Deadline</w:t>
      </w:r>
      <w:r>
        <w:rPr>
          <w:rFonts w:ascii="Arial" w:cs="Arial" w:eastAsia="Arial" w:hAnsi="Arial"/>
          <w:sz w:val="19"/>
          <w:szCs w:val="19"/>
          <w:color w:val="auto"/>
        </w:rPr>
        <w:t>”), so long as the Administrative Agent has not received, by such time, a written notice from the Required Lenders stating that such Required Lenders object to such amendment;</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the parties hereto, intending to be legally bound hereby, agree as follows:</w:t>
      </w:r>
    </w:p>
    <w:p>
      <w:pPr>
        <w:spacing w:after="0" w:line="166" w:lineRule="exact"/>
        <w:rPr>
          <w:sz w:val="20"/>
          <w:szCs w:val="20"/>
          <w:color w:val="auto"/>
        </w:rPr>
      </w:pPr>
    </w:p>
    <w:p>
      <w:pPr>
        <w:ind w:left="1500"/>
        <w:spacing w:after="0"/>
        <w:tabs>
          <w:tab w:leader="none" w:pos="30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6"/>
          <w:szCs w:val="16"/>
          <w:b w:val="1"/>
          <w:bCs w:val="1"/>
          <w:u w:val="single" w:color="auto"/>
          <w:color w:val="auto"/>
        </w:rPr>
        <w:t>Amendments to Credit Agreement</w:t>
      </w:r>
      <w:r>
        <w:rPr>
          <w:rFonts w:ascii="Arial" w:cs="Arial" w:eastAsia="Arial" w:hAnsi="Arial"/>
          <w:sz w:val="16"/>
          <w:szCs w:val="16"/>
          <w:color w:val="auto"/>
        </w:rPr>
        <w:t>.</w:t>
      </w:r>
    </w:p>
    <w:p>
      <w:pPr>
        <w:spacing w:after="0" w:line="217" w:lineRule="exact"/>
        <w:rPr>
          <w:sz w:val="20"/>
          <w:szCs w:val="20"/>
          <w:color w:val="auto"/>
        </w:rPr>
      </w:pPr>
    </w:p>
    <w:p>
      <w:pPr>
        <w:jc w:val="both"/>
        <w:ind w:firstLine="1505"/>
        <w:spacing w:after="0" w:line="244" w:lineRule="auto"/>
        <w:tabs>
          <w:tab w:leader="none" w:pos="2011"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(i) The Existing Credit Agreement is, effective as of the Amendment No. 2 Effective Date (as defined below),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Credit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and (ii) Exhibit A of the Existing Credit Agreement is amended and restated in its entirety in the form attached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9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To the extent any Initial Term Loan bearing interest at the Eurodollar Rate (as defined in the Existing Credit Agreement) is outstanding on the Amendment No. 2 Effective Date, such Initial Term Loan shall continue to bear interest at the Eurodollar Rate applicable to such Initial Term Loan until the end of the Interest Period applicable to such Initial Term Loan. The provisions of the Existing Credit Agreement governing the Eurodollar Rate Loans shall continue to apply to any such Initial Term Loans until the end of the Interest Period applicable to such Initial Term Loans.</w:t>
      </w:r>
    </w:p>
    <w:p>
      <w:pPr>
        <w:spacing w:after="0" w:line="184" w:lineRule="exact"/>
        <w:rPr>
          <w:sz w:val="20"/>
          <w:szCs w:val="20"/>
          <w:color w:val="auto"/>
        </w:rPr>
      </w:pPr>
    </w:p>
    <w:p>
      <w:pPr>
        <w:ind w:left="1500"/>
        <w:spacing w:after="0"/>
        <w:tabs>
          <w:tab w:leader="none" w:pos="3080" w:val="left"/>
          <w:tab w:leader="none" w:pos="61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In order to induce the Administrative Agent to enter into this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Agreement, each Loan Party hereby represents and warrants to the Lenders and the Administrative Agent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both"/>
        <w:ind w:firstLine="1505"/>
        <w:spacing w:after="0" w:line="255" w:lineRule="auto"/>
        <w:tabs>
          <w:tab w:leader="none" w:pos="1995"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On and as of the Amendment No. 2 Effective Date, each of the representations and warranties made by any Loan Party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of the Credit Agreement or in any other Loan Document shall be true and correct in all material respects (provided that, any representation and warranty that is qualified by “materiality,” “material adverse effect” or similar language shall be true and correct in all respects (after giving effect to any such qualification therein)) on and as of the Amendment No. 2 Effective Date with the same effect as though made on and as of such date, except to the extent such representations and warranties expressly relate to an earlier date (in which case such representations and warranties shall be true and correct in all material respects (or if any such representation and warranty is qualified by “materiality,” “material adverse effect” or similar language, shall be true and correct in all respects (after giving effect to any such qualification therein)) on and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references in the representations set forth in </w:t>
      </w:r>
      <w:r>
        <w:rPr>
          <w:rFonts w:ascii="Arial" w:cs="Arial" w:eastAsia="Arial" w:hAnsi="Arial"/>
          <w:sz w:val="19"/>
          <w:szCs w:val="19"/>
          <w:u w:val="single" w:color="auto"/>
          <w:color w:val="auto"/>
        </w:rPr>
        <w:t>Sections 5.02</w:t>
      </w:r>
      <w:r>
        <w:rPr>
          <w:rFonts w:ascii="Arial" w:cs="Arial" w:eastAsia="Arial" w:hAnsi="Arial"/>
          <w:sz w:val="19"/>
          <w:szCs w:val="19"/>
          <w:color w:val="auto"/>
        </w:rPr>
        <w:t xml:space="preserve">, </w:t>
      </w:r>
      <w:r>
        <w:rPr>
          <w:rFonts w:ascii="Arial" w:cs="Arial" w:eastAsia="Arial" w:hAnsi="Arial"/>
          <w:sz w:val="19"/>
          <w:szCs w:val="19"/>
          <w:u w:val="single" w:color="auto"/>
          <w:color w:val="auto"/>
        </w:rPr>
        <w:t>5.03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5.04</w:t>
      </w:r>
      <w:r>
        <w:rPr>
          <w:rFonts w:ascii="Arial" w:cs="Arial" w:eastAsia="Arial" w:hAnsi="Arial"/>
          <w:sz w:val="19"/>
          <w:szCs w:val="19"/>
          <w:color w:val="auto"/>
        </w:rPr>
        <w:t xml:space="preserve"> of the Credit Agreement to “Loan Documents” shall be deemed to be references to this Agreement and the other Loan Documents (including the Credit Agreement) as amended by this Agreement.</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No Default or Event of Default has occurred or is continuing or would occur immediately after giving effect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89" w:lineRule="exact"/>
        <w:rPr>
          <w:sz w:val="20"/>
          <w:szCs w:val="20"/>
          <w:color w:val="auto"/>
        </w:rPr>
      </w:pPr>
    </w:p>
    <w:p>
      <w:pPr>
        <w:ind w:firstLine="1497"/>
        <w:spacing w:after="0" w:line="239" w:lineRule="auto"/>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19"/>
          <w:szCs w:val="19"/>
          <w:b w:val="1"/>
          <w:bCs w:val="1"/>
          <w:u w:val="single" w:color="auto"/>
          <w:color w:val="auto"/>
        </w:rPr>
        <w:t>Effectiveness</w:t>
      </w:r>
      <w:r>
        <w:rPr>
          <w:rFonts w:ascii="Arial" w:cs="Arial" w:eastAsia="Arial" w:hAnsi="Arial"/>
          <w:sz w:val="19"/>
          <w:szCs w:val="19"/>
          <w:color w:val="auto"/>
        </w:rPr>
        <w:t>. This Agreement shall become effective on the date (the “</w:t>
      </w:r>
      <w:r>
        <w:rPr>
          <w:rFonts w:ascii="Arial" w:cs="Arial" w:eastAsia="Arial" w:hAnsi="Arial"/>
          <w:sz w:val="19"/>
          <w:szCs w:val="19"/>
          <w:u w:val="single" w:color="auto"/>
          <w:color w:val="auto"/>
        </w:rPr>
        <w:t>Amendment No. 2 Effective</w:t>
      </w:r>
      <w:r>
        <w:rPr>
          <w:rFonts w:ascii="Arial" w:cs="Arial" w:eastAsia="Arial" w:hAnsi="Arial"/>
          <w:sz w:val="22"/>
          <w:szCs w:val="22"/>
          <w:b w:val="1"/>
          <w:bCs w:val="1"/>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when each of the conditions set forth in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shall have been satisfied or waived:</w:t>
      </w:r>
    </w:p>
    <w:p>
      <w:pPr>
        <w:spacing w:after="0" w:line="195" w:lineRule="exact"/>
        <w:rPr>
          <w:sz w:val="20"/>
          <w:szCs w:val="20"/>
          <w:color w:val="auto"/>
        </w:rPr>
      </w:pPr>
    </w:p>
    <w:p>
      <w:pPr>
        <w:jc w:val="both"/>
        <w:ind w:firstLine="1505"/>
        <w:spacing w:after="0" w:line="250" w:lineRule="auto"/>
        <w:tabs>
          <w:tab w:leader="none" w:pos="2007"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a counterpart signature page of this Agreement duly executed by Holdings, the Borrower, each of the Subsidiary Guarantors and the Administrative Agent (in each case, including by way of facsimile or other electronic transmission);</w:t>
      </w:r>
    </w:p>
    <w:p>
      <w:pPr>
        <w:spacing w:after="0" w:line="185" w:lineRule="exact"/>
        <w:rPr>
          <w:rFonts w:ascii="Arial" w:cs="Arial" w:eastAsia="Arial" w:hAnsi="Arial"/>
          <w:sz w:val="20"/>
          <w:szCs w:val="20"/>
          <w:color w:val="auto"/>
        </w:rPr>
      </w:pPr>
    </w:p>
    <w:p>
      <w:pPr>
        <w:ind w:firstLine="1505"/>
        <w:spacing w:after="0" w:line="316" w:lineRule="auto"/>
        <w:tabs>
          <w:tab w:leader="none" w:pos="19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Administrative Agent has not received, by the Objection Deadline, written notice of objection to such alternative rate of interest or the amendments to the Existing Credit Agreement as provided herein from Lenders comprising the Required Lenders;</w:t>
      </w:r>
    </w:p>
    <w:p>
      <w:pPr>
        <w:spacing w:after="0" w:line="129" w:lineRule="exact"/>
        <w:rPr>
          <w:rFonts w:ascii="Arial" w:cs="Arial" w:eastAsia="Arial" w:hAnsi="Arial"/>
          <w:sz w:val="18"/>
          <w:szCs w:val="18"/>
          <w:color w:val="auto"/>
        </w:rPr>
      </w:pPr>
    </w:p>
    <w:p>
      <w:pPr>
        <w:jc w:val="both"/>
        <w:ind w:firstLine="1505"/>
        <w:spacing w:after="0" w:line="291" w:lineRule="auto"/>
        <w:tabs>
          <w:tab w:leader="none" w:pos="19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all expenses of the Administrative Agent required to be paid by (or on behalf of) the Borrower to the Administrative Agent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of the Existing Credit Agreement shall have been (or shall substantially contemporaneously be) paid in full in cash to the extent invoiced at least three (3) Business Days prior to the Amendment No. 2 Effective Date; and</w:t>
      </w:r>
    </w:p>
    <w:p>
      <w:pPr>
        <w:spacing w:after="0" w:line="151" w:lineRule="exact"/>
        <w:rPr>
          <w:rFonts w:ascii="Arial" w:cs="Arial" w:eastAsia="Arial" w:hAnsi="Arial"/>
          <w:sz w:val="18"/>
          <w:szCs w:val="18"/>
          <w:color w:val="auto"/>
        </w:rPr>
      </w:pPr>
    </w:p>
    <w:p>
      <w:pPr>
        <w:jc w:val="both"/>
        <w:ind w:firstLine="1505"/>
        <w:spacing w:after="0" w:line="246" w:lineRule="auto"/>
        <w:tabs>
          <w:tab w:leader="none" w:pos="1996"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Agreement shall be true and correct in all material respects (except to the extent such representations and warranties are otherwise qualified by materiality, in which case such representation and warranty will be true and correct in all respects after giving effect to such materiality qualifier) as of the Amendment No. 2 Effective Date.</w:t>
      </w:r>
    </w:p>
    <w:p>
      <w:pPr>
        <w:spacing w:after="0" w:line="180" w:lineRule="exact"/>
        <w:rPr>
          <w:sz w:val="20"/>
          <w:szCs w:val="20"/>
          <w:color w:val="auto"/>
        </w:rPr>
      </w:pPr>
    </w:p>
    <w:p>
      <w:pPr>
        <w:ind w:left="1500"/>
        <w:spacing w:after="0"/>
        <w:tabs>
          <w:tab w:leader="none" w:pos="30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6"/>
          <w:szCs w:val="16"/>
          <w:b w:val="1"/>
          <w:bCs w:val="1"/>
          <w:u w:val="single" w:color="auto"/>
          <w:color w:val="auto"/>
        </w:rPr>
        <w:t>Reference to and Effect on the Credit Agreement</w:t>
      </w:r>
      <w:r>
        <w:rPr>
          <w:rFonts w:ascii="Arial" w:cs="Arial" w:eastAsia="Arial" w:hAnsi="Arial"/>
          <w:sz w:val="16"/>
          <w:szCs w:val="16"/>
          <w:color w:val="auto"/>
        </w:rPr>
        <w:t>.</w:t>
      </w:r>
    </w:p>
    <w:p>
      <w:pPr>
        <w:spacing w:after="0" w:line="217" w:lineRule="exact"/>
        <w:rPr>
          <w:sz w:val="20"/>
          <w:szCs w:val="20"/>
          <w:color w:val="auto"/>
        </w:rPr>
      </w:pPr>
    </w:p>
    <w:p>
      <w:pPr>
        <w:jc w:val="both"/>
        <w:ind w:firstLine="1505"/>
        <w:spacing w:after="0" w:line="250" w:lineRule="auto"/>
        <w:tabs>
          <w:tab w:leader="none" w:pos="20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On and after the Amendment No. 2 Effective Date, each reference in the Credit Agreement to “this Agreement,” “hereunder,” “hereof” or words of like import referring to the Credit Agreement, shall mean and be a reference to the Credit Agreement, as amended by, and after giving effect to, this Agreement.</w:t>
      </w:r>
    </w:p>
    <w:p>
      <w:pPr>
        <w:spacing w:after="0" w:line="18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Each Loan Document, on and after the Amendment No. 2 Effective Date, is and shall continue to be in full force and effect and is hereby in all respects ratified and confirmed, except that, on and after the Amendment No. 2 Effective Date, each reference in each of the Loan Documents to the “Credit Agreement,” “thereunder,” “thereof” or words of like import referring to the Credit Agreement shall mean and be a reference to the Credit Agreement, as amended by and after giving effect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Nothing in this Agreement can or may be construed as a novation of the Credit Agreement or any other Loan Document.</w:t>
      </w:r>
    </w:p>
    <w:p>
      <w:pPr>
        <w:spacing w:after="0" w:line="216" w:lineRule="exact"/>
        <w:rPr>
          <w:sz w:val="20"/>
          <w:szCs w:val="20"/>
          <w:color w:val="auto"/>
        </w:rPr>
      </w:pPr>
    </w:p>
    <w:p>
      <w:pPr>
        <w:ind w:left="1980" w:hanging="475"/>
        <w:spacing w:after="0"/>
        <w:tabs>
          <w:tab w:leader="none" w:pos="19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This Agreement is a “Loan Document” for purposes of the Credit Agreement and the other Loan Documents.</w:t>
      </w:r>
    </w:p>
    <w:p>
      <w:pPr>
        <w:spacing w:after="0" w:line="216" w:lineRule="exact"/>
        <w:rPr>
          <w:sz w:val="20"/>
          <w:szCs w:val="20"/>
          <w:color w:val="auto"/>
        </w:rPr>
      </w:pPr>
    </w:p>
    <w:p>
      <w:pPr>
        <w:ind w:left="1500"/>
        <w:spacing w:after="0"/>
        <w:tabs>
          <w:tab w:leader="none" w:pos="30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8"/>
          <w:szCs w:val="18"/>
          <w:b w:val="1"/>
          <w:bCs w:val="1"/>
          <w:u w:val="single" w:color="auto"/>
          <w:color w:val="auto"/>
        </w:rPr>
        <w:t>Reaffirmation</w:t>
      </w:r>
      <w:r>
        <w:rPr>
          <w:rFonts w:ascii="Arial" w:cs="Arial" w:eastAsia="Arial" w:hAnsi="Arial"/>
          <w:sz w:val="18"/>
          <w:szCs w:val="18"/>
          <w:color w:val="auto"/>
        </w:rPr>
        <w:t>.</w:t>
      </w:r>
    </w:p>
    <w:p>
      <w:pPr>
        <w:spacing w:after="0" w:line="217" w:lineRule="exact"/>
        <w:rPr>
          <w:sz w:val="20"/>
          <w:szCs w:val="20"/>
          <w:color w:val="auto"/>
        </w:rPr>
      </w:pPr>
    </w:p>
    <w:p>
      <w:pPr>
        <w:jc w:val="both"/>
        <w:ind w:firstLine="1505"/>
        <w:spacing w:after="0" w:line="243" w:lineRule="auto"/>
        <w:tabs>
          <w:tab w:leader="none" w:pos="1983" w:val="left"/>
        </w:tabs>
        <w:numPr>
          <w:ilvl w:val="0"/>
          <w:numId w:val="18"/>
        </w:numPr>
        <w:rPr>
          <w:rFonts w:ascii="Arial" w:cs="Arial" w:eastAsia="Arial" w:hAnsi="Arial"/>
          <w:sz w:val="20"/>
          <w:szCs w:val="20"/>
          <w:color w:val="auto"/>
        </w:rPr>
      </w:pPr>
      <w:r>
        <w:rPr>
          <w:rFonts w:ascii="Arial" w:cs="Arial" w:eastAsia="Arial" w:hAnsi="Arial"/>
          <w:sz w:val="20"/>
          <w:szCs w:val="20"/>
          <w:color w:val="auto"/>
        </w:rPr>
        <w:t>To induce the Administrative Agent to enter into this Agreement, each of the Loan Parties hereby acknowledges and reaffirms its obligations under each Loan Document to which it is a party, including, without limitation, any grant, pledge or collateral assignment of a lien or security interest, as applicable, contained therein, in each case as amended, restated, amended and restated, supplemented or otherwise modified prior to or as of the date hereof (including as amended pursuant to this Agreement) (collectively, the “</w:t>
      </w:r>
      <w:r>
        <w:rPr>
          <w:rFonts w:ascii="Arial" w:cs="Arial" w:eastAsia="Arial" w:hAnsi="Arial"/>
          <w:sz w:val="20"/>
          <w:szCs w:val="20"/>
          <w:u w:val="single" w:color="auto"/>
          <w:color w:val="auto"/>
        </w:rPr>
        <w:t>Reaffirmed Documents</w:t>
      </w:r>
      <w:r>
        <w:rPr>
          <w:rFonts w:ascii="Arial" w:cs="Arial" w:eastAsia="Arial" w:hAnsi="Arial"/>
          <w:sz w:val="20"/>
          <w:szCs w:val="20"/>
          <w:color w:val="auto"/>
        </w:rPr>
        <w:t>”). Each Loan Party acknowledges and agrees that each of the Loan Documents to which it is a party or otherwise bound shall continue in full force and effect and that all of its obligations thereunder shall not be impaired or limited by the execution or effectiveness of this Agreement.</w:t>
      </w:r>
    </w:p>
    <w:p>
      <w:pPr>
        <w:spacing w:after="0" w:line="193"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8"/>
          <w:szCs w:val="18"/>
          <w:color w:val="auto"/>
        </w:rPr>
        <w:t xml:space="preserve">In furtherance of the foregoing </w:t>
      </w:r>
      <w:r>
        <w:rPr>
          <w:rFonts w:ascii="Arial" w:cs="Arial" w:eastAsia="Arial" w:hAnsi="Arial"/>
          <w:sz w:val="18"/>
          <w:szCs w:val="18"/>
          <w:u w:val="single" w:color="auto"/>
          <w:color w:val="auto"/>
        </w:rPr>
        <w:t>Section 5(a)</w:t>
      </w:r>
      <w:r>
        <w:rPr>
          <w:rFonts w:ascii="Arial" w:cs="Arial" w:eastAsia="Arial" w:hAnsi="Arial"/>
          <w:sz w:val="18"/>
          <w:szCs w:val="18"/>
          <w:color w:val="auto"/>
        </w:rPr>
        <w:t>, each Guarantor, in its capacity as a Guarantor under the respective Guaranty (in such capacity, each a “</w:t>
      </w:r>
      <w:r>
        <w:rPr>
          <w:rFonts w:ascii="Arial" w:cs="Arial" w:eastAsia="Arial" w:hAnsi="Arial"/>
          <w:sz w:val="18"/>
          <w:szCs w:val="18"/>
          <w:u w:val="single" w:color="auto"/>
          <w:color w:val="auto"/>
        </w:rPr>
        <w:t>Reaffirming Loan Guarantor</w:t>
      </w:r>
      <w:r>
        <w:rPr>
          <w:rFonts w:ascii="Arial" w:cs="Arial" w:eastAsia="Arial" w:hAnsi="Arial"/>
          <w:sz w:val="18"/>
          <w:szCs w:val="18"/>
          <w:color w:val="auto"/>
        </w:rPr>
        <w:t>”), reaffirms its guarantee of the Obligations under the terms and conditions of the applicable Guaranty and agrees that the applicable Guaranty remains in full force and effect to the extent set forth in such Guaranty and after giving effect to this Agreement, and is hereby ratified, reaffirmed and confirmed. Each Reaffirming Loan Guarantor hereby confirms that it consents to the terms of this Agreement and the Credit Agreement. Each Reaffirming Loan Guarantor hereby (i) acknowledges and agrees that its guarantee of the Obligations and each of the Loan Documents to which it is a party or otherwise bound shall continue in full force and effect and that all of its obligations thereunder shall not be impaired or limited by the execution or effectiveness of this Agreement, (ii) acknowledges and agrees that it will continue to guarantee to the fullest extent possible in accordance with the Loan Documents the payment and performance of all Obligations (including all such Obligations as amended, reaffirmed and/or increased pursuant to this Agreement) and</w:t>
      </w:r>
    </w:p>
    <w:p>
      <w:pPr>
        <w:spacing w:after="0" w:line="1" w:lineRule="exact"/>
        <w:rPr>
          <w:sz w:val="20"/>
          <w:szCs w:val="20"/>
          <w:color w:val="auto"/>
        </w:rPr>
      </w:pPr>
    </w:p>
    <w:p>
      <w:pPr>
        <w:jc w:val="both"/>
        <w:ind w:firstLine="8"/>
        <w:spacing w:after="0" w:line="260" w:lineRule="auto"/>
        <w:tabs>
          <w:tab w:leader="none" w:pos="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acknowledges, agrees and warrants for the benefit of the Administrative Agent, the Collateral Agent and each other Secured Party that there are no rights of set-off or counterclaim, nor any defenses of any kind, whether legal, equitable or otherwise, that would enable such Reaffirming Loan Guarantor to avoid or delay timely performance of its obligations under the Loan Documents.</w:t>
      </w:r>
    </w:p>
    <w:p>
      <w:pPr>
        <w:spacing w:after="0" w:line="178" w:lineRule="exact"/>
        <w:rPr>
          <w:rFonts w:ascii="Arial" w:cs="Arial" w:eastAsia="Arial" w:hAnsi="Arial"/>
          <w:sz w:val="19"/>
          <w:szCs w:val="19"/>
          <w:color w:val="auto"/>
        </w:rPr>
      </w:pPr>
    </w:p>
    <w:p>
      <w:pPr>
        <w:jc w:val="both"/>
        <w:ind w:firstLine="1505"/>
        <w:spacing w:after="0" w:line="270" w:lineRule="auto"/>
        <w:tabs>
          <w:tab w:leader="none" w:pos="1982"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In furtherance of the foregoing </w:t>
      </w:r>
      <w:r>
        <w:rPr>
          <w:rFonts w:ascii="Arial" w:cs="Arial" w:eastAsia="Arial" w:hAnsi="Arial"/>
          <w:sz w:val="18"/>
          <w:szCs w:val="18"/>
          <w:u w:val="single" w:color="auto"/>
          <w:color w:val="auto"/>
        </w:rPr>
        <w:t>Section 5(a)</w:t>
      </w:r>
      <w:r>
        <w:rPr>
          <w:rFonts w:ascii="Arial" w:cs="Arial" w:eastAsia="Arial" w:hAnsi="Arial"/>
          <w:sz w:val="18"/>
          <w:szCs w:val="18"/>
          <w:color w:val="auto"/>
        </w:rPr>
        <w:t>, each of the Loan Parties that is party to any Collateral Document, in its capacity as a “grantor,” “pledgor” or other similar capacity under such Collateral Document (in such capacity, each a “</w:t>
      </w:r>
      <w:r>
        <w:rPr>
          <w:rFonts w:ascii="Arial" w:cs="Arial" w:eastAsia="Arial" w:hAnsi="Arial"/>
          <w:sz w:val="18"/>
          <w:szCs w:val="18"/>
          <w:u w:val="single" w:color="auto"/>
          <w:color w:val="auto"/>
        </w:rPr>
        <w:t>Reaffirming Grantor</w:t>
      </w:r>
      <w:r>
        <w:rPr>
          <w:rFonts w:ascii="Arial" w:cs="Arial" w:eastAsia="Arial" w:hAnsi="Arial"/>
          <w:sz w:val="18"/>
          <w:szCs w:val="18"/>
          <w:color w:val="auto"/>
        </w:rPr>
        <w:t>”), hereby acknowledges that it has reviewed and consents to the terms and conditions of this Agreement and the transactions contemplated hereby. In addition, each Reaffirming Grantor reaffirms the security interests granted by such Reaffirming Grantor under the terms and conditions of the Collateral Documents (in each case, to the extent a party thereto) to secure the Obligations (including all such Obligations as amended, reaffirmed and/or increased pursuant to this Agreement) and agrees that such security interests remain in full force and effect and are hereby ratified, reaffirmed and confirmed.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(including all such Obligations as amended, reaffirmed and/or increased pursuant to this Agreement), as the case may be, including without limitation the payment and performance of all such applicable Obligations that are joint and several obligations of each Guarantor and each Reaffirming Grantor now or hereafter existing, (ii) confirms its respective grant to the Collateral Agent for the benefit of the Secured Parties of the security interest in and continuing Lien on all of such Reaffirming Grantor’s right, title and interest in, to and under all Collateral, in each case whether now owned or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19"/>
          <w:szCs w:val="19"/>
          <w:color w:val="auto"/>
        </w:rPr>
        <w:t>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Agreement), subject to the terms contained in the applicable Loan Documents, and (iii) confirms its respective pledges, grants of security interests and other obligations, as applicable, under and subject to the terms of each of the Collateral Documents to which it is a party.</w:t>
      </w:r>
    </w:p>
    <w:p>
      <w:pPr>
        <w:spacing w:after="0" w:line="180"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Each Guarantor (other than the Borrower) acknowledges and agrees that (i) such Guarantor is not required by the terms of the Existing Credit Agreement or any other Loan Document to consent to this Agreement and (ii) nothing in the Credit Agreement, this Agreement or any other Loan Document shall be deemed to require the consent of such Guarantor to any future amendment, consent or waiver of the terms of the Credit Agreement.</w:t>
      </w:r>
    </w:p>
    <w:p>
      <w:pPr>
        <w:spacing w:after="0" w:line="180" w:lineRule="exact"/>
        <w:rPr>
          <w:sz w:val="20"/>
          <w:szCs w:val="20"/>
          <w:color w:val="auto"/>
        </w:rPr>
      </w:pPr>
    </w:p>
    <w:p>
      <w:pPr>
        <w:ind w:right="80" w:firstLine="1497"/>
        <w:spacing w:after="0" w:line="239"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Section headings herein are included for convenience of reference only and shall not affect</w:t>
      </w:r>
      <w:r>
        <w:rPr>
          <w:rFonts w:ascii="Arial" w:cs="Arial" w:eastAsia="Arial" w:hAnsi="Arial"/>
          <w:sz w:val="22"/>
          <w:szCs w:val="22"/>
          <w:b w:val="1"/>
          <w:bCs w:val="1"/>
          <w:color w:val="auto"/>
        </w:rPr>
        <w:t xml:space="preserve"> </w:t>
      </w:r>
      <w:r>
        <w:rPr>
          <w:rFonts w:ascii="Arial" w:cs="Arial" w:eastAsia="Arial" w:hAnsi="Arial"/>
          <w:sz w:val="19"/>
          <w:szCs w:val="19"/>
          <w:color w:val="auto"/>
        </w:rPr>
        <w:t>the interpretation of this Agreement.</w:t>
      </w:r>
    </w:p>
    <w:p>
      <w:pPr>
        <w:spacing w:after="0" w:line="189"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19"/>
          <w:szCs w:val="19"/>
          <w:b w:val="1"/>
          <w:bCs w:val="1"/>
          <w:u w:val="single" w:color="auto"/>
          <w:color w:val="auto"/>
        </w:rPr>
        <w:t>Execution in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 This Agreement may be executed in any number of counterparts and by the different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hereto on separate counterparts, each of which when so executed and delivered shall be an original, but all of which shall together constitute one and the same agreement. This Agreement may be in the form of an Electronic Record (as defined below) and may be executed using Electronic Signatures (as defined below) (including, without limitation, facsimile and .pdf) and shall be considered an original, and shall have the same legal effect, validity and enforceability as a paper record. This Agreement may be executed in as many counterparts as necessary or convenient, including both paper and electronic counterparts, but all such counterparts are one and the same Agreement. The parties party hereto may, at their respective option, create one or more copies of this Agreement in the form of an imaged Electronic Record (“</w:t>
      </w:r>
      <w:r>
        <w:rPr>
          <w:rFonts w:ascii="Arial" w:cs="Arial" w:eastAsia="Arial" w:hAnsi="Arial"/>
          <w:sz w:val="19"/>
          <w:szCs w:val="19"/>
          <w:u w:val="single" w:color="auto"/>
          <w:color w:val="auto"/>
        </w:rPr>
        <w:t>Electronic</w:t>
      </w:r>
      <w:r>
        <w:rPr>
          <w:rFonts w:ascii="Arial" w:cs="Arial" w:eastAsia="Arial" w:hAnsi="Arial"/>
          <w:sz w:val="19"/>
          <w:szCs w:val="19"/>
          <w:color w:val="auto"/>
        </w:rPr>
        <w:t xml:space="preserve"> </w:t>
      </w:r>
      <w:r>
        <w:rPr>
          <w:rFonts w:ascii="Arial" w:cs="Arial" w:eastAsia="Arial" w:hAnsi="Arial"/>
          <w:sz w:val="19"/>
          <w:szCs w:val="19"/>
          <w:u w:val="single" w:color="auto"/>
          <w:color w:val="auto"/>
        </w:rPr>
        <w:t>Copy</w:t>
      </w:r>
      <w:r>
        <w:rPr>
          <w:rFonts w:ascii="Arial" w:cs="Arial" w:eastAsia="Arial" w:hAnsi="Arial"/>
          <w:sz w:val="19"/>
          <w:szCs w:val="19"/>
          <w:color w:val="auto"/>
        </w:rPr>
        <w:t xml:space="preserve">”), which shall be deemed created in the ordinary course of the parties’ business, and destroy the original paper document. This Agreement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without limiting the foregoing, (a) to the extent the Administrative Agent has agreed to accept such Electronic Signature, the Administrative Agent shall be entitled to rely on any such Electronic Signature purportedly given by or on behalf of any other party without further verification and (b) upon the request of the Administrative Agent, any Electronic Signature shall be promptly followed by a manually executed, original counterpart. For purposes hereof, “</w:t>
      </w:r>
      <w:r>
        <w:rPr>
          <w:rFonts w:ascii="Arial" w:cs="Arial" w:eastAsia="Arial" w:hAnsi="Arial"/>
          <w:sz w:val="19"/>
          <w:szCs w:val="19"/>
          <w:u w:val="single" w:color="auto"/>
          <w:color w:val="auto"/>
        </w:rPr>
        <w:t>Electronic Record</w:t>
      </w:r>
      <w:r>
        <w:rPr>
          <w:rFonts w:ascii="Arial" w:cs="Arial" w:eastAsia="Arial" w:hAnsi="Arial"/>
          <w:sz w:val="19"/>
          <w:szCs w:val="19"/>
          <w:color w:val="auto"/>
        </w:rPr>
        <w:t>” and “</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shall have the meanings assigned to them, respectively, by 15 USC §7006, as it may be amended from time to time.</w:t>
      </w:r>
    </w:p>
    <w:p>
      <w:pPr>
        <w:spacing w:after="0" w:line="182"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19"/>
          <w:szCs w:val="19"/>
          <w:b w:val="1"/>
          <w:bCs w:val="1"/>
          <w:u w:val="single" w:color="auto"/>
          <w:color w:val="auto"/>
        </w:rPr>
        <w:t>WAIVER OF JURY TRIAL; GOVERNING LAW; JURISDICTION, ETC</w:t>
      </w:r>
      <w:r>
        <w:rPr>
          <w:rFonts w:ascii="Arial" w:cs="Arial" w:eastAsia="Arial" w:hAnsi="Arial"/>
          <w:sz w:val="19"/>
          <w:szCs w:val="19"/>
          <w:color w:val="auto"/>
        </w:rPr>
        <w:t>. The provisions set</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Sections 10.16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10.17</w:t>
      </w:r>
      <w:r>
        <w:rPr>
          <w:rFonts w:ascii="Arial" w:cs="Arial" w:eastAsia="Arial" w:hAnsi="Arial"/>
          <w:sz w:val="19"/>
          <w:szCs w:val="19"/>
          <w:color w:val="auto"/>
        </w:rPr>
        <w:t xml:space="preserve"> of the Credit Agreement are hereby incorporated herein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all references to “this Agreement” therein being deemed references to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0" w:name="page51"/>
    <w:bookmarkEnd w:id="50"/>
    <w:p>
      <w:pPr>
        <w:ind w:firstLine="749"/>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respective officers thereunto duly authorized, as of the date and year first written above.</w:t>
      </w:r>
    </w:p>
    <w:p>
      <w:pPr>
        <w:spacing w:after="0" w:line="21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COMMSCOPE, INC., as the Borrower</w:t>
      </w:r>
    </w:p>
    <w:p>
      <w:pPr>
        <w:spacing w:after="0" w:line="283" w:lineRule="exact"/>
        <w:rPr>
          <w:sz w:val="20"/>
          <w:szCs w:val="20"/>
          <w:color w:val="auto"/>
        </w:rPr>
      </w:pPr>
    </w:p>
    <w:tbl>
      <w:tblPr>
        <w:tblLayout w:type="fixed"/>
        <w:tblInd w:w="4960" w:type="dxa"/>
        <w:tblCellMar>
          <w:top w:w="0" w:type="dxa"/>
          <w:left w:w="0" w:type="dxa"/>
          <w:bottom w:w="0" w:type="dxa"/>
          <w:right w:w="0" w:type="dxa"/>
        </w:tblCellMar>
      </w:tblPr>
      <w:tr>
        <w:trPr>
          <w:trHeight w:val="253"/>
        </w:trPr>
        <w:tc>
          <w:tcPr>
            <w:tcW w:w="2360" w:type="dxa"/>
            <w:vAlign w:val="bottom"/>
          </w:tcPr>
          <w:p>
            <w:pPr>
              <w:spacing w:after="0"/>
              <w:rPr>
                <w:sz w:val="20"/>
                <w:szCs w:val="20"/>
                <w:color w:val="auto"/>
              </w:rPr>
            </w:pPr>
            <w:r>
              <w:rPr>
                <w:rFonts w:ascii="Arial" w:cs="Arial" w:eastAsia="Arial" w:hAnsi="Arial"/>
                <w:sz w:val="20"/>
                <w:szCs w:val="20"/>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Charles A. Gilstrap</w:t>
            </w:r>
          </w:p>
        </w:tc>
      </w:tr>
      <w:tr>
        <w:trPr>
          <w:trHeight w:val="250"/>
        </w:trPr>
        <w:tc>
          <w:tcPr>
            <w:tcW w:w="2360" w:type="dxa"/>
            <w:vAlign w:val="bottom"/>
          </w:tcPr>
          <w:p>
            <w:pPr>
              <w:spacing w:after="0"/>
              <w:rPr>
                <w:sz w:val="20"/>
                <w:szCs w:val="20"/>
                <w:color w:val="auto"/>
              </w:rPr>
            </w:pPr>
            <w:r>
              <w:rPr>
                <w:rFonts w:ascii="Arial" w:cs="Arial" w:eastAsia="Arial" w:hAnsi="Arial"/>
                <w:sz w:val="20"/>
                <w:szCs w:val="20"/>
                <w:color w:val="auto"/>
              </w:rPr>
              <w:t>Name:</w:t>
            </w:r>
          </w:p>
        </w:tc>
        <w:tc>
          <w:tcPr>
            <w:tcW w:w="3920" w:type="dxa"/>
            <w:vAlign w:val="bottom"/>
          </w:tcPr>
          <w:p>
            <w:pPr>
              <w:spacing w:after="0"/>
              <w:rPr>
                <w:sz w:val="20"/>
                <w:szCs w:val="20"/>
                <w:color w:val="auto"/>
              </w:rPr>
            </w:pPr>
            <w:r>
              <w:rPr>
                <w:rFonts w:ascii="Arial" w:cs="Arial" w:eastAsia="Arial" w:hAnsi="Arial"/>
                <w:sz w:val="20"/>
                <w:szCs w:val="20"/>
                <w:color w:val="auto"/>
              </w:rPr>
              <w:t>Charles A. Gilstrap</w:t>
            </w:r>
          </w:p>
        </w:tc>
      </w:tr>
      <w:tr>
        <w:trPr>
          <w:trHeight w:val="253"/>
        </w:trPr>
        <w:tc>
          <w:tcPr>
            <w:tcW w:w="2360" w:type="dxa"/>
            <w:vAlign w:val="bottom"/>
          </w:tcPr>
          <w:p>
            <w:pPr>
              <w:spacing w:after="0"/>
              <w:rPr>
                <w:sz w:val="20"/>
                <w:szCs w:val="20"/>
                <w:color w:val="auto"/>
              </w:rPr>
            </w:pPr>
            <w:r>
              <w:rPr>
                <w:rFonts w:ascii="Arial" w:cs="Arial" w:eastAsia="Arial" w:hAnsi="Arial"/>
                <w:sz w:val="20"/>
                <w:szCs w:val="20"/>
                <w:color w:val="auto"/>
              </w:rPr>
              <w:t>Title:</w:t>
            </w:r>
          </w:p>
        </w:tc>
        <w:tc>
          <w:tcPr>
            <w:tcW w:w="392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79"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COMMSCOPE HOLDING COMPANY, INC., as Holdings and a Guarantor</w:t>
      </w:r>
    </w:p>
    <w:p>
      <w:pPr>
        <w:spacing w:after="0" w:line="200" w:lineRule="exact"/>
        <w:rPr>
          <w:sz w:val="20"/>
          <w:szCs w:val="20"/>
          <w:color w:val="auto"/>
        </w:rPr>
      </w:pPr>
    </w:p>
    <w:p>
      <w:pPr>
        <w:spacing w:after="0" w:line="311" w:lineRule="exact"/>
        <w:rPr>
          <w:sz w:val="20"/>
          <w:szCs w:val="20"/>
          <w:color w:val="auto"/>
        </w:rPr>
      </w:pPr>
    </w:p>
    <w:tbl>
      <w:tblPr>
        <w:tblLayout w:type="fixed"/>
        <w:tblInd w:w="4960" w:type="dxa"/>
        <w:tblCellMar>
          <w:top w:w="0" w:type="dxa"/>
          <w:left w:w="0" w:type="dxa"/>
          <w:bottom w:w="0" w:type="dxa"/>
          <w:right w:w="0" w:type="dxa"/>
        </w:tblCellMar>
      </w:tblPr>
      <w:tr>
        <w:trPr>
          <w:trHeight w:val="253"/>
        </w:trPr>
        <w:tc>
          <w:tcPr>
            <w:tcW w:w="2280" w:type="dxa"/>
            <w:vAlign w:val="bottom"/>
          </w:tcPr>
          <w:p>
            <w:pPr>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Charles A. Gilstrap</w:t>
            </w:r>
          </w:p>
        </w:tc>
      </w:tr>
      <w:tr>
        <w:trPr>
          <w:trHeight w:val="250"/>
        </w:trPr>
        <w:tc>
          <w:tcPr>
            <w:tcW w:w="2280" w:type="dxa"/>
            <w:vAlign w:val="bottom"/>
          </w:tcPr>
          <w:p>
            <w:pPr>
              <w:spacing w:after="0"/>
              <w:rPr>
                <w:sz w:val="20"/>
                <w:szCs w:val="20"/>
                <w:color w:val="auto"/>
              </w:rPr>
            </w:pPr>
            <w:r>
              <w:rPr>
                <w:rFonts w:ascii="Arial" w:cs="Arial" w:eastAsia="Arial" w:hAnsi="Arial"/>
                <w:sz w:val="20"/>
                <w:szCs w:val="20"/>
                <w:color w:val="auto"/>
              </w:rPr>
              <w:t>Name:</w:t>
            </w:r>
          </w:p>
        </w:tc>
        <w:tc>
          <w:tcPr>
            <w:tcW w:w="4000" w:type="dxa"/>
            <w:vAlign w:val="bottom"/>
          </w:tcPr>
          <w:p>
            <w:pPr>
              <w:ind w:left="20"/>
              <w:spacing w:after="0"/>
              <w:rPr>
                <w:sz w:val="20"/>
                <w:szCs w:val="20"/>
                <w:color w:val="auto"/>
              </w:rPr>
            </w:pPr>
            <w:r>
              <w:rPr>
                <w:rFonts w:ascii="Arial" w:cs="Arial" w:eastAsia="Arial" w:hAnsi="Arial"/>
                <w:sz w:val="20"/>
                <w:szCs w:val="20"/>
                <w:color w:val="auto"/>
              </w:rPr>
              <w:t>Charles A. Gilstrap</w:t>
            </w:r>
          </w:p>
        </w:tc>
      </w:tr>
      <w:tr>
        <w:trPr>
          <w:trHeight w:val="253"/>
        </w:trPr>
        <w:tc>
          <w:tcPr>
            <w:tcW w:w="2280" w:type="dxa"/>
            <w:vAlign w:val="bottom"/>
          </w:tcPr>
          <w:p>
            <w:pPr>
              <w:spacing w:after="0"/>
              <w:rPr>
                <w:sz w:val="20"/>
                <w:szCs w:val="20"/>
                <w:color w:val="auto"/>
              </w:rPr>
            </w:pPr>
            <w:r>
              <w:rPr>
                <w:rFonts w:ascii="Arial" w:cs="Arial" w:eastAsia="Arial" w:hAnsi="Arial"/>
                <w:sz w:val="20"/>
                <w:szCs w:val="20"/>
                <w:color w:val="auto"/>
              </w:rPr>
              <w:t>Title:</w:t>
            </w:r>
          </w:p>
        </w:tc>
        <w:tc>
          <w:tcPr>
            <w:tcW w:w="4000" w:type="dxa"/>
            <w:vAlign w:val="bottom"/>
          </w:tcPr>
          <w:p>
            <w:pPr>
              <w:ind w:left="20"/>
              <w:spacing w:after="0"/>
              <w:rPr>
                <w:sz w:val="20"/>
                <w:szCs w:val="20"/>
                <w:color w:val="auto"/>
              </w:rPr>
            </w:pPr>
            <w:r>
              <w:rPr>
                <w:rFonts w:ascii="Arial" w:cs="Arial" w:eastAsia="Arial" w:hAnsi="Arial"/>
                <w:sz w:val="20"/>
                <w:szCs w:val="20"/>
                <w:color w:val="auto"/>
              </w:rPr>
              <w:t>Senior Vice President</w:t>
            </w:r>
          </w:p>
        </w:tc>
      </w:tr>
    </w:tbl>
    <w:p>
      <w:pPr>
        <w:spacing w:after="0" w:line="20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ARRIS GLOBAL SERVICES, INC.</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ARRIS SOLUTIONS, INC.</w:t>
      </w:r>
    </w:p>
    <w:p>
      <w:pPr>
        <w:ind w:left="4500"/>
        <w:spacing w:after="0"/>
        <w:rPr>
          <w:sz w:val="20"/>
          <w:szCs w:val="20"/>
          <w:color w:val="auto"/>
        </w:rPr>
      </w:pPr>
      <w:r>
        <w:rPr>
          <w:rFonts w:ascii="Arial" w:cs="Arial" w:eastAsia="Arial" w:hAnsi="Arial"/>
          <w:sz w:val="20"/>
          <w:szCs w:val="20"/>
          <w:color w:val="auto"/>
        </w:rPr>
        <w:t>ARRIS TECHNOLOGY, INC.</w:t>
      </w:r>
    </w:p>
    <w:p>
      <w:pPr>
        <w:ind w:left="4500"/>
        <w:spacing w:after="0"/>
        <w:rPr>
          <w:sz w:val="20"/>
          <w:szCs w:val="20"/>
          <w:color w:val="auto"/>
        </w:rPr>
      </w:pPr>
      <w:r>
        <w:rPr>
          <w:rFonts w:ascii="Arial" w:cs="Arial" w:eastAsia="Arial" w:hAnsi="Arial"/>
          <w:sz w:val="20"/>
          <w:szCs w:val="20"/>
          <w:color w:val="auto"/>
        </w:rPr>
        <w:t>CABLE DEVICES INCORPORATED</w:t>
      </w:r>
    </w:p>
    <w:p>
      <w:pPr>
        <w:ind w:left="4500"/>
        <w:spacing w:after="0"/>
        <w:rPr>
          <w:sz w:val="20"/>
          <w:szCs w:val="20"/>
          <w:color w:val="auto"/>
        </w:rPr>
      </w:pPr>
      <w:r>
        <w:rPr>
          <w:rFonts w:ascii="Arial" w:cs="Arial" w:eastAsia="Arial" w:hAnsi="Arial"/>
          <w:sz w:val="20"/>
          <w:szCs w:val="20"/>
          <w:color w:val="auto"/>
        </w:rPr>
        <w:t>COMMSCOPE CONNECTIVITY LLC</w:t>
      </w:r>
    </w:p>
    <w:p>
      <w:pPr>
        <w:ind w:left="4500"/>
        <w:spacing w:after="0"/>
        <w:rPr>
          <w:sz w:val="20"/>
          <w:szCs w:val="20"/>
          <w:color w:val="auto"/>
        </w:rPr>
      </w:pPr>
      <w:r>
        <w:rPr>
          <w:rFonts w:ascii="Arial" w:cs="Arial" w:eastAsia="Arial" w:hAnsi="Arial"/>
          <w:sz w:val="20"/>
          <w:szCs w:val="20"/>
          <w:color w:val="auto"/>
        </w:rPr>
        <w:t>COMMSCOPE TECHNOLOGIES LLC</w:t>
      </w:r>
    </w:p>
    <w:p>
      <w:pPr>
        <w:ind w:left="4500"/>
        <w:spacing w:after="0"/>
        <w:rPr>
          <w:sz w:val="20"/>
          <w:szCs w:val="20"/>
          <w:color w:val="auto"/>
        </w:rPr>
      </w:pPr>
      <w:r>
        <w:rPr>
          <w:rFonts w:ascii="Arial" w:cs="Arial" w:eastAsia="Arial" w:hAnsi="Arial"/>
          <w:sz w:val="20"/>
          <w:szCs w:val="20"/>
          <w:color w:val="auto"/>
        </w:rPr>
        <w:t>COMMSCOPE, INC. OF NORTH CAROLINA</w:t>
      </w:r>
    </w:p>
    <w:p>
      <w:pPr>
        <w:ind w:left="4500"/>
        <w:spacing w:after="0"/>
        <w:rPr>
          <w:sz w:val="20"/>
          <w:szCs w:val="20"/>
          <w:color w:val="auto"/>
        </w:rPr>
      </w:pPr>
      <w:r>
        <w:rPr>
          <w:rFonts w:ascii="Arial" w:cs="Arial" w:eastAsia="Arial" w:hAnsi="Arial"/>
          <w:sz w:val="20"/>
          <w:szCs w:val="20"/>
          <w:color w:val="auto"/>
        </w:rPr>
        <w:t>RUCKUS WIRELESS, INC.</w:t>
      </w:r>
    </w:p>
    <w:p>
      <w:pPr>
        <w:ind w:left="4500"/>
        <w:spacing w:after="0"/>
        <w:rPr>
          <w:sz w:val="20"/>
          <w:szCs w:val="20"/>
          <w:color w:val="auto"/>
        </w:rPr>
      </w:pPr>
      <w:r>
        <w:rPr>
          <w:rFonts w:ascii="Arial" w:cs="Arial" w:eastAsia="Arial" w:hAnsi="Arial"/>
          <w:sz w:val="20"/>
          <w:szCs w:val="20"/>
          <w:color w:val="auto"/>
        </w:rPr>
        <w:t>ARRIS US HOLDINGS, INC.</w:t>
      </w:r>
    </w:p>
    <w:p>
      <w:pPr>
        <w:ind w:left="4500"/>
        <w:spacing w:after="0"/>
        <w:rPr>
          <w:sz w:val="20"/>
          <w:szCs w:val="20"/>
          <w:color w:val="auto"/>
        </w:rPr>
      </w:pPr>
      <w:r>
        <w:rPr>
          <w:rFonts w:ascii="Arial" w:cs="Arial" w:eastAsia="Arial" w:hAnsi="Arial"/>
          <w:sz w:val="20"/>
          <w:szCs w:val="20"/>
          <w:color w:val="auto"/>
        </w:rPr>
        <w:t>ARRIS ENTERPRISES LLC</w:t>
      </w:r>
    </w:p>
    <w:p>
      <w:pPr>
        <w:ind w:left="4500"/>
        <w:spacing w:after="0"/>
        <w:rPr>
          <w:sz w:val="20"/>
          <w:szCs w:val="20"/>
          <w:color w:val="auto"/>
        </w:rPr>
      </w:pPr>
      <w:r>
        <w:rPr>
          <w:rFonts w:ascii="Arial" w:cs="Arial" w:eastAsia="Arial" w:hAnsi="Arial"/>
          <w:sz w:val="20"/>
          <w:szCs w:val="20"/>
          <w:color w:val="auto"/>
        </w:rPr>
        <w:t>ARRIS GLOBAL HOLDINGS INC.</w:t>
      </w:r>
    </w:p>
    <w:p>
      <w:pPr>
        <w:ind w:left="4500"/>
        <w:spacing w:after="0"/>
        <w:rPr>
          <w:sz w:val="20"/>
          <w:szCs w:val="20"/>
          <w:color w:val="auto"/>
        </w:rPr>
      </w:pPr>
      <w:r>
        <w:rPr>
          <w:rFonts w:ascii="Arial" w:cs="Arial" w:eastAsia="Arial" w:hAnsi="Arial"/>
          <w:sz w:val="20"/>
          <w:szCs w:val="20"/>
          <w:color w:val="auto"/>
        </w:rPr>
        <w:t>COMMSCOPE BROADBAND LLC</w:t>
      </w:r>
    </w:p>
    <w:p>
      <w:pPr>
        <w:ind w:left="4500"/>
        <w:spacing w:after="0"/>
        <w:rPr>
          <w:sz w:val="20"/>
          <w:szCs w:val="20"/>
          <w:color w:val="auto"/>
        </w:rPr>
      </w:pPr>
      <w:r>
        <w:rPr>
          <w:rFonts w:ascii="Arial" w:cs="Arial" w:eastAsia="Arial" w:hAnsi="Arial"/>
          <w:sz w:val="20"/>
          <w:szCs w:val="20"/>
          <w:color w:val="auto"/>
        </w:rPr>
        <w:t>CS SPINCO INC., as Subsidiary Guarantors</w:t>
      </w:r>
    </w:p>
    <w:p>
      <w:pPr>
        <w:spacing w:after="0" w:line="254" w:lineRule="exact"/>
        <w:rPr>
          <w:sz w:val="20"/>
          <w:szCs w:val="20"/>
          <w:color w:val="auto"/>
        </w:rPr>
      </w:pPr>
    </w:p>
    <w:tbl>
      <w:tblPr>
        <w:tblLayout w:type="fixed"/>
        <w:tblInd w:w="4960" w:type="dxa"/>
        <w:tblCellMar>
          <w:top w:w="0" w:type="dxa"/>
          <w:left w:w="0" w:type="dxa"/>
          <w:bottom w:w="0" w:type="dxa"/>
          <w:right w:w="0" w:type="dxa"/>
        </w:tblCellMar>
      </w:tblPr>
      <w:tr>
        <w:trPr>
          <w:trHeight w:val="253"/>
        </w:trPr>
        <w:tc>
          <w:tcPr>
            <w:tcW w:w="2140" w:type="dxa"/>
            <w:vAlign w:val="bottom"/>
          </w:tcPr>
          <w:p>
            <w:pPr>
              <w:spacing w:after="0"/>
              <w:rPr>
                <w:sz w:val="20"/>
                <w:szCs w:val="20"/>
                <w:color w:val="auto"/>
              </w:rPr>
            </w:pPr>
            <w:r>
              <w:rPr>
                <w:rFonts w:ascii="Arial" w:cs="Arial" w:eastAsia="Arial" w:hAnsi="Arial"/>
                <w:sz w:val="20"/>
                <w:szCs w:val="20"/>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D. Coppin</w:t>
            </w:r>
          </w:p>
        </w:tc>
      </w:tr>
      <w:tr>
        <w:trPr>
          <w:trHeight w:val="240"/>
        </w:trPr>
        <w:tc>
          <w:tcPr>
            <w:tcW w:w="2140" w:type="dxa"/>
            <w:vAlign w:val="bottom"/>
          </w:tcPr>
          <w:p>
            <w:pPr>
              <w:spacing w:after="0"/>
              <w:rPr>
                <w:sz w:val="20"/>
                <w:szCs w:val="20"/>
                <w:color w:val="auto"/>
              </w:rPr>
            </w:pPr>
            <w:r>
              <w:rPr>
                <w:rFonts w:ascii="Arial" w:cs="Arial" w:eastAsia="Arial" w:hAnsi="Arial"/>
                <w:sz w:val="20"/>
                <w:szCs w:val="20"/>
                <w:color w:val="auto"/>
              </w:rPr>
              <w:t>Name:</w:t>
            </w:r>
          </w:p>
        </w:tc>
        <w:tc>
          <w:tcPr>
            <w:tcW w:w="4140" w:type="dxa"/>
            <w:vAlign w:val="bottom"/>
          </w:tcPr>
          <w:p>
            <w:pPr>
              <w:spacing w:after="0"/>
              <w:rPr>
                <w:sz w:val="20"/>
                <w:szCs w:val="20"/>
                <w:color w:val="auto"/>
              </w:rPr>
            </w:pPr>
            <w:r>
              <w:rPr>
                <w:rFonts w:ascii="Arial" w:cs="Arial" w:eastAsia="Arial" w:hAnsi="Arial"/>
                <w:sz w:val="20"/>
                <w:szCs w:val="20"/>
                <w:color w:val="auto"/>
              </w:rPr>
              <w:t>Michael D. Coppin</w:t>
            </w:r>
          </w:p>
        </w:tc>
      </w:tr>
      <w:tr>
        <w:trPr>
          <w:trHeight w:val="250"/>
        </w:trPr>
        <w:tc>
          <w:tcPr>
            <w:tcW w:w="2140" w:type="dxa"/>
            <w:vAlign w:val="bottom"/>
          </w:tcPr>
          <w:p>
            <w:pPr>
              <w:spacing w:after="0"/>
              <w:rPr>
                <w:sz w:val="20"/>
                <w:szCs w:val="20"/>
                <w:color w:val="auto"/>
              </w:rPr>
            </w:pPr>
            <w:r>
              <w:rPr>
                <w:rFonts w:ascii="Arial" w:cs="Arial" w:eastAsia="Arial" w:hAnsi="Arial"/>
                <w:sz w:val="20"/>
                <w:szCs w:val="20"/>
                <w:color w:val="auto"/>
              </w:rPr>
              <w:t>Title</w:t>
            </w:r>
          </w:p>
        </w:tc>
        <w:tc>
          <w:tcPr>
            <w:tcW w:w="4140" w:type="dxa"/>
            <w:vAlign w:val="bottom"/>
          </w:tcPr>
          <w:p>
            <w:pPr>
              <w:spacing w:after="0"/>
              <w:rPr>
                <w:sz w:val="20"/>
                <w:szCs w:val="20"/>
                <w:color w:val="auto"/>
              </w:rPr>
            </w:pPr>
            <w:r>
              <w:rPr>
                <w:rFonts w:ascii="Arial" w:cs="Arial" w:eastAsia="Arial" w:hAnsi="Arial"/>
                <w:sz w:val="20"/>
                <w:szCs w:val="20"/>
                <w:color w:val="auto"/>
              </w:rPr>
              <w:t>Vice President and Assistant Secretary</w:t>
            </w:r>
          </w:p>
        </w:tc>
      </w:tr>
    </w:tbl>
    <w:p>
      <w:pPr>
        <w:spacing w:after="0" w:line="200" w:lineRule="exact"/>
        <w:rPr>
          <w:sz w:val="20"/>
          <w:szCs w:val="20"/>
          <w:color w:val="auto"/>
        </w:rPr>
      </w:pPr>
    </w:p>
    <w:p>
      <w:pPr>
        <w:spacing w:after="0" w:line="21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360" w:type="dxa"/>
            <w:vAlign w:val="bottom"/>
          </w:tcPr>
          <w:p>
            <w:pPr>
              <w:ind w:left="4960"/>
              <w:spacing w:after="0"/>
              <w:rPr>
                <w:sz w:val="20"/>
                <w:szCs w:val="20"/>
                <w:color w:val="auto"/>
              </w:rPr>
            </w:pPr>
            <w:r>
              <w:rPr>
                <w:rFonts w:ascii="Arial" w:cs="Arial" w:eastAsia="Arial" w:hAnsi="Arial"/>
                <w:sz w:val="20"/>
                <w:szCs w:val="20"/>
                <w:color w:val="auto"/>
              </w:rPr>
              <w:t>By:</w:t>
            </w:r>
          </w:p>
        </w:tc>
        <w:tc>
          <w:tcPr>
            <w:tcW w:w="4880" w:type="dxa"/>
            <w:vAlign w:val="bottom"/>
          </w:tcPr>
          <w:p>
            <w:pPr>
              <w:ind w:left="860"/>
              <w:spacing w:after="0"/>
              <w:rPr>
                <w:sz w:val="20"/>
                <w:szCs w:val="20"/>
                <w:color w:val="auto"/>
              </w:rPr>
            </w:pPr>
            <w:r>
              <w:rPr>
                <w:rFonts w:ascii="Arial" w:cs="Arial" w:eastAsia="Arial" w:hAnsi="Arial"/>
                <w:sz w:val="20"/>
                <w:szCs w:val="20"/>
                <w:color w:val="auto"/>
              </w:rPr>
              <w:t>/s/ Inderjeet Aneja</w:t>
            </w:r>
          </w:p>
        </w:tc>
      </w:tr>
      <w:tr>
        <w:trPr>
          <w:trHeight w:val="257"/>
        </w:trPr>
        <w:tc>
          <w:tcPr>
            <w:tcW w:w="6360" w:type="dxa"/>
            <w:vAlign w:val="bottom"/>
          </w:tcPr>
          <w:p>
            <w:pPr>
              <w:ind w:left="4960"/>
              <w:spacing w:after="0"/>
              <w:rPr>
                <w:sz w:val="20"/>
                <w:szCs w:val="20"/>
                <w:color w:val="auto"/>
              </w:rPr>
            </w:pPr>
            <w:r>
              <w:rPr>
                <w:rFonts w:ascii="Arial" w:cs="Arial" w:eastAsia="Arial" w:hAnsi="Arial"/>
                <w:sz w:val="20"/>
                <w:szCs w:val="20"/>
                <w:color w:val="auto"/>
              </w:rPr>
              <w:t>Name:</w:t>
            </w:r>
          </w:p>
        </w:tc>
        <w:tc>
          <w:tcPr>
            <w:tcW w:w="4880" w:type="dxa"/>
            <w:vAlign w:val="bottom"/>
          </w:tcPr>
          <w:p>
            <w:pPr>
              <w:ind w:left="860"/>
              <w:spacing w:after="0"/>
              <w:rPr>
                <w:sz w:val="20"/>
                <w:szCs w:val="20"/>
                <w:color w:val="auto"/>
              </w:rPr>
            </w:pPr>
            <w:r>
              <w:rPr>
                <w:rFonts w:ascii="Arial" w:cs="Arial" w:eastAsia="Arial" w:hAnsi="Arial"/>
                <w:sz w:val="20"/>
                <w:szCs w:val="20"/>
                <w:color w:val="auto"/>
              </w:rPr>
              <w:t>Inderjeet Aneja</w:t>
            </w:r>
          </w:p>
        </w:tc>
      </w:tr>
      <w:tr>
        <w:trPr>
          <w:trHeight w:val="256"/>
        </w:trPr>
        <w:tc>
          <w:tcPr>
            <w:tcW w:w="6360" w:type="dxa"/>
            <w:vAlign w:val="bottom"/>
          </w:tcPr>
          <w:p>
            <w:pPr>
              <w:ind w:left="4960"/>
              <w:spacing w:after="0"/>
              <w:rPr>
                <w:sz w:val="20"/>
                <w:szCs w:val="20"/>
                <w:color w:val="auto"/>
              </w:rPr>
            </w:pPr>
            <w:r>
              <w:rPr>
                <w:rFonts w:ascii="Arial" w:cs="Arial" w:eastAsia="Arial" w:hAnsi="Arial"/>
                <w:sz w:val="20"/>
                <w:szCs w:val="20"/>
                <w:color w:val="auto"/>
              </w:rPr>
              <w:t>Title:</w:t>
            </w:r>
          </w:p>
        </w:tc>
        <w:tc>
          <w:tcPr>
            <w:tcW w:w="4880" w:type="dxa"/>
            <w:vAlign w:val="bottom"/>
          </w:tcPr>
          <w:p>
            <w:pPr>
              <w:ind w:left="860"/>
              <w:spacing w:after="0"/>
              <w:rPr>
                <w:sz w:val="20"/>
                <w:szCs w:val="20"/>
                <w:color w:val="auto"/>
              </w:rPr>
            </w:pPr>
            <w:r>
              <w:rPr>
                <w:rFonts w:ascii="Arial" w:cs="Arial" w:eastAsia="Arial" w:hAnsi="Arial"/>
                <w:sz w:val="20"/>
                <w:szCs w:val="20"/>
                <w:color w:val="auto"/>
              </w:rPr>
              <w:t>Executive Director</w:t>
            </w:r>
          </w:p>
        </w:tc>
      </w:tr>
      <w:tr>
        <w:trPr>
          <w:trHeight w:val="1178"/>
        </w:trPr>
        <w:tc>
          <w:tcPr>
            <w:tcW w:w="63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500380</wp:posOffset>
            </wp:positionV>
            <wp:extent cx="71323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TERM LOAN CREDIT AGREEMENT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April 4, 2019,</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amended by the Amendment Agreement dated August 11, 2021</w:t>
      </w:r>
    </w:p>
    <w:p>
      <w:pPr>
        <w:jc w:val="center"/>
        <w:ind w:right="1120"/>
        <w:spacing w:after="0"/>
        <w:rPr>
          <w:sz w:val="20"/>
          <w:szCs w:val="20"/>
          <w:color w:val="auto"/>
        </w:rPr>
      </w:pPr>
      <w:r>
        <w:rPr>
          <w:rFonts w:ascii="Arial" w:cs="Arial" w:eastAsia="Arial" w:hAnsi="Arial"/>
          <w:sz w:val="20"/>
          <w:szCs w:val="20"/>
          <w:color w:val="auto"/>
        </w:rPr>
        <w:t>and as amended by Amendment No. 2 dated June 8, 2023,</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COMMSCOPE, INC.,</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the Borrower,</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COMMSCOPE HOLDING COMPANY, INC.,</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Holdings,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JPMORGAN CHASE BANK, N.A.,</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 and Collateral Agent,</w:t>
      </w:r>
    </w:p>
    <w:p>
      <w:pPr>
        <w:spacing w:after="0" w:line="229"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The Other Lenders Party Hereto,</w:t>
      </w:r>
    </w:p>
    <w:p>
      <w:pPr>
        <w:spacing w:after="0" w:line="33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MERRILL LYNCH, PIERCE, FENNER &amp; SMITH INCORPORATED,</w:t>
      </w:r>
    </w:p>
    <w:p>
      <w:pPr>
        <w:ind w:left="2800"/>
        <w:spacing w:after="0"/>
        <w:rPr>
          <w:sz w:val="20"/>
          <w:szCs w:val="20"/>
          <w:color w:val="auto"/>
        </w:rPr>
      </w:pPr>
      <w:r>
        <w:rPr>
          <w:rFonts w:ascii="Arial" w:cs="Arial" w:eastAsia="Arial" w:hAnsi="Arial"/>
          <w:sz w:val="20"/>
          <w:szCs w:val="20"/>
          <w:color w:val="auto"/>
        </w:rPr>
        <w:t>DEUTSCHE BANK SECURITIES INC.,</w:t>
      </w:r>
    </w:p>
    <w:p>
      <w:pPr>
        <w:ind w:left="3060"/>
        <w:spacing w:after="0"/>
        <w:rPr>
          <w:sz w:val="20"/>
          <w:szCs w:val="20"/>
          <w:color w:val="auto"/>
        </w:rPr>
      </w:pPr>
      <w:r>
        <w:rPr>
          <w:rFonts w:ascii="Arial" w:cs="Arial" w:eastAsia="Arial" w:hAnsi="Arial"/>
          <w:sz w:val="20"/>
          <w:szCs w:val="20"/>
          <w:color w:val="auto"/>
        </w:rPr>
        <w:t>MIZUHO SECURITIES USA LLC,</w:t>
      </w:r>
    </w:p>
    <w:p>
      <w:pPr>
        <w:ind w:left="2820"/>
        <w:spacing w:after="0"/>
        <w:rPr>
          <w:sz w:val="20"/>
          <w:szCs w:val="20"/>
          <w:color w:val="auto"/>
        </w:rPr>
      </w:pPr>
      <w:r>
        <w:rPr>
          <w:rFonts w:ascii="Arial" w:cs="Arial" w:eastAsia="Arial" w:hAnsi="Arial"/>
          <w:sz w:val="20"/>
          <w:szCs w:val="20"/>
          <w:color w:val="auto"/>
        </w:rPr>
        <w:t>CITIGROUP GLOBAL MARKETS INC.,</w:t>
      </w:r>
    </w:p>
    <w:p>
      <w:pPr>
        <w:ind w:left="2940"/>
        <w:spacing w:after="0"/>
        <w:rPr>
          <w:sz w:val="20"/>
          <w:szCs w:val="20"/>
          <w:color w:val="auto"/>
        </w:rPr>
      </w:pPr>
      <w:r>
        <w:rPr>
          <w:rFonts w:ascii="Arial" w:cs="Arial" w:eastAsia="Arial" w:hAnsi="Arial"/>
          <w:sz w:val="20"/>
          <w:szCs w:val="20"/>
          <w:color w:val="auto"/>
        </w:rPr>
        <w:t>GOLDMAN SACHS BANK USA, and</w:t>
      </w:r>
    </w:p>
    <w:p>
      <w:pPr>
        <w:ind w:left="3000"/>
        <w:spacing w:after="0"/>
        <w:rPr>
          <w:sz w:val="20"/>
          <w:szCs w:val="20"/>
          <w:color w:val="auto"/>
        </w:rPr>
      </w:pPr>
      <w:r>
        <w:rPr>
          <w:rFonts w:ascii="Arial" w:cs="Arial" w:eastAsia="Arial" w:hAnsi="Arial"/>
          <w:sz w:val="20"/>
          <w:szCs w:val="20"/>
          <w:color w:val="auto"/>
        </w:rPr>
        <w:t>BNP PARIBAS SECURITIES CORP.</w:t>
      </w:r>
    </w:p>
    <w:p>
      <w:pPr>
        <w:spacing w:after="0" w:line="213"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as Joint Lead Arrangers, Joint Bookrunners and Co-Syndication Agents,</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TCG CAPITAL MARKETS L.L.C. and SUMITOMO MITSUI BANKING CORPORATION,</w:t>
      </w:r>
    </w:p>
    <w:p>
      <w:pPr>
        <w:spacing w:after="0" w:line="33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Senior Co-Managers,</w:t>
      </w:r>
    </w:p>
    <w:p>
      <w:pPr>
        <w:spacing w:after="0" w:line="10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10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REGIONS BANK,</w:t>
      </w:r>
    </w:p>
    <w:p>
      <w:pPr>
        <w:spacing w:after="0" w:line="216"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as Documentation Agent and Co-Manager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820420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320" w:type="dxa"/>
            <w:vAlign w:val="bottom"/>
          </w:tcPr>
          <w:p>
            <w:pPr>
              <w:jc w:val="center"/>
              <w:ind w:right="101"/>
              <w:spacing w:after="0"/>
              <w:rPr>
                <w:sz w:val="20"/>
                <w:szCs w:val="20"/>
                <w:color w:val="auto"/>
              </w:rPr>
            </w:pPr>
            <w:r>
              <w:rPr>
                <w:rFonts w:ascii="Arial" w:cs="Arial" w:eastAsia="Arial" w:hAnsi="Arial"/>
                <w:sz w:val="20"/>
                <w:szCs w:val="20"/>
                <w:b w:val="1"/>
                <w:bCs w:val="1"/>
                <w:color w:val="auto"/>
                <w:w w:val="98"/>
              </w:rPr>
              <w:t>TABLE OF CONTENTS</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92"/>
        </w:trPr>
        <w:tc>
          <w:tcPr>
            <w:tcW w:w="560" w:type="dxa"/>
            <w:vAlign w:val="bottom"/>
            <w:gridSpan w:val="2"/>
          </w:tcPr>
          <w:p>
            <w:pPr>
              <w:ind w:left="20"/>
              <w:spacing w:after="0"/>
              <w:rPr>
                <w:sz w:val="20"/>
                <w:szCs w:val="20"/>
                <w:color w:val="auto"/>
              </w:rPr>
            </w:pPr>
            <w:r>
              <w:rPr>
                <w:rFonts w:ascii="Arial" w:cs="Arial" w:eastAsia="Arial" w:hAnsi="Arial"/>
                <w:sz w:val="18"/>
                <w:szCs w:val="18"/>
                <w:color w:val="auto"/>
                <w:w w:val="86"/>
              </w:rPr>
              <w:t>Section</w:t>
            </w:r>
          </w:p>
        </w:tc>
        <w:tc>
          <w:tcPr>
            <w:tcW w:w="1032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80"/>
              </w:rPr>
              <w:t>Page</w:t>
            </w:r>
          </w:p>
        </w:tc>
      </w:tr>
      <w:tr>
        <w:trPr>
          <w:trHeight w:val="868"/>
        </w:trPr>
        <w:tc>
          <w:tcPr>
            <w:tcW w:w="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320" w:type="dxa"/>
            <w:vAlign w:val="bottom"/>
          </w:tcPr>
          <w:p>
            <w:pPr>
              <w:jc w:val="center"/>
              <w:ind w:right="81"/>
              <w:spacing w:after="0"/>
              <w:rPr>
                <w:sz w:val="20"/>
                <w:szCs w:val="20"/>
                <w:color w:val="auto"/>
              </w:rPr>
            </w:pPr>
            <w:r>
              <w:rPr>
                <w:rFonts w:ascii="Arial" w:cs="Arial" w:eastAsia="Arial" w:hAnsi="Arial"/>
                <w:sz w:val="20"/>
                <w:szCs w:val="20"/>
                <w:color w:val="auto"/>
                <w:w w:val="98"/>
              </w:rPr>
              <w:t>ARTICLE I</w:t>
            </w: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320" w:type="dxa"/>
            <w:vAlign w:val="bottom"/>
          </w:tcPr>
          <w:p>
            <w:pPr>
              <w:jc w:val="center"/>
              <w:ind w:right="101"/>
              <w:spacing w:after="0"/>
              <w:rPr>
                <w:sz w:val="20"/>
                <w:szCs w:val="20"/>
                <w:color w:val="auto"/>
              </w:rPr>
            </w:pPr>
            <w:r>
              <w:rPr>
                <w:rFonts w:ascii="Arial" w:cs="Arial" w:eastAsia="Arial" w:hAnsi="Arial"/>
                <w:sz w:val="20"/>
                <w:szCs w:val="20"/>
                <w:color w:val="auto"/>
                <w:w w:val="96"/>
              </w:rPr>
              <w:t>DEFINITIONS AND ACCOUNTING TERMS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3"/>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1.01</w:t>
            </w:r>
          </w:p>
        </w:tc>
        <w:tc>
          <w:tcPr>
            <w:tcW w:w="10320" w:type="dxa"/>
            <w:vAlign w:val="bottom"/>
          </w:tcPr>
          <w:p>
            <w:pPr>
              <w:ind w:left="360"/>
              <w:spacing w:after="0"/>
              <w:rPr>
                <w:sz w:val="20"/>
                <w:szCs w:val="20"/>
                <w:color w:val="auto"/>
              </w:rPr>
            </w:pPr>
            <w:r>
              <w:rPr>
                <w:rFonts w:ascii="Arial" w:cs="Arial" w:eastAsia="Arial" w:hAnsi="Arial"/>
                <w:sz w:val="20"/>
                <w:szCs w:val="20"/>
                <w:color w:val="auto"/>
              </w:rPr>
              <w:t>Defined Terms</w:t>
            </w:r>
          </w:p>
        </w:tc>
        <w:tc>
          <w:tcPr>
            <w:tcW w:w="34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1.02</w:t>
            </w:r>
          </w:p>
        </w:tc>
        <w:tc>
          <w:tcPr>
            <w:tcW w:w="10320" w:type="dxa"/>
            <w:vAlign w:val="bottom"/>
          </w:tcPr>
          <w:p>
            <w:pPr>
              <w:ind w:left="360"/>
              <w:spacing w:after="0"/>
              <w:rPr>
                <w:sz w:val="20"/>
                <w:szCs w:val="20"/>
                <w:color w:val="auto"/>
              </w:rPr>
            </w:pPr>
            <w:r>
              <w:rPr>
                <w:rFonts w:ascii="Arial" w:cs="Arial" w:eastAsia="Arial" w:hAnsi="Arial"/>
                <w:sz w:val="20"/>
                <w:szCs w:val="20"/>
                <w:color w:val="auto"/>
              </w:rPr>
              <w:t>Other Interpretive Provisions</w:t>
            </w:r>
          </w:p>
        </w:tc>
        <w:tc>
          <w:tcPr>
            <w:tcW w:w="340" w:type="dxa"/>
            <w:vAlign w:val="bottom"/>
          </w:tcPr>
          <w:p>
            <w:pPr>
              <w:jc w:val="right"/>
              <w:spacing w:after="0"/>
              <w:rPr>
                <w:sz w:val="20"/>
                <w:szCs w:val="20"/>
                <w:color w:val="auto"/>
              </w:rPr>
            </w:pPr>
            <w:r>
              <w:rPr>
                <w:rFonts w:ascii="Arial" w:cs="Arial" w:eastAsia="Arial" w:hAnsi="Arial"/>
                <w:sz w:val="20"/>
                <w:szCs w:val="20"/>
                <w:color w:val="auto"/>
              </w:rPr>
              <w:t>78</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1.03</w:t>
            </w:r>
          </w:p>
        </w:tc>
        <w:tc>
          <w:tcPr>
            <w:tcW w:w="10320" w:type="dxa"/>
            <w:vAlign w:val="bottom"/>
          </w:tcPr>
          <w:p>
            <w:pPr>
              <w:ind w:left="360"/>
              <w:spacing w:after="0"/>
              <w:rPr>
                <w:sz w:val="20"/>
                <w:szCs w:val="20"/>
                <w:color w:val="auto"/>
              </w:rPr>
            </w:pPr>
            <w:r>
              <w:rPr>
                <w:rFonts w:ascii="Arial" w:cs="Arial" w:eastAsia="Arial" w:hAnsi="Arial"/>
                <w:sz w:val="20"/>
                <w:szCs w:val="20"/>
                <w:color w:val="auto"/>
              </w:rPr>
              <w:t>Accounting Terms</w:t>
            </w:r>
          </w:p>
        </w:tc>
        <w:tc>
          <w:tcPr>
            <w:tcW w:w="340" w:type="dxa"/>
            <w:vAlign w:val="bottom"/>
          </w:tcPr>
          <w:p>
            <w:pPr>
              <w:jc w:val="right"/>
              <w:spacing w:after="0"/>
              <w:rPr>
                <w:sz w:val="20"/>
                <w:szCs w:val="20"/>
                <w:color w:val="auto"/>
              </w:rPr>
            </w:pPr>
            <w:r>
              <w:rPr>
                <w:rFonts w:ascii="Arial" w:cs="Arial" w:eastAsia="Arial" w:hAnsi="Arial"/>
                <w:sz w:val="20"/>
                <w:szCs w:val="20"/>
                <w:color w:val="auto"/>
              </w:rPr>
              <w:t>80</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0320" w:type="dxa"/>
            <w:vAlign w:val="bottom"/>
          </w:tcPr>
          <w:p>
            <w:pPr>
              <w:ind w:left="360"/>
              <w:spacing w:after="0"/>
              <w:rPr>
                <w:sz w:val="20"/>
                <w:szCs w:val="20"/>
                <w:color w:val="auto"/>
              </w:rPr>
            </w:pPr>
            <w:r>
              <w:rPr>
                <w:rFonts w:ascii="Arial" w:cs="Arial" w:eastAsia="Arial" w:hAnsi="Arial"/>
                <w:sz w:val="20"/>
                <w:szCs w:val="20"/>
                <w:color w:val="auto"/>
              </w:rPr>
              <w:t>Rounding</w:t>
            </w:r>
          </w:p>
        </w:tc>
        <w:tc>
          <w:tcPr>
            <w:tcW w:w="340" w:type="dxa"/>
            <w:vAlign w:val="bottom"/>
          </w:tcPr>
          <w:p>
            <w:pPr>
              <w:jc w:val="right"/>
              <w:spacing w:after="0"/>
              <w:rPr>
                <w:sz w:val="20"/>
                <w:szCs w:val="20"/>
                <w:color w:val="auto"/>
              </w:rPr>
            </w:pPr>
            <w:r>
              <w:rPr>
                <w:rFonts w:ascii="Arial" w:cs="Arial" w:eastAsia="Arial" w:hAnsi="Arial"/>
                <w:sz w:val="20"/>
                <w:szCs w:val="20"/>
                <w:color w:val="auto"/>
              </w:rPr>
              <w:t>80</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1.05</w:t>
            </w:r>
          </w:p>
        </w:tc>
        <w:tc>
          <w:tcPr>
            <w:tcW w:w="10320" w:type="dxa"/>
            <w:vAlign w:val="bottom"/>
          </w:tcPr>
          <w:p>
            <w:pPr>
              <w:ind w:left="360"/>
              <w:spacing w:after="0"/>
              <w:rPr>
                <w:sz w:val="20"/>
                <w:szCs w:val="20"/>
                <w:color w:val="auto"/>
              </w:rPr>
            </w:pPr>
            <w:r>
              <w:rPr>
                <w:rFonts w:ascii="Arial" w:cs="Arial" w:eastAsia="Arial" w:hAnsi="Arial"/>
                <w:sz w:val="20"/>
                <w:szCs w:val="20"/>
                <w:color w:val="auto"/>
              </w:rPr>
              <w:t>References to Agreements and Laws</w:t>
            </w:r>
          </w:p>
        </w:tc>
        <w:tc>
          <w:tcPr>
            <w:tcW w:w="340" w:type="dxa"/>
            <w:vAlign w:val="bottom"/>
          </w:tcPr>
          <w:p>
            <w:pPr>
              <w:jc w:val="right"/>
              <w:spacing w:after="0"/>
              <w:rPr>
                <w:sz w:val="20"/>
                <w:szCs w:val="20"/>
                <w:color w:val="auto"/>
              </w:rPr>
            </w:pPr>
            <w:r>
              <w:rPr>
                <w:rFonts w:ascii="Arial" w:cs="Arial" w:eastAsia="Arial" w:hAnsi="Arial"/>
                <w:sz w:val="20"/>
                <w:szCs w:val="20"/>
                <w:color w:val="auto"/>
              </w:rPr>
              <w:t>80</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1.06</w:t>
            </w:r>
          </w:p>
        </w:tc>
        <w:tc>
          <w:tcPr>
            <w:tcW w:w="10320" w:type="dxa"/>
            <w:vAlign w:val="bottom"/>
          </w:tcPr>
          <w:p>
            <w:pPr>
              <w:ind w:left="360"/>
              <w:spacing w:after="0"/>
              <w:rPr>
                <w:sz w:val="20"/>
                <w:szCs w:val="20"/>
                <w:color w:val="auto"/>
              </w:rPr>
            </w:pPr>
            <w:r>
              <w:rPr>
                <w:rFonts w:ascii="Arial" w:cs="Arial" w:eastAsia="Arial" w:hAnsi="Arial"/>
                <w:sz w:val="20"/>
                <w:szCs w:val="20"/>
                <w:color w:val="auto"/>
              </w:rPr>
              <w:t>Times of Day</w:t>
            </w:r>
          </w:p>
        </w:tc>
        <w:tc>
          <w:tcPr>
            <w:tcW w:w="340" w:type="dxa"/>
            <w:vAlign w:val="bottom"/>
          </w:tcPr>
          <w:p>
            <w:pPr>
              <w:jc w:val="right"/>
              <w:spacing w:after="0"/>
              <w:rPr>
                <w:sz w:val="20"/>
                <w:szCs w:val="20"/>
                <w:color w:val="auto"/>
              </w:rPr>
            </w:pPr>
            <w:r>
              <w:rPr>
                <w:rFonts w:ascii="Arial" w:cs="Arial" w:eastAsia="Arial" w:hAnsi="Arial"/>
                <w:sz w:val="20"/>
                <w:szCs w:val="20"/>
                <w:color w:val="auto"/>
              </w:rPr>
              <w:t>81</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1.07</w:t>
            </w:r>
          </w:p>
        </w:tc>
        <w:tc>
          <w:tcPr>
            <w:tcW w:w="10320" w:type="dxa"/>
            <w:vAlign w:val="bottom"/>
          </w:tcPr>
          <w:p>
            <w:pPr>
              <w:ind w:left="360"/>
              <w:spacing w:after="0"/>
              <w:rPr>
                <w:sz w:val="20"/>
                <w:szCs w:val="20"/>
                <w:color w:val="auto"/>
              </w:rPr>
            </w:pPr>
            <w:r>
              <w:rPr>
                <w:rFonts w:ascii="Arial" w:cs="Arial" w:eastAsia="Arial" w:hAnsi="Arial"/>
                <w:sz w:val="20"/>
                <w:szCs w:val="20"/>
                <w:color w:val="auto"/>
              </w:rPr>
              <w:t>Timing of Payment or Performance</w:t>
            </w:r>
          </w:p>
        </w:tc>
        <w:tc>
          <w:tcPr>
            <w:tcW w:w="340" w:type="dxa"/>
            <w:vAlign w:val="bottom"/>
          </w:tcPr>
          <w:p>
            <w:pPr>
              <w:jc w:val="right"/>
              <w:spacing w:after="0"/>
              <w:rPr>
                <w:sz w:val="20"/>
                <w:szCs w:val="20"/>
                <w:color w:val="auto"/>
              </w:rPr>
            </w:pPr>
            <w:r>
              <w:rPr>
                <w:rFonts w:ascii="Arial" w:cs="Arial" w:eastAsia="Arial" w:hAnsi="Arial"/>
                <w:sz w:val="20"/>
                <w:szCs w:val="20"/>
                <w:color w:val="auto"/>
              </w:rPr>
              <w:t>81</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1.08</w:t>
            </w:r>
          </w:p>
        </w:tc>
        <w:tc>
          <w:tcPr>
            <w:tcW w:w="10320" w:type="dxa"/>
            <w:vAlign w:val="bottom"/>
          </w:tcPr>
          <w:p>
            <w:pPr>
              <w:ind w:left="360"/>
              <w:spacing w:after="0"/>
              <w:rPr>
                <w:sz w:val="20"/>
                <w:szCs w:val="20"/>
                <w:color w:val="auto"/>
              </w:rPr>
            </w:pPr>
            <w:r>
              <w:rPr>
                <w:rFonts w:ascii="Arial" w:cs="Arial" w:eastAsia="Arial" w:hAnsi="Arial"/>
                <w:sz w:val="20"/>
                <w:szCs w:val="20"/>
                <w:color w:val="auto"/>
              </w:rPr>
              <w:t>Currency Equivalents Generally</w:t>
            </w:r>
          </w:p>
        </w:tc>
        <w:tc>
          <w:tcPr>
            <w:tcW w:w="340" w:type="dxa"/>
            <w:vAlign w:val="bottom"/>
          </w:tcPr>
          <w:p>
            <w:pPr>
              <w:jc w:val="right"/>
              <w:spacing w:after="0"/>
              <w:rPr>
                <w:sz w:val="20"/>
                <w:szCs w:val="20"/>
                <w:color w:val="auto"/>
              </w:rPr>
            </w:pPr>
            <w:r>
              <w:rPr>
                <w:rFonts w:ascii="Arial" w:cs="Arial" w:eastAsia="Arial" w:hAnsi="Arial"/>
                <w:sz w:val="20"/>
                <w:szCs w:val="20"/>
                <w:color w:val="auto"/>
              </w:rPr>
              <w:t>81</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1.09</w:t>
            </w:r>
          </w:p>
        </w:tc>
        <w:tc>
          <w:tcPr>
            <w:tcW w:w="10320" w:type="dxa"/>
            <w:vAlign w:val="bottom"/>
          </w:tcPr>
          <w:p>
            <w:pPr>
              <w:ind w:left="360"/>
              <w:spacing w:after="0"/>
              <w:rPr>
                <w:sz w:val="20"/>
                <w:szCs w:val="20"/>
                <w:color w:val="auto"/>
              </w:rPr>
            </w:pPr>
            <w:r>
              <w:rPr>
                <w:rFonts w:ascii="Arial" w:cs="Arial" w:eastAsia="Arial" w:hAnsi="Arial"/>
                <w:sz w:val="20"/>
                <w:szCs w:val="20"/>
                <w:color w:val="auto"/>
              </w:rPr>
              <w:t>Pro Forma Calculations.</w:t>
            </w:r>
          </w:p>
        </w:tc>
        <w:tc>
          <w:tcPr>
            <w:tcW w:w="340" w:type="dxa"/>
            <w:vAlign w:val="bottom"/>
          </w:tcPr>
          <w:p>
            <w:pPr>
              <w:jc w:val="right"/>
              <w:spacing w:after="0"/>
              <w:rPr>
                <w:sz w:val="20"/>
                <w:szCs w:val="20"/>
                <w:color w:val="auto"/>
              </w:rPr>
            </w:pPr>
            <w:r>
              <w:rPr>
                <w:rFonts w:ascii="Arial" w:cs="Arial" w:eastAsia="Arial" w:hAnsi="Arial"/>
                <w:sz w:val="20"/>
                <w:szCs w:val="20"/>
                <w:color w:val="auto"/>
              </w:rPr>
              <w:t>81</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1.10</w:t>
            </w:r>
          </w:p>
        </w:tc>
        <w:tc>
          <w:tcPr>
            <w:tcW w:w="10320" w:type="dxa"/>
            <w:vAlign w:val="bottom"/>
          </w:tcPr>
          <w:p>
            <w:pPr>
              <w:ind w:left="360"/>
              <w:spacing w:after="0"/>
              <w:rPr>
                <w:sz w:val="20"/>
                <w:szCs w:val="20"/>
                <w:color w:val="auto"/>
              </w:rPr>
            </w:pPr>
            <w:r>
              <w:rPr>
                <w:rFonts w:ascii="Arial" w:cs="Arial" w:eastAsia="Arial" w:hAnsi="Arial"/>
                <w:sz w:val="20"/>
                <w:szCs w:val="20"/>
                <w:color w:val="auto"/>
              </w:rPr>
              <w:t>Calculation of Baskets</w:t>
            </w:r>
          </w:p>
        </w:tc>
        <w:tc>
          <w:tcPr>
            <w:tcW w:w="340" w:type="dxa"/>
            <w:vAlign w:val="bottom"/>
          </w:tcPr>
          <w:p>
            <w:pPr>
              <w:jc w:val="right"/>
              <w:spacing w:after="0"/>
              <w:rPr>
                <w:sz w:val="20"/>
                <w:szCs w:val="20"/>
                <w:color w:val="auto"/>
              </w:rPr>
            </w:pPr>
            <w:r>
              <w:rPr>
                <w:rFonts w:ascii="Arial" w:cs="Arial" w:eastAsia="Arial" w:hAnsi="Arial"/>
                <w:sz w:val="20"/>
                <w:szCs w:val="20"/>
                <w:color w:val="auto"/>
              </w:rPr>
              <w:t>81</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1.11</w:t>
            </w:r>
          </w:p>
        </w:tc>
        <w:tc>
          <w:tcPr>
            <w:tcW w:w="10320" w:type="dxa"/>
            <w:vAlign w:val="bottom"/>
          </w:tcPr>
          <w:p>
            <w:pPr>
              <w:ind w:left="360"/>
              <w:spacing w:after="0"/>
              <w:rPr>
                <w:sz w:val="20"/>
                <w:szCs w:val="20"/>
                <w:color w:val="auto"/>
              </w:rPr>
            </w:pPr>
            <w:r>
              <w:rPr>
                <w:rFonts w:ascii="Arial" w:cs="Arial" w:eastAsia="Arial" w:hAnsi="Arial"/>
                <w:sz w:val="20"/>
                <w:szCs w:val="20"/>
                <w:color w:val="auto"/>
              </w:rPr>
              <w:t>Interest Rates; Benchmark Notification.</w:t>
            </w:r>
          </w:p>
        </w:tc>
        <w:tc>
          <w:tcPr>
            <w:tcW w:w="340" w:type="dxa"/>
            <w:vAlign w:val="bottom"/>
          </w:tcPr>
          <w:p>
            <w:pPr>
              <w:jc w:val="right"/>
              <w:spacing w:after="0"/>
              <w:rPr>
                <w:sz w:val="20"/>
                <w:szCs w:val="20"/>
                <w:color w:val="auto"/>
              </w:rPr>
            </w:pPr>
            <w:r>
              <w:rPr>
                <w:rFonts w:ascii="Arial" w:cs="Arial" w:eastAsia="Arial" w:hAnsi="Arial"/>
                <w:sz w:val="20"/>
                <w:szCs w:val="20"/>
                <w:color w:val="auto"/>
              </w:rPr>
              <w:t>81</w:t>
            </w:r>
          </w:p>
        </w:tc>
        <w:tc>
          <w:tcPr>
            <w:tcW w:w="20" w:type="dxa"/>
            <w:vAlign w:val="bottom"/>
          </w:tcPr>
          <w:p>
            <w:pPr>
              <w:spacing w:after="0"/>
              <w:rPr>
                <w:sz w:val="22"/>
                <w:szCs w:val="22"/>
                <w:color w:val="auto"/>
              </w:rPr>
            </w:pPr>
          </w:p>
        </w:tc>
      </w:tr>
      <w:tr>
        <w:trPr>
          <w:trHeight w:val="45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320" w:type="dxa"/>
            <w:vAlign w:val="bottom"/>
          </w:tcPr>
          <w:p>
            <w:pPr>
              <w:jc w:val="center"/>
              <w:ind w:right="101"/>
              <w:spacing w:after="0"/>
              <w:rPr>
                <w:sz w:val="20"/>
                <w:szCs w:val="20"/>
                <w:color w:val="auto"/>
              </w:rPr>
            </w:pPr>
            <w:r>
              <w:rPr>
                <w:rFonts w:ascii="Arial" w:cs="Arial" w:eastAsia="Arial" w:hAnsi="Arial"/>
                <w:sz w:val="20"/>
                <w:szCs w:val="20"/>
                <w:color w:val="auto"/>
                <w:w w:val="98"/>
              </w:rPr>
              <w:t>ARTICLE II</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320" w:type="dxa"/>
            <w:vAlign w:val="bottom"/>
          </w:tcPr>
          <w:p>
            <w:pPr>
              <w:jc w:val="center"/>
              <w:ind w:right="81"/>
              <w:spacing w:after="0"/>
              <w:rPr>
                <w:sz w:val="20"/>
                <w:szCs w:val="20"/>
                <w:color w:val="auto"/>
              </w:rPr>
            </w:pPr>
            <w:r>
              <w:rPr>
                <w:rFonts w:ascii="Arial" w:cs="Arial" w:eastAsia="Arial" w:hAnsi="Arial"/>
                <w:sz w:val="20"/>
                <w:szCs w:val="20"/>
                <w:color w:val="auto"/>
                <w:w w:val="96"/>
              </w:rPr>
              <w:t>THE COMMITMENTS AND CREDIT EXTENSIONS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3"/>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2.01</w:t>
            </w:r>
          </w:p>
        </w:tc>
        <w:tc>
          <w:tcPr>
            <w:tcW w:w="10320" w:type="dxa"/>
            <w:vAlign w:val="bottom"/>
          </w:tcPr>
          <w:p>
            <w:pPr>
              <w:ind w:left="360"/>
              <w:spacing w:after="0"/>
              <w:rPr>
                <w:sz w:val="20"/>
                <w:szCs w:val="20"/>
                <w:color w:val="auto"/>
              </w:rPr>
            </w:pPr>
            <w:r>
              <w:rPr>
                <w:rFonts w:ascii="Arial" w:cs="Arial" w:eastAsia="Arial" w:hAnsi="Arial"/>
                <w:sz w:val="20"/>
                <w:szCs w:val="20"/>
                <w:color w:val="auto"/>
              </w:rPr>
              <w:t>The Loans</w:t>
            </w:r>
          </w:p>
        </w:tc>
        <w:tc>
          <w:tcPr>
            <w:tcW w:w="340" w:type="dxa"/>
            <w:vAlign w:val="bottom"/>
          </w:tcPr>
          <w:p>
            <w:pPr>
              <w:jc w:val="right"/>
              <w:spacing w:after="0"/>
              <w:rPr>
                <w:sz w:val="20"/>
                <w:szCs w:val="20"/>
                <w:color w:val="auto"/>
              </w:rPr>
            </w:pPr>
            <w:r>
              <w:rPr>
                <w:rFonts w:ascii="Arial" w:cs="Arial" w:eastAsia="Arial" w:hAnsi="Arial"/>
                <w:sz w:val="20"/>
                <w:szCs w:val="20"/>
                <w:color w:val="auto"/>
              </w:rPr>
              <w:t>82</w:t>
            </w:r>
          </w:p>
        </w:tc>
        <w:tc>
          <w:tcPr>
            <w:tcW w:w="20" w:type="dxa"/>
            <w:vAlign w:val="bottom"/>
          </w:tcPr>
          <w:p>
            <w:pPr>
              <w:spacing w:after="0"/>
              <w:rPr>
                <w:sz w:val="24"/>
                <w:szCs w:val="24"/>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2.02</w:t>
            </w:r>
          </w:p>
        </w:tc>
        <w:tc>
          <w:tcPr>
            <w:tcW w:w="10320" w:type="dxa"/>
            <w:vAlign w:val="bottom"/>
          </w:tcPr>
          <w:p>
            <w:pPr>
              <w:ind w:left="360"/>
              <w:spacing w:after="0"/>
              <w:rPr>
                <w:sz w:val="20"/>
                <w:szCs w:val="20"/>
                <w:color w:val="auto"/>
              </w:rPr>
            </w:pPr>
            <w:r>
              <w:rPr>
                <w:rFonts w:ascii="Arial" w:cs="Arial" w:eastAsia="Arial" w:hAnsi="Arial"/>
                <w:sz w:val="20"/>
                <w:szCs w:val="20"/>
                <w:color w:val="auto"/>
              </w:rPr>
              <w:t>Borrowings, Conversions and Continuations of Loans</w:t>
            </w:r>
          </w:p>
        </w:tc>
        <w:tc>
          <w:tcPr>
            <w:tcW w:w="340" w:type="dxa"/>
            <w:vAlign w:val="bottom"/>
          </w:tcPr>
          <w:p>
            <w:pPr>
              <w:jc w:val="right"/>
              <w:spacing w:after="0"/>
              <w:rPr>
                <w:sz w:val="20"/>
                <w:szCs w:val="20"/>
                <w:color w:val="auto"/>
              </w:rPr>
            </w:pPr>
            <w:r>
              <w:rPr>
                <w:rFonts w:ascii="Arial" w:cs="Arial" w:eastAsia="Arial" w:hAnsi="Arial"/>
                <w:sz w:val="20"/>
                <w:szCs w:val="20"/>
                <w:color w:val="auto"/>
              </w:rPr>
              <w:t>82</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2.03</w:t>
            </w:r>
          </w:p>
        </w:tc>
        <w:tc>
          <w:tcPr>
            <w:tcW w:w="10320" w:type="dxa"/>
            <w:vAlign w:val="bottom"/>
          </w:tcPr>
          <w:p>
            <w:pPr>
              <w:ind w:left="360"/>
              <w:spacing w:after="0"/>
              <w:rPr>
                <w:sz w:val="20"/>
                <w:szCs w:val="20"/>
                <w:color w:val="auto"/>
              </w:rPr>
            </w:pPr>
            <w:r>
              <w:rPr>
                <w:rFonts w:ascii="Arial" w:cs="Arial" w:eastAsia="Arial" w:hAnsi="Arial"/>
                <w:sz w:val="20"/>
                <w:szCs w:val="20"/>
                <w:color w:val="auto"/>
              </w:rPr>
              <w:t>[Reserved]</w:t>
            </w:r>
          </w:p>
        </w:tc>
        <w:tc>
          <w:tcPr>
            <w:tcW w:w="340" w:type="dxa"/>
            <w:vAlign w:val="bottom"/>
          </w:tcPr>
          <w:p>
            <w:pPr>
              <w:jc w:val="right"/>
              <w:spacing w:after="0"/>
              <w:rPr>
                <w:sz w:val="20"/>
                <w:szCs w:val="20"/>
                <w:color w:val="auto"/>
              </w:rPr>
            </w:pPr>
            <w:r>
              <w:rPr>
                <w:rFonts w:ascii="Arial" w:cs="Arial" w:eastAsia="Arial" w:hAnsi="Arial"/>
                <w:sz w:val="20"/>
                <w:szCs w:val="20"/>
                <w:color w:val="auto"/>
              </w:rPr>
              <w:t>83</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2.04</w:t>
            </w:r>
          </w:p>
        </w:tc>
        <w:tc>
          <w:tcPr>
            <w:tcW w:w="10320" w:type="dxa"/>
            <w:vAlign w:val="bottom"/>
          </w:tcPr>
          <w:p>
            <w:pPr>
              <w:ind w:left="360"/>
              <w:spacing w:after="0"/>
              <w:rPr>
                <w:sz w:val="20"/>
                <w:szCs w:val="20"/>
                <w:color w:val="auto"/>
              </w:rPr>
            </w:pPr>
            <w:r>
              <w:rPr>
                <w:rFonts w:ascii="Arial" w:cs="Arial" w:eastAsia="Arial" w:hAnsi="Arial"/>
                <w:sz w:val="20"/>
                <w:szCs w:val="20"/>
                <w:color w:val="auto"/>
              </w:rPr>
              <w:t>[Reserved]</w:t>
            </w:r>
          </w:p>
        </w:tc>
        <w:tc>
          <w:tcPr>
            <w:tcW w:w="340" w:type="dxa"/>
            <w:vAlign w:val="bottom"/>
          </w:tcPr>
          <w:p>
            <w:pPr>
              <w:jc w:val="right"/>
              <w:spacing w:after="0"/>
              <w:rPr>
                <w:sz w:val="20"/>
                <w:szCs w:val="20"/>
                <w:color w:val="auto"/>
              </w:rPr>
            </w:pPr>
            <w:r>
              <w:rPr>
                <w:rFonts w:ascii="Arial" w:cs="Arial" w:eastAsia="Arial" w:hAnsi="Arial"/>
                <w:sz w:val="20"/>
                <w:szCs w:val="20"/>
                <w:color w:val="auto"/>
              </w:rPr>
              <w:t>83</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2.05</w:t>
            </w:r>
          </w:p>
        </w:tc>
        <w:tc>
          <w:tcPr>
            <w:tcW w:w="10320" w:type="dxa"/>
            <w:vAlign w:val="bottom"/>
          </w:tcPr>
          <w:p>
            <w:pPr>
              <w:ind w:left="360"/>
              <w:spacing w:after="0"/>
              <w:rPr>
                <w:sz w:val="20"/>
                <w:szCs w:val="20"/>
                <w:color w:val="auto"/>
              </w:rPr>
            </w:pPr>
            <w:r>
              <w:rPr>
                <w:rFonts w:ascii="Arial" w:cs="Arial" w:eastAsia="Arial" w:hAnsi="Arial"/>
                <w:sz w:val="20"/>
                <w:szCs w:val="20"/>
                <w:color w:val="auto"/>
              </w:rPr>
              <w:t>Prepayments</w:t>
            </w:r>
          </w:p>
        </w:tc>
        <w:tc>
          <w:tcPr>
            <w:tcW w:w="340" w:type="dxa"/>
            <w:vAlign w:val="bottom"/>
          </w:tcPr>
          <w:p>
            <w:pPr>
              <w:jc w:val="right"/>
              <w:spacing w:after="0"/>
              <w:rPr>
                <w:sz w:val="20"/>
                <w:szCs w:val="20"/>
                <w:color w:val="auto"/>
              </w:rPr>
            </w:pPr>
            <w:r>
              <w:rPr>
                <w:rFonts w:ascii="Arial" w:cs="Arial" w:eastAsia="Arial" w:hAnsi="Arial"/>
                <w:sz w:val="20"/>
                <w:szCs w:val="20"/>
                <w:color w:val="auto"/>
              </w:rPr>
              <w:t>83</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2.06</w:t>
            </w:r>
          </w:p>
        </w:tc>
        <w:tc>
          <w:tcPr>
            <w:tcW w:w="10320" w:type="dxa"/>
            <w:vAlign w:val="bottom"/>
          </w:tcPr>
          <w:p>
            <w:pPr>
              <w:ind w:left="360"/>
              <w:spacing w:after="0"/>
              <w:rPr>
                <w:sz w:val="20"/>
                <w:szCs w:val="20"/>
                <w:color w:val="auto"/>
              </w:rPr>
            </w:pPr>
            <w:r>
              <w:rPr>
                <w:rFonts w:ascii="Arial" w:cs="Arial" w:eastAsia="Arial" w:hAnsi="Arial"/>
                <w:sz w:val="20"/>
                <w:szCs w:val="20"/>
                <w:color w:val="auto"/>
              </w:rPr>
              <w:t>Termination of Commitments</w:t>
            </w:r>
          </w:p>
        </w:tc>
        <w:tc>
          <w:tcPr>
            <w:tcW w:w="340" w:type="dxa"/>
            <w:vAlign w:val="bottom"/>
          </w:tcPr>
          <w:p>
            <w:pPr>
              <w:jc w:val="right"/>
              <w:spacing w:after="0"/>
              <w:rPr>
                <w:sz w:val="20"/>
                <w:szCs w:val="20"/>
                <w:color w:val="auto"/>
              </w:rPr>
            </w:pPr>
            <w:r>
              <w:rPr>
                <w:rFonts w:ascii="Arial" w:cs="Arial" w:eastAsia="Arial" w:hAnsi="Arial"/>
                <w:sz w:val="20"/>
                <w:szCs w:val="20"/>
                <w:color w:val="auto"/>
              </w:rPr>
              <w:t>89</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2.07</w:t>
            </w:r>
          </w:p>
        </w:tc>
        <w:tc>
          <w:tcPr>
            <w:tcW w:w="10320" w:type="dxa"/>
            <w:vAlign w:val="bottom"/>
          </w:tcPr>
          <w:p>
            <w:pPr>
              <w:ind w:left="360"/>
              <w:spacing w:after="0"/>
              <w:rPr>
                <w:sz w:val="20"/>
                <w:szCs w:val="20"/>
                <w:color w:val="auto"/>
              </w:rPr>
            </w:pPr>
            <w:r>
              <w:rPr>
                <w:rFonts w:ascii="Arial" w:cs="Arial" w:eastAsia="Arial" w:hAnsi="Arial"/>
                <w:sz w:val="20"/>
                <w:szCs w:val="20"/>
                <w:color w:val="auto"/>
              </w:rPr>
              <w:t>Repayment of Term Loans</w:t>
            </w:r>
          </w:p>
        </w:tc>
        <w:tc>
          <w:tcPr>
            <w:tcW w:w="340" w:type="dxa"/>
            <w:vAlign w:val="bottom"/>
          </w:tcPr>
          <w:p>
            <w:pPr>
              <w:jc w:val="right"/>
              <w:spacing w:after="0"/>
              <w:rPr>
                <w:sz w:val="20"/>
                <w:szCs w:val="20"/>
                <w:color w:val="auto"/>
              </w:rPr>
            </w:pPr>
            <w:r>
              <w:rPr>
                <w:rFonts w:ascii="Arial" w:cs="Arial" w:eastAsia="Arial" w:hAnsi="Arial"/>
                <w:sz w:val="20"/>
                <w:szCs w:val="20"/>
                <w:color w:val="auto"/>
              </w:rPr>
              <w:t>89</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2.08</w:t>
            </w:r>
          </w:p>
        </w:tc>
        <w:tc>
          <w:tcPr>
            <w:tcW w:w="10320" w:type="dxa"/>
            <w:vAlign w:val="bottom"/>
          </w:tcPr>
          <w:p>
            <w:pPr>
              <w:ind w:left="360"/>
              <w:spacing w:after="0"/>
              <w:rPr>
                <w:sz w:val="20"/>
                <w:szCs w:val="20"/>
                <w:color w:val="auto"/>
              </w:rPr>
            </w:pPr>
            <w:r>
              <w:rPr>
                <w:rFonts w:ascii="Arial" w:cs="Arial" w:eastAsia="Arial" w:hAnsi="Arial"/>
                <w:sz w:val="20"/>
                <w:szCs w:val="20"/>
                <w:color w:val="auto"/>
              </w:rPr>
              <w:t>Interest</w:t>
            </w:r>
          </w:p>
        </w:tc>
        <w:tc>
          <w:tcPr>
            <w:tcW w:w="340" w:type="dxa"/>
            <w:vAlign w:val="bottom"/>
          </w:tcPr>
          <w:p>
            <w:pPr>
              <w:jc w:val="right"/>
              <w:spacing w:after="0"/>
              <w:rPr>
                <w:sz w:val="20"/>
                <w:szCs w:val="20"/>
                <w:color w:val="auto"/>
              </w:rPr>
            </w:pPr>
            <w:r>
              <w:rPr>
                <w:rFonts w:ascii="Arial" w:cs="Arial" w:eastAsia="Arial" w:hAnsi="Arial"/>
                <w:sz w:val="20"/>
                <w:szCs w:val="20"/>
                <w:color w:val="auto"/>
              </w:rPr>
              <w:t>89</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2.09</w:t>
            </w:r>
          </w:p>
        </w:tc>
        <w:tc>
          <w:tcPr>
            <w:tcW w:w="10320" w:type="dxa"/>
            <w:vAlign w:val="bottom"/>
          </w:tcPr>
          <w:p>
            <w:pPr>
              <w:ind w:left="360"/>
              <w:spacing w:after="0"/>
              <w:rPr>
                <w:sz w:val="20"/>
                <w:szCs w:val="20"/>
                <w:color w:val="auto"/>
              </w:rPr>
            </w:pPr>
            <w:r>
              <w:rPr>
                <w:rFonts w:ascii="Arial" w:cs="Arial" w:eastAsia="Arial" w:hAnsi="Arial"/>
                <w:sz w:val="20"/>
                <w:szCs w:val="20"/>
                <w:color w:val="auto"/>
              </w:rPr>
              <w:t>[Reserved].</w:t>
            </w:r>
          </w:p>
        </w:tc>
        <w:tc>
          <w:tcPr>
            <w:tcW w:w="340" w:type="dxa"/>
            <w:vAlign w:val="bottom"/>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2.10</w:t>
            </w:r>
          </w:p>
        </w:tc>
        <w:tc>
          <w:tcPr>
            <w:tcW w:w="10320" w:type="dxa"/>
            <w:vAlign w:val="bottom"/>
          </w:tcPr>
          <w:p>
            <w:pPr>
              <w:ind w:left="360"/>
              <w:spacing w:after="0"/>
              <w:rPr>
                <w:sz w:val="20"/>
                <w:szCs w:val="20"/>
                <w:color w:val="auto"/>
              </w:rPr>
            </w:pPr>
            <w:r>
              <w:rPr>
                <w:rFonts w:ascii="Arial" w:cs="Arial" w:eastAsia="Arial" w:hAnsi="Arial"/>
                <w:sz w:val="20"/>
                <w:szCs w:val="20"/>
                <w:color w:val="auto"/>
              </w:rPr>
              <w:t>Computation of Interest and Fees; Retroactive Adjustments of Applicable Rate</w:t>
            </w:r>
          </w:p>
        </w:tc>
        <w:tc>
          <w:tcPr>
            <w:tcW w:w="340" w:type="dxa"/>
            <w:vAlign w:val="bottom"/>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2.11</w:t>
            </w:r>
          </w:p>
        </w:tc>
        <w:tc>
          <w:tcPr>
            <w:tcW w:w="10320" w:type="dxa"/>
            <w:vAlign w:val="bottom"/>
          </w:tcPr>
          <w:p>
            <w:pPr>
              <w:ind w:left="360"/>
              <w:spacing w:after="0"/>
              <w:rPr>
                <w:sz w:val="20"/>
                <w:szCs w:val="20"/>
                <w:color w:val="auto"/>
              </w:rPr>
            </w:pPr>
            <w:r>
              <w:rPr>
                <w:rFonts w:ascii="Arial" w:cs="Arial" w:eastAsia="Arial" w:hAnsi="Arial"/>
                <w:sz w:val="20"/>
                <w:szCs w:val="20"/>
                <w:color w:val="auto"/>
              </w:rPr>
              <w:t>Evidence of Indebtedness</w:t>
            </w:r>
          </w:p>
        </w:tc>
        <w:tc>
          <w:tcPr>
            <w:tcW w:w="340" w:type="dxa"/>
            <w:vAlign w:val="bottom"/>
          </w:tcPr>
          <w:p>
            <w:pPr>
              <w:jc w:val="right"/>
              <w:spacing w:after="0"/>
              <w:rPr>
                <w:sz w:val="20"/>
                <w:szCs w:val="20"/>
                <w:color w:val="auto"/>
              </w:rPr>
            </w:pPr>
            <w:r>
              <w:rPr>
                <w:rFonts w:ascii="Arial" w:cs="Arial" w:eastAsia="Arial" w:hAnsi="Arial"/>
                <w:sz w:val="20"/>
                <w:szCs w:val="20"/>
                <w:color w:val="auto"/>
              </w:rPr>
              <w:t>90</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2.12</w:t>
            </w:r>
          </w:p>
        </w:tc>
        <w:tc>
          <w:tcPr>
            <w:tcW w:w="10320" w:type="dxa"/>
            <w:vAlign w:val="bottom"/>
          </w:tcPr>
          <w:p>
            <w:pPr>
              <w:ind w:left="360"/>
              <w:spacing w:after="0"/>
              <w:rPr>
                <w:sz w:val="20"/>
                <w:szCs w:val="20"/>
                <w:color w:val="auto"/>
              </w:rPr>
            </w:pPr>
            <w:r>
              <w:rPr>
                <w:rFonts w:ascii="Arial" w:cs="Arial" w:eastAsia="Arial" w:hAnsi="Arial"/>
                <w:sz w:val="20"/>
                <w:szCs w:val="20"/>
                <w:color w:val="auto"/>
              </w:rPr>
              <w:t>Payments Generally; Administrative Agent’s Clawback.</w:t>
            </w:r>
          </w:p>
        </w:tc>
        <w:tc>
          <w:tcPr>
            <w:tcW w:w="340" w:type="dxa"/>
            <w:vAlign w:val="bottom"/>
          </w:tcPr>
          <w:p>
            <w:pPr>
              <w:jc w:val="right"/>
              <w:spacing w:after="0"/>
              <w:rPr>
                <w:sz w:val="20"/>
                <w:szCs w:val="20"/>
                <w:color w:val="auto"/>
              </w:rPr>
            </w:pPr>
            <w:r>
              <w:rPr>
                <w:rFonts w:ascii="Arial" w:cs="Arial" w:eastAsia="Arial" w:hAnsi="Arial"/>
                <w:sz w:val="20"/>
                <w:szCs w:val="20"/>
                <w:color w:val="auto"/>
              </w:rPr>
              <w:t>91</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2.13</w:t>
            </w:r>
          </w:p>
        </w:tc>
        <w:tc>
          <w:tcPr>
            <w:tcW w:w="10320" w:type="dxa"/>
            <w:vAlign w:val="bottom"/>
          </w:tcPr>
          <w:p>
            <w:pPr>
              <w:ind w:left="360"/>
              <w:spacing w:after="0"/>
              <w:rPr>
                <w:sz w:val="20"/>
                <w:szCs w:val="20"/>
                <w:color w:val="auto"/>
              </w:rPr>
            </w:pPr>
            <w:r>
              <w:rPr>
                <w:rFonts w:ascii="Arial" w:cs="Arial" w:eastAsia="Arial" w:hAnsi="Arial"/>
                <w:sz w:val="20"/>
                <w:szCs w:val="20"/>
                <w:color w:val="auto"/>
              </w:rPr>
              <w:t>Sharing of Payments</w:t>
            </w:r>
          </w:p>
        </w:tc>
        <w:tc>
          <w:tcPr>
            <w:tcW w:w="340" w:type="dxa"/>
            <w:vAlign w:val="bottom"/>
          </w:tcPr>
          <w:p>
            <w:pPr>
              <w:jc w:val="right"/>
              <w:spacing w:after="0"/>
              <w:rPr>
                <w:sz w:val="20"/>
                <w:szCs w:val="20"/>
                <w:color w:val="auto"/>
              </w:rPr>
            </w:pPr>
            <w:r>
              <w:rPr>
                <w:rFonts w:ascii="Arial" w:cs="Arial" w:eastAsia="Arial" w:hAnsi="Arial"/>
                <w:sz w:val="20"/>
                <w:szCs w:val="20"/>
                <w:color w:val="auto"/>
              </w:rPr>
              <w:t>92</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2.14</w:t>
            </w:r>
          </w:p>
        </w:tc>
        <w:tc>
          <w:tcPr>
            <w:tcW w:w="10320" w:type="dxa"/>
            <w:vAlign w:val="bottom"/>
          </w:tcPr>
          <w:p>
            <w:pPr>
              <w:ind w:left="360"/>
              <w:spacing w:after="0"/>
              <w:rPr>
                <w:sz w:val="20"/>
                <w:szCs w:val="20"/>
                <w:color w:val="auto"/>
              </w:rPr>
            </w:pPr>
            <w:r>
              <w:rPr>
                <w:rFonts w:ascii="Arial" w:cs="Arial" w:eastAsia="Arial" w:hAnsi="Arial"/>
                <w:sz w:val="20"/>
                <w:szCs w:val="20"/>
                <w:color w:val="auto"/>
              </w:rPr>
              <w:t>[Reserved]</w:t>
            </w:r>
          </w:p>
        </w:tc>
        <w:tc>
          <w:tcPr>
            <w:tcW w:w="340" w:type="dxa"/>
            <w:vAlign w:val="bottom"/>
          </w:tcPr>
          <w:p>
            <w:pPr>
              <w:jc w:val="right"/>
              <w:spacing w:after="0"/>
              <w:rPr>
                <w:sz w:val="20"/>
                <w:szCs w:val="20"/>
                <w:color w:val="auto"/>
              </w:rPr>
            </w:pPr>
            <w:r>
              <w:rPr>
                <w:rFonts w:ascii="Arial" w:cs="Arial" w:eastAsia="Arial" w:hAnsi="Arial"/>
                <w:sz w:val="20"/>
                <w:szCs w:val="20"/>
                <w:color w:val="auto"/>
              </w:rPr>
              <w:t>92</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2.15</w:t>
            </w:r>
          </w:p>
        </w:tc>
        <w:tc>
          <w:tcPr>
            <w:tcW w:w="10320" w:type="dxa"/>
            <w:vAlign w:val="bottom"/>
          </w:tcPr>
          <w:p>
            <w:pPr>
              <w:ind w:left="360"/>
              <w:spacing w:after="0"/>
              <w:rPr>
                <w:sz w:val="20"/>
                <w:szCs w:val="20"/>
                <w:color w:val="auto"/>
              </w:rPr>
            </w:pPr>
            <w:r>
              <w:rPr>
                <w:rFonts w:ascii="Arial" w:cs="Arial" w:eastAsia="Arial" w:hAnsi="Arial"/>
                <w:sz w:val="20"/>
                <w:szCs w:val="20"/>
                <w:color w:val="auto"/>
              </w:rPr>
              <w:t>Extension Offers</w:t>
            </w:r>
          </w:p>
        </w:tc>
        <w:tc>
          <w:tcPr>
            <w:tcW w:w="340" w:type="dxa"/>
            <w:vAlign w:val="bottom"/>
          </w:tcPr>
          <w:p>
            <w:pPr>
              <w:jc w:val="right"/>
              <w:spacing w:after="0"/>
              <w:rPr>
                <w:sz w:val="20"/>
                <w:szCs w:val="20"/>
                <w:color w:val="auto"/>
              </w:rPr>
            </w:pPr>
            <w:r>
              <w:rPr>
                <w:rFonts w:ascii="Arial" w:cs="Arial" w:eastAsia="Arial" w:hAnsi="Arial"/>
                <w:sz w:val="20"/>
                <w:szCs w:val="20"/>
                <w:color w:val="auto"/>
              </w:rPr>
              <w:t>93</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2.16</w:t>
            </w:r>
          </w:p>
        </w:tc>
        <w:tc>
          <w:tcPr>
            <w:tcW w:w="10320" w:type="dxa"/>
            <w:vAlign w:val="bottom"/>
          </w:tcPr>
          <w:p>
            <w:pPr>
              <w:ind w:left="360"/>
              <w:spacing w:after="0"/>
              <w:rPr>
                <w:sz w:val="20"/>
                <w:szCs w:val="20"/>
                <w:color w:val="auto"/>
              </w:rPr>
            </w:pPr>
            <w:r>
              <w:rPr>
                <w:rFonts w:ascii="Arial" w:cs="Arial" w:eastAsia="Arial" w:hAnsi="Arial"/>
                <w:sz w:val="20"/>
                <w:szCs w:val="20"/>
                <w:color w:val="auto"/>
              </w:rPr>
              <w:t>Incremental Facilities</w:t>
            </w:r>
          </w:p>
        </w:tc>
        <w:tc>
          <w:tcPr>
            <w:tcW w:w="340" w:type="dxa"/>
            <w:vAlign w:val="bottom"/>
          </w:tcPr>
          <w:p>
            <w:pPr>
              <w:jc w:val="right"/>
              <w:spacing w:after="0"/>
              <w:rPr>
                <w:sz w:val="20"/>
                <w:szCs w:val="20"/>
                <w:color w:val="auto"/>
              </w:rPr>
            </w:pPr>
            <w:r>
              <w:rPr>
                <w:rFonts w:ascii="Arial" w:cs="Arial" w:eastAsia="Arial" w:hAnsi="Arial"/>
                <w:sz w:val="20"/>
                <w:szCs w:val="20"/>
                <w:color w:val="auto"/>
              </w:rPr>
              <w:t>94</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2.17</w:t>
            </w:r>
          </w:p>
        </w:tc>
        <w:tc>
          <w:tcPr>
            <w:tcW w:w="10320" w:type="dxa"/>
            <w:vAlign w:val="bottom"/>
          </w:tcPr>
          <w:p>
            <w:pPr>
              <w:ind w:left="360"/>
              <w:spacing w:after="0"/>
              <w:rPr>
                <w:sz w:val="20"/>
                <w:szCs w:val="20"/>
                <w:color w:val="auto"/>
              </w:rPr>
            </w:pPr>
            <w:r>
              <w:rPr>
                <w:rFonts w:ascii="Arial" w:cs="Arial" w:eastAsia="Arial" w:hAnsi="Arial"/>
                <w:sz w:val="20"/>
                <w:szCs w:val="20"/>
                <w:color w:val="auto"/>
              </w:rPr>
              <w:t>Incremental Equivalent Debt</w:t>
            </w:r>
          </w:p>
        </w:tc>
        <w:tc>
          <w:tcPr>
            <w:tcW w:w="340" w:type="dxa"/>
            <w:vAlign w:val="bottom"/>
          </w:tcPr>
          <w:p>
            <w:pPr>
              <w:jc w:val="right"/>
              <w:spacing w:after="0"/>
              <w:rPr>
                <w:sz w:val="20"/>
                <w:szCs w:val="20"/>
                <w:color w:val="auto"/>
              </w:rPr>
            </w:pPr>
            <w:r>
              <w:rPr>
                <w:rFonts w:ascii="Arial" w:cs="Arial" w:eastAsia="Arial" w:hAnsi="Arial"/>
                <w:sz w:val="20"/>
                <w:szCs w:val="20"/>
                <w:color w:val="auto"/>
              </w:rPr>
              <w:t>98</w:t>
            </w:r>
          </w:p>
        </w:tc>
        <w:tc>
          <w:tcPr>
            <w:tcW w:w="20" w:type="dxa"/>
            <w:vAlign w:val="bottom"/>
          </w:tcPr>
          <w:p>
            <w:pPr>
              <w:spacing w:after="0"/>
              <w:rPr>
                <w:sz w:val="22"/>
                <w:szCs w:val="22"/>
                <w:color w:val="auto"/>
              </w:rPr>
            </w:pPr>
          </w:p>
        </w:tc>
      </w:tr>
      <w:tr>
        <w:trPr>
          <w:trHeight w:val="256"/>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2.18</w:t>
            </w:r>
          </w:p>
        </w:tc>
        <w:tc>
          <w:tcPr>
            <w:tcW w:w="10320" w:type="dxa"/>
            <w:vAlign w:val="bottom"/>
          </w:tcPr>
          <w:p>
            <w:pPr>
              <w:ind w:left="360"/>
              <w:spacing w:after="0"/>
              <w:rPr>
                <w:sz w:val="20"/>
                <w:szCs w:val="20"/>
                <w:color w:val="auto"/>
              </w:rPr>
            </w:pPr>
            <w:r>
              <w:rPr>
                <w:rFonts w:ascii="Arial" w:cs="Arial" w:eastAsia="Arial" w:hAnsi="Arial"/>
                <w:sz w:val="20"/>
                <w:szCs w:val="20"/>
                <w:color w:val="auto"/>
              </w:rPr>
              <w:t>Defaulting Lenders</w:t>
            </w: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100</w:t>
            </w:r>
          </w:p>
        </w:tc>
        <w:tc>
          <w:tcPr>
            <w:tcW w:w="20" w:type="dxa"/>
            <w:vAlign w:val="bottom"/>
          </w:tcPr>
          <w:p>
            <w:pPr>
              <w:spacing w:after="0"/>
              <w:rPr>
                <w:sz w:val="22"/>
                <w:szCs w:val="22"/>
                <w:color w:val="auto"/>
              </w:rPr>
            </w:pPr>
          </w:p>
        </w:tc>
      </w:tr>
      <w:tr>
        <w:trPr>
          <w:trHeight w:val="257"/>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2.19</w:t>
            </w:r>
          </w:p>
        </w:tc>
        <w:tc>
          <w:tcPr>
            <w:tcW w:w="10320" w:type="dxa"/>
            <w:vAlign w:val="bottom"/>
          </w:tcPr>
          <w:p>
            <w:pPr>
              <w:ind w:left="360"/>
              <w:spacing w:after="0"/>
              <w:rPr>
                <w:sz w:val="20"/>
                <w:szCs w:val="20"/>
                <w:color w:val="auto"/>
              </w:rPr>
            </w:pPr>
            <w:r>
              <w:rPr>
                <w:rFonts w:ascii="Arial" w:cs="Arial" w:eastAsia="Arial" w:hAnsi="Arial"/>
                <w:sz w:val="20"/>
                <w:szCs w:val="20"/>
                <w:color w:val="auto"/>
              </w:rPr>
              <w:t>Specified Refinancing Debt</w:t>
            </w: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101</w:t>
            </w:r>
          </w:p>
        </w:tc>
        <w:tc>
          <w:tcPr>
            <w:tcW w:w="20" w:type="dxa"/>
            <w:vAlign w:val="bottom"/>
          </w:tcPr>
          <w:p>
            <w:pPr>
              <w:spacing w:after="0"/>
              <w:rPr>
                <w:sz w:val="22"/>
                <w:szCs w:val="22"/>
                <w:color w:val="auto"/>
              </w:rPr>
            </w:pPr>
          </w:p>
        </w:tc>
      </w:tr>
      <w:tr>
        <w:trPr>
          <w:trHeight w:val="45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320" w:type="dxa"/>
            <w:vAlign w:val="bottom"/>
          </w:tcPr>
          <w:p>
            <w:pPr>
              <w:jc w:val="center"/>
              <w:ind w:right="101"/>
              <w:spacing w:after="0"/>
              <w:rPr>
                <w:sz w:val="20"/>
                <w:szCs w:val="20"/>
                <w:color w:val="auto"/>
              </w:rPr>
            </w:pPr>
            <w:r>
              <w:rPr>
                <w:rFonts w:ascii="Arial" w:cs="Arial" w:eastAsia="Arial" w:hAnsi="Arial"/>
                <w:sz w:val="20"/>
                <w:szCs w:val="20"/>
                <w:color w:val="auto"/>
              </w:rPr>
              <w:t>ARTICLE III</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320" w:type="dxa"/>
            <w:vAlign w:val="bottom"/>
          </w:tcPr>
          <w:p>
            <w:pPr>
              <w:jc w:val="center"/>
              <w:ind w:right="81"/>
              <w:spacing w:after="0"/>
              <w:rPr>
                <w:sz w:val="20"/>
                <w:szCs w:val="20"/>
                <w:color w:val="auto"/>
              </w:rPr>
            </w:pPr>
            <w:r>
              <w:rPr>
                <w:rFonts w:ascii="Arial" w:cs="Arial" w:eastAsia="Arial" w:hAnsi="Arial"/>
                <w:sz w:val="20"/>
                <w:szCs w:val="20"/>
                <w:color w:val="auto"/>
                <w:w w:val="95"/>
              </w:rPr>
              <w:t>TAXES, INCREASED COSTS PROTECTION AND ILLEGALITY</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50"/>
        </w:trPr>
        <w:tc>
          <w:tcPr>
            <w:tcW w:w="560" w:type="dxa"/>
            <w:vAlign w:val="bottom"/>
            <w:gridSpan w:val="2"/>
          </w:tcPr>
          <w:p>
            <w:pPr>
              <w:ind w:left="20"/>
              <w:spacing w:after="0"/>
              <w:rPr>
                <w:sz w:val="20"/>
                <w:szCs w:val="20"/>
                <w:color w:val="auto"/>
              </w:rPr>
            </w:pPr>
            <w:r>
              <w:rPr>
                <w:rFonts w:ascii="Arial" w:cs="Arial" w:eastAsia="Arial" w:hAnsi="Arial"/>
                <w:sz w:val="20"/>
                <w:szCs w:val="20"/>
                <w:color w:val="auto"/>
              </w:rPr>
              <w:t>3.01</w:t>
            </w:r>
          </w:p>
        </w:tc>
        <w:tc>
          <w:tcPr>
            <w:tcW w:w="10320" w:type="dxa"/>
            <w:vAlign w:val="bottom"/>
          </w:tcPr>
          <w:p>
            <w:pPr>
              <w:ind w:left="360"/>
              <w:spacing w:after="0"/>
              <w:rPr>
                <w:sz w:val="20"/>
                <w:szCs w:val="20"/>
                <w:color w:val="auto"/>
              </w:rPr>
            </w:pPr>
            <w:r>
              <w:rPr>
                <w:rFonts w:ascii="Arial" w:cs="Arial" w:eastAsia="Arial" w:hAnsi="Arial"/>
                <w:sz w:val="20"/>
                <w:szCs w:val="20"/>
                <w:color w:val="auto"/>
              </w:rPr>
              <w:t>Taxes</w:t>
            </w: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103</w:t>
            </w:r>
          </w:p>
        </w:tc>
        <w:tc>
          <w:tcPr>
            <w:tcW w:w="2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20" w:type="dxa"/>
            <w:vAlign w:val="bottom"/>
          </w:tcPr>
          <w:p>
            <w:pPr>
              <w:jc w:val="center"/>
              <w:ind w:right="101"/>
              <w:spacing w:after="0"/>
              <w:rPr>
                <w:sz w:val="20"/>
                <w:szCs w:val="20"/>
                <w:color w:val="auto"/>
              </w:rPr>
            </w:pPr>
            <w:r>
              <w:rPr>
                <w:rFonts w:ascii="Arial" w:cs="Arial" w:eastAsia="Arial" w:hAnsi="Arial"/>
                <w:sz w:val="18"/>
                <w:szCs w:val="18"/>
                <w:color w:val="auto"/>
                <w:w w:val="99"/>
              </w:rPr>
              <w:t>-i-</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95"/>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0"/>
        </w:trPr>
        <w:tc>
          <w:tcPr>
            <w:tcW w:w="640" w:type="dxa"/>
            <w:vAlign w:val="bottom"/>
          </w:tcPr>
          <w:p>
            <w:pPr>
              <w:ind w:left="20"/>
              <w:spacing w:after="0"/>
              <w:rPr>
                <w:sz w:val="20"/>
                <w:szCs w:val="20"/>
                <w:color w:val="auto"/>
              </w:rPr>
            </w:pPr>
            <w:r>
              <w:rPr>
                <w:rFonts w:ascii="Arial" w:cs="Arial" w:eastAsia="Arial" w:hAnsi="Arial"/>
                <w:sz w:val="20"/>
                <w:szCs w:val="20"/>
                <w:color w:val="auto"/>
              </w:rPr>
              <w:t>3.02</w:t>
            </w:r>
          </w:p>
        </w:tc>
        <w:tc>
          <w:tcPr>
            <w:tcW w:w="8540" w:type="dxa"/>
            <w:vAlign w:val="bottom"/>
          </w:tcPr>
          <w:p>
            <w:pPr>
              <w:ind w:left="280"/>
              <w:spacing w:after="0"/>
              <w:rPr>
                <w:sz w:val="20"/>
                <w:szCs w:val="20"/>
                <w:color w:val="auto"/>
              </w:rPr>
            </w:pPr>
            <w:r>
              <w:rPr>
                <w:rFonts w:ascii="Arial" w:cs="Arial" w:eastAsia="Arial" w:hAnsi="Arial"/>
                <w:sz w:val="20"/>
                <w:szCs w:val="20"/>
                <w:color w:val="auto"/>
              </w:rPr>
              <w:t>[Reserved]</w:t>
            </w:r>
          </w:p>
        </w:tc>
        <w:tc>
          <w:tcPr>
            <w:tcW w:w="206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3.03</w:t>
            </w:r>
          </w:p>
        </w:tc>
        <w:tc>
          <w:tcPr>
            <w:tcW w:w="8540" w:type="dxa"/>
            <w:vAlign w:val="bottom"/>
          </w:tcPr>
          <w:p>
            <w:pPr>
              <w:ind w:left="280"/>
              <w:spacing w:after="0"/>
              <w:rPr>
                <w:sz w:val="20"/>
                <w:szCs w:val="20"/>
                <w:color w:val="auto"/>
              </w:rPr>
            </w:pPr>
            <w:r>
              <w:rPr>
                <w:rFonts w:ascii="Arial" w:cs="Arial" w:eastAsia="Arial" w:hAnsi="Arial"/>
                <w:sz w:val="20"/>
                <w:szCs w:val="20"/>
                <w:color w:val="auto"/>
              </w:rPr>
              <w:t>Market Disruption; Inability to Determine Rates</w:t>
            </w:r>
          </w:p>
        </w:tc>
        <w:tc>
          <w:tcPr>
            <w:tcW w:w="206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3.04</w:t>
            </w:r>
          </w:p>
        </w:tc>
        <w:tc>
          <w:tcPr>
            <w:tcW w:w="8540" w:type="dxa"/>
            <w:vAlign w:val="bottom"/>
          </w:tcPr>
          <w:p>
            <w:pPr>
              <w:ind w:left="280"/>
              <w:spacing w:after="0"/>
              <w:rPr>
                <w:sz w:val="20"/>
                <w:szCs w:val="20"/>
                <w:color w:val="auto"/>
              </w:rPr>
            </w:pPr>
            <w:r>
              <w:rPr>
                <w:rFonts w:ascii="Arial" w:cs="Arial" w:eastAsia="Arial" w:hAnsi="Arial"/>
                <w:sz w:val="20"/>
                <w:szCs w:val="20"/>
                <w:color w:val="auto"/>
              </w:rPr>
              <w:t>Increased Cost and Reduced Return; Capital Adequacy</w:t>
            </w:r>
          </w:p>
        </w:tc>
        <w:tc>
          <w:tcPr>
            <w:tcW w:w="206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3.05</w:t>
            </w:r>
          </w:p>
        </w:tc>
        <w:tc>
          <w:tcPr>
            <w:tcW w:w="8540" w:type="dxa"/>
            <w:vAlign w:val="bottom"/>
          </w:tcPr>
          <w:p>
            <w:pPr>
              <w:ind w:left="280"/>
              <w:spacing w:after="0"/>
              <w:rPr>
                <w:sz w:val="20"/>
                <w:szCs w:val="20"/>
                <w:color w:val="auto"/>
              </w:rPr>
            </w:pPr>
            <w:r>
              <w:rPr>
                <w:rFonts w:ascii="Arial" w:cs="Arial" w:eastAsia="Arial" w:hAnsi="Arial"/>
                <w:sz w:val="20"/>
                <w:szCs w:val="20"/>
                <w:color w:val="auto"/>
              </w:rPr>
              <w:t>Funding Losses</w:t>
            </w:r>
          </w:p>
        </w:tc>
        <w:tc>
          <w:tcPr>
            <w:tcW w:w="206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3.06</w:t>
            </w:r>
          </w:p>
        </w:tc>
        <w:tc>
          <w:tcPr>
            <w:tcW w:w="8540" w:type="dxa"/>
            <w:vAlign w:val="bottom"/>
          </w:tcPr>
          <w:p>
            <w:pPr>
              <w:ind w:left="280"/>
              <w:spacing w:after="0"/>
              <w:rPr>
                <w:sz w:val="20"/>
                <w:szCs w:val="20"/>
                <w:color w:val="auto"/>
              </w:rPr>
            </w:pPr>
            <w:r>
              <w:rPr>
                <w:rFonts w:ascii="Arial" w:cs="Arial" w:eastAsia="Arial" w:hAnsi="Arial"/>
                <w:sz w:val="20"/>
                <w:szCs w:val="20"/>
                <w:color w:val="auto"/>
              </w:rPr>
              <w:t>Matters Applicable to All Requests for Compensation</w:t>
            </w:r>
          </w:p>
        </w:tc>
        <w:tc>
          <w:tcPr>
            <w:tcW w:w="20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3.07</w:t>
            </w:r>
          </w:p>
        </w:tc>
        <w:tc>
          <w:tcPr>
            <w:tcW w:w="8540" w:type="dxa"/>
            <w:vAlign w:val="bottom"/>
          </w:tcPr>
          <w:p>
            <w:pPr>
              <w:ind w:left="280"/>
              <w:spacing w:after="0"/>
              <w:rPr>
                <w:sz w:val="20"/>
                <w:szCs w:val="20"/>
                <w:color w:val="auto"/>
              </w:rPr>
            </w:pPr>
            <w:r>
              <w:rPr>
                <w:rFonts w:ascii="Arial" w:cs="Arial" w:eastAsia="Arial" w:hAnsi="Arial"/>
                <w:sz w:val="20"/>
                <w:szCs w:val="20"/>
                <w:color w:val="auto"/>
              </w:rPr>
              <w:t>Replacement of Lenders Under Certain Circumstances</w:t>
            </w:r>
          </w:p>
        </w:tc>
        <w:tc>
          <w:tcPr>
            <w:tcW w:w="20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3.08</w:t>
            </w:r>
          </w:p>
        </w:tc>
        <w:tc>
          <w:tcPr>
            <w:tcW w:w="8540" w:type="dxa"/>
            <w:vAlign w:val="bottom"/>
          </w:tcPr>
          <w:p>
            <w:pPr>
              <w:ind w:left="280"/>
              <w:spacing w:after="0"/>
              <w:rPr>
                <w:sz w:val="20"/>
                <w:szCs w:val="20"/>
                <w:color w:val="auto"/>
              </w:rPr>
            </w:pPr>
            <w:r>
              <w:rPr>
                <w:rFonts w:ascii="Arial" w:cs="Arial" w:eastAsia="Arial" w:hAnsi="Arial"/>
                <w:sz w:val="20"/>
                <w:szCs w:val="20"/>
                <w:color w:val="auto"/>
              </w:rPr>
              <w:t>Survival</w:t>
            </w:r>
          </w:p>
        </w:tc>
        <w:tc>
          <w:tcPr>
            <w:tcW w:w="20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452"/>
        </w:trPr>
        <w:tc>
          <w:tcPr>
            <w:tcW w:w="640" w:type="dxa"/>
            <w:vAlign w:val="bottom"/>
          </w:tcPr>
          <w:p>
            <w:pPr>
              <w:spacing w:after="0"/>
              <w:rPr>
                <w:sz w:val="24"/>
                <w:szCs w:val="24"/>
                <w:color w:val="auto"/>
              </w:rPr>
            </w:pPr>
          </w:p>
        </w:tc>
        <w:tc>
          <w:tcPr>
            <w:tcW w:w="8540" w:type="dxa"/>
            <w:vAlign w:val="bottom"/>
          </w:tcPr>
          <w:p>
            <w:pPr>
              <w:jc w:val="center"/>
              <w:ind w:left="1321"/>
              <w:spacing w:after="0"/>
              <w:rPr>
                <w:sz w:val="20"/>
                <w:szCs w:val="20"/>
                <w:color w:val="auto"/>
              </w:rPr>
            </w:pPr>
            <w:r>
              <w:rPr>
                <w:rFonts w:ascii="Arial" w:cs="Arial" w:eastAsia="Arial" w:hAnsi="Arial"/>
                <w:sz w:val="20"/>
                <w:szCs w:val="20"/>
                <w:color w:val="auto"/>
                <w:w w:val="99"/>
              </w:rPr>
              <w:t>ARTICLE IV</w:t>
            </w:r>
          </w:p>
        </w:tc>
        <w:tc>
          <w:tcPr>
            <w:tcW w:w="2060" w:type="dxa"/>
            <w:vAlign w:val="bottom"/>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8540" w:type="dxa"/>
            <w:vAlign w:val="bottom"/>
          </w:tcPr>
          <w:p>
            <w:pPr>
              <w:jc w:val="center"/>
              <w:ind w:left="1321"/>
              <w:spacing w:after="0"/>
              <w:rPr>
                <w:sz w:val="20"/>
                <w:szCs w:val="20"/>
                <w:color w:val="auto"/>
              </w:rPr>
            </w:pPr>
            <w:r>
              <w:rPr>
                <w:rFonts w:ascii="Arial" w:cs="Arial" w:eastAsia="Arial" w:hAnsi="Arial"/>
                <w:sz w:val="20"/>
                <w:szCs w:val="20"/>
                <w:color w:val="auto"/>
                <w:w w:val="94"/>
              </w:rPr>
              <w:t>CONDITIONS PRECEDENT</w:t>
            </w:r>
          </w:p>
        </w:tc>
        <w:tc>
          <w:tcPr>
            <w:tcW w:w="2060" w:type="dxa"/>
            <w:vAlign w:val="bottom"/>
          </w:tcPr>
          <w:p>
            <w:pPr>
              <w:spacing w:after="0"/>
              <w:rPr>
                <w:sz w:val="21"/>
                <w:szCs w:val="21"/>
                <w:color w:val="auto"/>
              </w:rPr>
            </w:pPr>
          </w:p>
        </w:tc>
      </w:tr>
      <w:tr>
        <w:trPr>
          <w:trHeight w:val="473"/>
        </w:trPr>
        <w:tc>
          <w:tcPr>
            <w:tcW w:w="640" w:type="dxa"/>
            <w:vAlign w:val="bottom"/>
          </w:tcPr>
          <w:p>
            <w:pPr>
              <w:ind w:left="20"/>
              <w:spacing w:after="0"/>
              <w:rPr>
                <w:sz w:val="20"/>
                <w:szCs w:val="20"/>
                <w:color w:val="auto"/>
              </w:rPr>
            </w:pPr>
            <w:r>
              <w:rPr>
                <w:rFonts w:ascii="Arial" w:cs="Arial" w:eastAsia="Arial" w:hAnsi="Arial"/>
                <w:sz w:val="20"/>
                <w:szCs w:val="20"/>
                <w:color w:val="auto"/>
              </w:rPr>
              <w:t>4.01</w:t>
            </w:r>
          </w:p>
        </w:tc>
        <w:tc>
          <w:tcPr>
            <w:tcW w:w="8540" w:type="dxa"/>
            <w:vAlign w:val="bottom"/>
          </w:tcPr>
          <w:p>
            <w:pPr>
              <w:ind w:left="280"/>
              <w:spacing w:after="0"/>
              <w:rPr>
                <w:sz w:val="20"/>
                <w:szCs w:val="20"/>
                <w:color w:val="auto"/>
              </w:rPr>
            </w:pPr>
            <w:r>
              <w:rPr>
                <w:rFonts w:ascii="Arial" w:cs="Arial" w:eastAsia="Arial" w:hAnsi="Arial"/>
                <w:sz w:val="20"/>
                <w:szCs w:val="20"/>
                <w:color w:val="auto"/>
              </w:rPr>
              <w:t>Conditions to the Initial Credit Extension on the Closing Date</w:t>
            </w:r>
          </w:p>
        </w:tc>
        <w:tc>
          <w:tcPr>
            <w:tcW w:w="20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4.02</w:t>
            </w:r>
          </w:p>
        </w:tc>
        <w:tc>
          <w:tcPr>
            <w:tcW w:w="8540" w:type="dxa"/>
            <w:vAlign w:val="bottom"/>
          </w:tcPr>
          <w:p>
            <w:pPr>
              <w:ind w:left="280"/>
              <w:spacing w:after="0"/>
              <w:rPr>
                <w:sz w:val="20"/>
                <w:szCs w:val="20"/>
                <w:color w:val="auto"/>
              </w:rPr>
            </w:pPr>
            <w:r>
              <w:rPr>
                <w:rFonts w:ascii="Arial" w:cs="Arial" w:eastAsia="Arial" w:hAnsi="Arial"/>
                <w:sz w:val="20"/>
                <w:szCs w:val="20"/>
                <w:color w:val="auto"/>
              </w:rPr>
              <w:t>Conditions to All Credit Extensions</w:t>
            </w:r>
          </w:p>
        </w:tc>
        <w:tc>
          <w:tcPr>
            <w:tcW w:w="206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452"/>
        </w:trPr>
        <w:tc>
          <w:tcPr>
            <w:tcW w:w="640" w:type="dxa"/>
            <w:vAlign w:val="bottom"/>
          </w:tcPr>
          <w:p>
            <w:pPr>
              <w:spacing w:after="0"/>
              <w:rPr>
                <w:sz w:val="24"/>
                <w:szCs w:val="24"/>
                <w:color w:val="auto"/>
              </w:rPr>
            </w:pPr>
          </w:p>
        </w:tc>
        <w:tc>
          <w:tcPr>
            <w:tcW w:w="8540" w:type="dxa"/>
            <w:vAlign w:val="bottom"/>
          </w:tcPr>
          <w:p>
            <w:pPr>
              <w:jc w:val="center"/>
              <w:ind w:left="1341"/>
              <w:spacing w:after="0"/>
              <w:rPr>
                <w:sz w:val="20"/>
                <w:szCs w:val="20"/>
                <w:color w:val="auto"/>
              </w:rPr>
            </w:pPr>
            <w:r>
              <w:rPr>
                <w:rFonts w:ascii="Arial" w:cs="Arial" w:eastAsia="Arial" w:hAnsi="Arial"/>
                <w:sz w:val="20"/>
                <w:szCs w:val="20"/>
                <w:color w:val="auto"/>
                <w:w w:val="98"/>
              </w:rPr>
              <w:t>ARTICLE V</w:t>
            </w:r>
          </w:p>
        </w:tc>
        <w:tc>
          <w:tcPr>
            <w:tcW w:w="2060" w:type="dxa"/>
            <w:vAlign w:val="bottom"/>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8540" w:type="dxa"/>
            <w:vAlign w:val="bottom"/>
          </w:tcPr>
          <w:p>
            <w:pPr>
              <w:jc w:val="center"/>
              <w:ind w:left="1341"/>
              <w:spacing w:after="0"/>
              <w:rPr>
                <w:sz w:val="20"/>
                <w:szCs w:val="20"/>
                <w:color w:val="auto"/>
              </w:rPr>
            </w:pPr>
            <w:r>
              <w:rPr>
                <w:rFonts w:ascii="Arial" w:cs="Arial" w:eastAsia="Arial" w:hAnsi="Arial"/>
                <w:sz w:val="20"/>
                <w:szCs w:val="20"/>
                <w:color w:val="auto"/>
                <w:w w:val="93"/>
              </w:rPr>
              <w:t>REPRESENTATIONS AND WARRANTIES</w:t>
            </w:r>
          </w:p>
        </w:tc>
        <w:tc>
          <w:tcPr>
            <w:tcW w:w="2060" w:type="dxa"/>
            <w:vAlign w:val="bottom"/>
          </w:tcPr>
          <w:p>
            <w:pPr>
              <w:spacing w:after="0"/>
              <w:rPr>
                <w:sz w:val="21"/>
                <w:szCs w:val="21"/>
                <w:color w:val="auto"/>
              </w:rPr>
            </w:pPr>
          </w:p>
        </w:tc>
      </w:tr>
      <w:tr>
        <w:trPr>
          <w:trHeight w:val="473"/>
        </w:trPr>
        <w:tc>
          <w:tcPr>
            <w:tcW w:w="640" w:type="dxa"/>
            <w:vAlign w:val="bottom"/>
          </w:tcPr>
          <w:p>
            <w:pPr>
              <w:ind w:left="20"/>
              <w:spacing w:after="0"/>
              <w:rPr>
                <w:sz w:val="20"/>
                <w:szCs w:val="20"/>
                <w:color w:val="auto"/>
              </w:rPr>
            </w:pPr>
            <w:r>
              <w:rPr>
                <w:rFonts w:ascii="Arial" w:cs="Arial" w:eastAsia="Arial" w:hAnsi="Arial"/>
                <w:sz w:val="20"/>
                <w:szCs w:val="20"/>
                <w:color w:val="auto"/>
              </w:rPr>
              <w:t>5.01</w:t>
            </w:r>
          </w:p>
        </w:tc>
        <w:tc>
          <w:tcPr>
            <w:tcW w:w="8540" w:type="dxa"/>
            <w:vAlign w:val="bottom"/>
          </w:tcPr>
          <w:p>
            <w:pPr>
              <w:ind w:left="280"/>
              <w:spacing w:after="0"/>
              <w:rPr>
                <w:sz w:val="20"/>
                <w:szCs w:val="20"/>
                <w:color w:val="auto"/>
              </w:rPr>
            </w:pPr>
            <w:r>
              <w:rPr>
                <w:rFonts w:ascii="Arial" w:cs="Arial" w:eastAsia="Arial" w:hAnsi="Arial"/>
                <w:sz w:val="20"/>
                <w:szCs w:val="20"/>
                <w:color w:val="auto"/>
              </w:rPr>
              <w:t>Existence, Qualification and Power; Compliance with Laws</w:t>
            </w:r>
          </w:p>
        </w:tc>
        <w:tc>
          <w:tcPr>
            <w:tcW w:w="20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5.02</w:t>
            </w:r>
          </w:p>
        </w:tc>
        <w:tc>
          <w:tcPr>
            <w:tcW w:w="8540" w:type="dxa"/>
            <w:vAlign w:val="bottom"/>
          </w:tcPr>
          <w:p>
            <w:pPr>
              <w:ind w:left="280"/>
              <w:spacing w:after="0"/>
              <w:rPr>
                <w:sz w:val="20"/>
                <w:szCs w:val="20"/>
                <w:color w:val="auto"/>
              </w:rPr>
            </w:pPr>
            <w:r>
              <w:rPr>
                <w:rFonts w:ascii="Arial" w:cs="Arial" w:eastAsia="Arial" w:hAnsi="Arial"/>
                <w:sz w:val="20"/>
                <w:szCs w:val="20"/>
                <w:color w:val="auto"/>
              </w:rPr>
              <w:t>Authorization; No Contravention</w:t>
            </w:r>
          </w:p>
        </w:tc>
        <w:tc>
          <w:tcPr>
            <w:tcW w:w="20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5.03</w:t>
            </w:r>
          </w:p>
        </w:tc>
        <w:tc>
          <w:tcPr>
            <w:tcW w:w="8540" w:type="dxa"/>
            <w:vAlign w:val="bottom"/>
          </w:tcPr>
          <w:p>
            <w:pPr>
              <w:ind w:left="280"/>
              <w:spacing w:after="0"/>
              <w:rPr>
                <w:sz w:val="20"/>
                <w:szCs w:val="20"/>
                <w:color w:val="auto"/>
              </w:rPr>
            </w:pPr>
            <w:r>
              <w:rPr>
                <w:rFonts w:ascii="Arial" w:cs="Arial" w:eastAsia="Arial" w:hAnsi="Arial"/>
                <w:sz w:val="20"/>
                <w:szCs w:val="20"/>
                <w:color w:val="auto"/>
              </w:rPr>
              <w:t>Governmental Authorization; Other Consents</w:t>
            </w:r>
          </w:p>
        </w:tc>
        <w:tc>
          <w:tcPr>
            <w:tcW w:w="20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5.04</w:t>
            </w:r>
          </w:p>
        </w:tc>
        <w:tc>
          <w:tcPr>
            <w:tcW w:w="8540" w:type="dxa"/>
            <w:vAlign w:val="bottom"/>
          </w:tcPr>
          <w:p>
            <w:pPr>
              <w:ind w:left="280"/>
              <w:spacing w:after="0"/>
              <w:rPr>
                <w:sz w:val="20"/>
                <w:szCs w:val="20"/>
                <w:color w:val="auto"/>
              </w:rPr>
            </w:pPr>
            <w:r>
              <w:rPr>
                <w:rFonts w:ascii="Arial" w:cs="Arial" w:eastAsia="Arial" w:hAnsi="Arial"/>
                <w:sz w:val="20"/>
                <w:szCs w:val="20"/>
                <w:color w:val="auto"/>
              </w:rPr>
              <w:t>Binding Effect</w:t>
            </w:r>
          </w:p>
        </w:tc>
        <w:tc>
          <w:tcPr>
            <w:tcW w:w="206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5.05</w:t>
            </w:r>
          </w:p>
        </w:tc>
        <w:tc>
          <w:tcPr>
            <w:tcW w:w="8540" w:type="dxa"/>
            <w:vAlign w:val="bottom"/>
          </w:tcPr>
          <w:p>
            <w:pPr>
              <w:ind w:left="280"/>
              <w:spacing w:after="0"/>
              <w:rPr>
                <w:sz w:val="20"/>
                <w:szCs w:val="20"/>
                <w:color w:val="auto"/>
              </w:rPr>
            </w:pPr>
            <w:r>
              <w:rPr>
                <w:rFonts w:ascii="Arial" w:cs="Arial" w:eastAsia="Arial" w:hAnsi="Arial"/>
                <w:sz w:val="20"/>
                <w:szCs w:val="20"/>
                <w:color w:val="auto"/>
              </w:rPr>
              <w:t>Financial Statements; No Material Adverse Effect</w:t>
            </w:r>
          </w:p>
        </w:tc>
        <w:tc>
          <w:tcPr>
            <w:tcW w:w="206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5.06</w:t>
            </w:r>
          </w:p>
        </w:tc>
        <w:tc>
          <w:tcPr>
            <w:tcW w:w="8540" w:type="dxa"/>
            <w:vAlign w:val="bottom"/>
          </w:tcPr>
          <w:p>
            <w:pPr>
              <w:ind w:left="280"/>
              <w:spacing w:after="0"/>
              <w:rPr>
                <w:sz w:val="20"/>
                <w:szCs w:val="20"/>
                <w:color w:val="auto"/>
              </w:rPr>
            </w:pPr>
            <w:r>
              <w:rPr>
                <w:rFonts w:ascii="Arial" w:cs="Arial" w:eastAsia="Arial" w:hAnsi="Arial"/>
                <w:sz w:val="20"/>
                <w:szCs w:val="20"/>
                <w:color w:val="auto"/>
              </w:rPr>
              <w:t>Litigation</w:t>
            </w:r>
          </w:p>
        </w:tc>
        <w:tc>
          <w:tcPr>
            <w:tcW w:w="206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5.07</w:t>
            </w:r>
          </w:p>
        </w:tc>
        <w:tc>
          <w:tcPr>
            <w:tcW w:w="8540" w:type="dxa"/>
            <w:vAlign w:val="bottom"/>
          </w:tcPr>
          <w:p>
            <w:pPr>
              <w:ind w:left="280"/>
              <w:spacing w:after="0"/>
              <w:rPr>
                <w:sz w:val="20"/>
                <w:szCs w:val="20"/>
                <w:color w:val="auto"/>
              </w:rPr>
            </w:pPr>
            <w:r>
              <w:rPr>
                <w:rFonts w:ascii="Arial" w:cs="Arial" w:eastAsia="Arial" w:hAnsi="Arial"/>
                <w:sz w:val="20"/>
                <w:szCs w:val="20"/>
                <w:color w:val="auto"/>
              </w:rPr>
              <w:t>Use of Proceeds</w:t>
            </w:r>
          </w:p>
        </w:tc>
        <w:tc>
          <w:tcPr>
            <w:tcW w:w="206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5.08</w:t>
            </w:r>
          </w:p>
        </w:tc>
        <w:tc>
          <w:tcPr>
            <w:tcW w:w="8540" w:type="dxa"/>
            <w:vAlign w:val="bottom"/>
          </w:tcPr>
          <w:p>
            <w:pPr>
              <w:ind w:left="280"/>
              <w:spacing w:after="0"/>
              <w:rPr>
                <w:sz w:val="20"/>
                <w:szCs w:val="20"/>
                <w:color w:val="auto"/>
              </w:rPr>
            </w:pPr>
            <w:r>
              <w:rPr>
                <w:rFonts w:ascii="Arial" w:cs="Arial" w:eastAsia="Arial" w:hAnsi="Arial"/>
                <w:sz w:val="20"/>
                <w:szCs w:val="20"/>
                <w:color w:val="auto"/>
              </w:rPr>
              <w:t>Ownership of Property; Liens</w:t>
            </w:r>
          </w:p>
        </w:tc>
        <w:tc>
          <w:tcPr>
            <w:tcW w:w="206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5.09</w:t>
            </w:r>
          </w:p>
        </w:tc>
        <w:tc>
          <w:tcPr>
            <w:tcW w:w="8540" w:type="dxa"/>
            <w:vAlign w:val="bottom"/>
          </w:tcPr>
          <w:p>
            <w:pPr>
              <w:ind w:left="280"/>
              <w:spacing w:after="0"/>
              <w:rPr>
                <w:sz w:val="20"/>
                <w:szCs w:val="20"/>
                <w:color w:val="auto"/>
              </w:rPr>
            </w:pPr>
            <w:r>
              <w:rPr>
                <w:rFonts w:ascii="Arial" w:cs="Arial" w:eastAsia="Arial" w:hAnsi="Arial"/>
                <w:sz w:val="20"/>
                <w:szCs w:val="20"/>
                <w:color w:val="auto"/>
              </w:rPr>
              <w:t>Environmental Compliance</w:t>
            </w:r>
          </w:p>
        </w:tc>
        <w:tc>
          <w:tcPr>
            <w:tcW w:w="206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5.10</w:t>
            </w:r>
          </w:p>
        </w:tc>
        <w:tc>
          <w:tcPr>
            <w:tcW w:w="8540" w:type="dxa"/>
            <w:vAlign w:val="bottom"/>
          </w:tcPr>
          <w:p>
            <w:pPr>
              <w:ind w:left="280"/>
              <w:spacing w:after="0"/>
              <w:rPr>
                <w:sz w:val="20"/>
                <w:szCs w:val="20"/>
                <w:color w:val="auto"/>
              </w:rPr>
            </w:pPr>
            <w:r>
              <w:rPr>
                <w:rFonts w:ascii="Arial" w:cs="Arial" w:eastAsia="Arial" w:hAnsi="Arial"/>
                <w:sz w:val="20"/>
                <w:szCs w:val="20"/>
                <w:color w:val="auto"/>
              </w:rPr>
              <w:t>Taxes</w:t>
            </w:r>
          </w:p>
        </w:tc>
        <w:tc>
          <w:tcPr>
            <w:tcW w:w="206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5.11</w:t>
            </w:r>
          </w:p>
        </w:tc>
        <w:tc>
          <w:tcPr>
            <w:tcW w:w="8540" w:type="dxa"/>
            <w:vAlign w:val="bottom"/>
          </w:tcPr>
          <w:p>
            <w:pPr>
              <w:ind w:left="280"/>
              <w:spacing w:after="0"/>
              <w:rPr>
                <w:sz w:val="20"/>
                <w:szCs w:val="20"/>
                <w:color w:val="auto"/>
              </w:rPr>
            </w:pPr>
            <w:r>
              <w:rPr>
                <w:rFonts w:ascii="Arial" w:cs="Arial" w:eastAsia="Arial" w:hAnsi="Arial"/>
                <w:sz w:val="20"/>
                <w:szCs w:val="20"/>
                <w:color w:val="auto"/>
              </w:rPr>
              <w:t>ERISA Compliance</w:t>
            </w:r>
          </w:p>
        </w:tc>
        <w:tc>
          <w:tcPr>
            <w:tcW w:w="206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5.12</w:t>
            </w:r>
          </w:p>
        </w:tc>
        <w:tc>
          <w:tcPr>
            <w:tcW w:w="8540" w:type="dxa"/>
            <w:vAlign w:val="bottom"/>
          </w:tcPr>
          <w:p>
            <w:pPr>
              <w:ind w:left="280"/>
              <w:spacing w:after="0"/>
              <w:rPr>
                <w:sz w:val="20"/>
                <w:szCs w:val="20"/>
                <w:color w:val="auto"/>
              </w:rPr>
            </w:pPr>
            <w:r>
              <w:rPr>
                <w:rFonts w:ascii="Arial" w:cs="Arial" w:eastAsia="Arial" w:hAnsi="Arial"/>
                <w:sz w:val="20"/>
                <w:szCs w:val="20"/>
                <w:color w:val="auto"/>
              </w:rPr>
              <w:t>Subsidiaries; Capital Stock</w:t>
            </w:r>
          </w:p>
        </w:tc>
        <w:tc>
          <w:tcPr>
            <w:tcW w:w="20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5.13</w:t>
            </w:r>
          </w:p>
        </w:tc>
        <w:tc>
          <w:tcPr>
            <w:tcW w:w="8540" w:type="dxa"/>
            <w:vAlign w:val="bottom"/>
          </w:tcPr>
          <w:p>
            <w:pPr>
              <w:ind w:left="280"/>
              <w:spacing w:after="0"/>
              <w:rPr>
                <w:sz w:val="20"/>
                <w:szCs w:val="20"/>
                <w:color w:val="auto"/>
              </w:rPr>
            </w:pPr>
            <w:r>
              <w:rPr>
                <w:rFonts w:ascii="Arial" w:cs="Arial" w:eastAsia="Arial" w:hAnsi="Arial"/>
                <w:sz w:val="20"/>
                <w:szCs w:val="20"/>
                <w:color w:val="auto"/>
              </w:rPr>
              <w:t>Margin Regulations; Investment Company Act</w:t>
            </w:r>
          </w:p>
        </w:tc>
        <w:tc>
          <w:tcPr>
            <w:tcW w:w="20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5.14</w:t>
            </w:r>
          </w:p>
        </w:tc>
        <w:tc>
          <w:tcPr>
            <w:tcW w:w="8540" w:type="dxa"/>
            <w:vAlign w:val="bottom"/>
          </w:tcPr>
          <w:p>
            <w:pPr>
              <w:ind w:left="280"/>
              <w:spacing w:after="0"/>
              <w:rPr>
                <w:sz w:val="20"/>
                <w:szCs w:val="20"/>
                <w:color w:val="auto"/>
              </w:rPr>
            </w:pPr>
            <w:r>
              <w:rPr>
                <w:rFonts w:ascii="Arial" w:cs="Arial" w:eastAsia="Arial" w:hAnsi="Arial"/>
                <w:sz w:val="20"/>
                <w:szCs w:val="20"/>
                <w:color w:val="auto"/>
              </w:rPr>
              <w:t>Disclosure</w:t>
            </w:r>
          </w:p>
        </w:tc>
        <w:tc>
          <w:tcPr>
            <w:tcW w:w="20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5.15</w:t>
            </w:r>
          </w:p>
        </w:tc>
        <w:tc>
          <w:tcPr>
            <w:tcW w:w="8540" w:type="dxa"/>
            <w:vAlign w:val="bottom"/>
          </w:tcPr>
          <w:p>
            <w:pPr>
              <w:ind w:left="280"/>
              <w:spacing w:after="0"/>
              <w:rPr>
                <w:sz w:val="20"/>
                <w:szCs w:val="20"/>
                <w:color w:val="auto"/>
              </w:rPr>
            </w:pPr>
            <w:r>
              <w:rPr>
                <w:rFonts w:ascii="Arial" w:cs="Arial" w:eastAsia="Arial" w:hAnsi="Arial"/>
                <w:sz w:val="20"/>
                <w:szCs w:val="20"/>
                <w:color w:val="auto"/>
              </w:rPr>
              <w:t>Compliance with Laws</w:t>
            </w:r>
          </w:p>
        </w:tc>
        <w:tc>
          <w:tcPr>
            <w:tcW w:w="20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5.16</w:t>
            </w:r>
          </w:p>
        </w:tc>
        <w:tc>
          <w:tcPr>
            <w:tcW w:w="8540" w:type="dxa"/>
            <w:vAlign w:val="bottom"/>
          </w:tcPr>
          <w:p>
            <w:pPr>
              <w:ind w:left="280"/>
              <w:spacing w:after="0"/>
              <w:rPr>
                <w:sz w:val="20"/>
                <w:szCs w:val="20"/>
                <w:color w:val="auto"/>
              </w:rPr>
            </w:pPr>
            <w:r>
              <w:rPr>
                <w:rFonts w:ascii="Arial" w:cs="Arial" w:eastAsia="Arial" w:hAnsi="Arial"/>
                <w:sz w:val="20"/>
                <w:szCs w:val="20"/>
                <w:color w:val="auto"/>
              </w:rPr>
              <w:t>Intellectual Property; Licenses, Etc</w:t>
            </w:r>
          </w:p>
        </w:tc>
        <w:tc>
          <w:tcPr>
            <w:tcW w:w="20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5.17</w:t>
            </w:r>
          </w:p>
        </w:tc>
        <w:tc>
          <w:tcPr>
            <w:tcW w:w="8540" w:type="dxa"/>
            <w:vAlign w:val="bottom"/>
          </w:tcPr>
          <w:p>
            <w:pPr>
              <w:ind w:left="280"/>
              <w:spacing w:after="0"/>
              <w:rPr>
                <w:sz w:val="20"/>
                <w:szCs w:val="20"/>
                <w:color w:val="auto"/>
              </w:rPr>
            </w:pPr>
            <w:r>
              <w:rPr>
                <w:rFonts w:ascii="Arial" w:cs="Arial" w:eastAsia="Arial" w:hAnsi="Arial"/>
                <w:sz w:val="20"/>
                <w:szCs w:val="20"/>
                <w:color w:val="auto"/>
              </w:rPr>
              <w:t>Solvency</w:t>
            </w:r>
          </w:p>
        </w:tc>
        <w:tc>
          <w:tcPr>
            <w:tcW w:w="20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5.18</w:t>
            </w:r>
          </w:p>
        </w:tc>
        <w:tc>
          <w:tcPr>
            <w:tcW w:w="8540" w:type="dxa"/>
            <w:vAlign w:val="bottom"/>
          </w:tcPr>
          <w:p>
            <w:pPr>
              <w:ind w:left="280"/>
              <w:spacing w:after="0"/>
              <w:rPr>
                <w:sz w:val="20"/>
                <w:szCs w:val="20"/>
                <w:color w:val="auto"/>
              </w:rPr>
            </w:pPr>
            <w:r>
              <w:rPr>
                <w:rFonts w:ascii="Arial" w:cs="Arial" w:eastAsia="Arial" w:hAnsi="Arial"/>
                <w:sz w:val="20"/>
                <w:szCs w:val="20"/>
                <w:color w:val="auto"/>
              </w:rPr>
              <w:t>EEA Financial Institutions..</w:t>
            </w:r>
          </w:p>
        </w:tc>
        <w:tc>
          <w:tcPr>
            <w:tcW w:w="20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5.19</w:t>
            </w:r>
          </w:p>
        </w:tc>
        <w:tc>
          <w:tcPr>
            <w:tcW w:w="8540" w:type="dxa"/>
            <w:vAlign w:val="bottom"/>
          </w:tcPr>
          <w:p>
            <w:pPr>
              <w:ind w:left="280"/>
              <w:spacing w:after="0"/>
              <w:rPr>
                <w:sz w:val="20"/>
                <w:szCs w:val="20"/>
                <w:color w:val="auto"/>
              </w:rPr>
            </w:pPr>
            <w:r>
              <w:rPr>
                <w:rFonts w:ascii="Arial" w:cs="Arial" w:eastAsia="Arial" w:hAnsi="Arial"/>
                <w:sz w:val="20"/>
                <w:szCs w:val="20"/>
                <w:color w:val="auto"/>
              </w:rPr>
              <w:t>Labor Matters</w:t>
            </w:r>
          </w:p>
        </w:tc>
        <w:tc>
          <w:tcPr>
            <w:tcW w:w="20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5.20</w:t>
            </w:r>
          </w:p>
        </w:tc>
        <w:tc>
          <w:tcPr>
            <w:tcW w:w="8540" w:type="dxa"/>
            <w:vAlign w:val="bottom"/>
          </w:tcPr>
          <w:p>
            <w:pPr>
              <w:ind w:left="280"/>
              <w:spacing w:after="0"/>
              <w:rPr>
                <w:sz w:val="20"/>
                <w:szCs w:val="20"/>
                <w:color w:val="auto"/>
              </w:rPr>
            </w:pPr>
            <w:r>
              <w:rPr>
                <w:rFonts w:ascii="Arial" w:cs="Arial" w:eastAsia="Arial" w:hAnsi="Arial"/>
                <w:sz w:val="20"/>
                <w:szCs w:val="20"/>
                <w:color w:val="auto"/>
              </w:rPr>
              <w:t>Perfection, Etc.</w:t>
            </w:r>
          </w:p>
        </w:tc>
        <w:tc>
          <w:tcPr>
            <w:tcW w:w="20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5.21</w:t>
            </w:r>
          </w:p>
        </w:tc>
        <w:tc>
          <w:tcPr>
            <w:tcW w:w="8540" w:type="dxa"/>
            <w:vAlign w:val="bottom"/>
          </w:tcPr>
          <w:p>
            <w:pPr>
              <w:ind w:left="280"/>
              <w:spacing w:after="0"/>
              <w:rPr>
                <w:sz w:val="20"/>
                <w:szCs w:val="20"/>
                <w:color w:val="auto"/>
              </w:rPr>
            </w:pPr>
            <w:r>
              <w:rPr>
                <w:rFonts w:ascii="Arial" w:cs="Arial" w:eastAsia="Arial" w:hAnsi="Arial"/>
                <w:sz w:val="20"/>
                <w:szCs w:val="20"/>
                <w:color w:val="auto"/>
              </w:rPr>
              <w:t>PATRIOT Act</w:t>
            </w:r>
          </w:p>
        </w:tc>
        <w:tc>
          <w:tcPr>
            <w:tcW w:w="206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5.22</w:t>
            </w:r>
          </w:p>
        </w:tc>
        <w:tc>
          <w:tcPr>
            <w:tcW w:w="8540" w:type="dxa"/>
            <w:vAlign w:val="bottom"/>
          </w:tcPr>
          <w:p>
            <w:pPr>
              <w:ind w:left="280"/>
              <w:spacing w:after="0"/>
              <w:rPr>
                <w:sz w:val="20"/>
                <w:szCs w:val="20"/>
                <w:color w:val="auto"/>
              </w:rPr>
            </w:pPr>
            <w:r>
              <w:rPr>
                <w:rFonts w:ascii="Arial" w:cs="Arial" w:eastAsia="Arial" w:hAnsi="Arial"/>
                <w:sz w:val="20"/>
                <w:szCs w:val="20"/>
                <w:color w:val="auto"/>
              </w:rPr>
              <w:t>Anti-Corruption Laws and Sanctions</w:t>
            </w:r>
          </w:p>
        </w:tc>
        <w:tc>
          <w:tcPr>
            <w:tcW w:w="206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452"/>
        </w:trPr>
        <w:tc>
          <w:tcPr>
            <w:tcW w:w="640" w:type="dxa"/>
            <w:vAlign w:val="bottom"/>
          </w:tcPr>
          <w:p>
            <w:pPr>
              <w:spacing w:after="0"/>
              <w:rPr>
                <w:sz w:val="24"/>
                <w:szCs w:val="24"/>
                <w:color w:val="auto"/>
              </w:rPr>
            </w:pPr>
          </w:p>
        </w:tc>
        <w:tc>
          <w:tcPr>
            <w:tcW w:w="8540" w:type="dxa"/>
            <w:vAlign w:val="bottom"/>
          </w:tcPr>
          <w:p>
            <w:pPr>
              <w:jc w:val="center"/>
              <w:ind w:left="1321"/>
              <w:spacing w:after="0"/>
              <w:rPr>
                <w:sz w:val="20"/>
                <w:szCs w:val="20"/>
                <w:color w:val="auto"/>
              </w:rPr>
            </w:pPr>
            <w:r>
              <w:rPr>
                <w:rFonts w:ascii="Arial" w:cs="Arial" w:eastAsia="Arial" w:hAnsi="Arial"/>
                <w:sz w:val="20"/>
                <w:szCs w:val="20"/>
                <w:color w:val="auto"/>
                <w:w w:val="99"/>
              </w:rPr>
              <w:t>ARTICLE VI</w:t>
            </w:r>
          </w:p>
        </w:tc>
        <w:tc>
          <w:tcPr>
            <w:tcW w:w="2060" w:type="dxa"/>
            <w:vAlign w:val="bottom"/>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8540" w:type="dxa"/>
            <w:vAlign w:val="bottom"/>
          </w:tcPr>
          <w:p>
            <w:pPr>
              <w:jc w:val="center"/>
              <w:ind w:left="1321"/>
              <w:spacing w:after="0"/>
              <w:rPr>
                <w:sz w:val="20"/>
                <w:szCs w:val="20"/>
                <w:color w:val="auto"/>
              </w:rPr>
            </w:pPr>
            <w:r>
              <w:rPr>
                <w:rFonts w:ascii="Arial" w:cs="Arial" w:eastAsia="Arial" w:hAnsi="Arial"/>
                <w:sz w:val="20"/>
                <w:szCs w:val="20"/>
                <w:color w:val="auto"/>
                <w:w w:val="97"/>
              </w:rPr>
              <w:t>AFFIRMATIVE COVENANTS</w:t>
            </w:r>
          </w:p>
        </w:tc>
        <w:tc>
          <w:tcPr>
            <w:tcW w:w="2060" w:type="dxa"/>
            <w:vAlign w:val="bottom"/>
          </w:tcPr>
          <w:p>
            <w:pPr>
              <w:spacing w:after="0"/>
              <w:rPr>
                <w:sz w:val="21"/>
                <w:szCs w:val="21"/>
                <w:color w:val="auto"/>
              </w:rPr>
            </w:pPr>
          </w:p>
        </w:tc>
      </w:tr>
      <w:tr>
        <w:trPr>
          <w:trHeight w:val="473"/>
        </w:trPr>
        <w:tc>
          <w:tcPr>
            <w:tcW w:w="640" w:type="dxa"/>
            <w:vAlign w:val="bottom"/>
          </w:tcPr>
          <w:p>
            <w:pPr>
              <w:ind w:left="20"/>
              <w:spacing w:after="0"/>
              <w:rPr>
                <w:sz w:val="20"/>
                <w:szCs w:val="20"/>
                <w:color w:val="auto"/>
              </w:rPr>
            </w:pPr>
            <w:r>
              <w:rPr>
                <w:rFonts w:ascii="Arial" w:cs="Arial" w:eastAsia="Arial" w:hAnsi="Arial"/>
                <w:sz w:val="20"/>
                <w:szCs w:val="20"/>
                <w:color w:val="auto"/>
              </w:rPr>
              <w:t>6.01</w:t>
            </w:r>
          </w:p>
        </w:tc>
        <w:tc>
          <w:tcPr>
            <w:tcW w:w="8540" w:type="dxa"/>
            <w:vAlign w:val="bottom"/>
          </w:tcPr>
          <w:p>
            <w:pPr>
              <w:ind w:left="280"/>
              <w:spacing w:after="0"/>
              <w:rPr>
                <w:sz w:val="20"/>
                <w:szCs w:val="20"/>
                <w:color w:val="auto"/>
              </w:rPr>
            </w:pPr>
            <w:r>
              <w:rPr>
                <w:rFonts w:ascii="Arial" w:cs="Arial" w:eastAsia="Arial" w:hAnsi="Arial"/>
                <w:sz w:val="20"/>
                <w:szCs w:val="20"/>
                <w:color w:val="auto"/>
              </w:rPr>
              <w:t>Financial Statements</w:t>
            </w:r>
          </w:p>
        </w:tc>
        <w:tc>
          <w:tcPr>
            <w:tcW w:w="206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6.02</w:t>
            </w:r>
          </w:p>
        </w:tc>
        <w:tc>
          <w:tcPr>
            <w:tcW w:w="8540" w:type="dxa"/>
            <w:vAlign w:val="bottom"/>
          </w:tcPr>
          <w:p>
            <w:pPr>
              <w:ind w:left="280"/>
              <w:spacing w:after="0"/>
              <w:rPr>
                <w:sz w:val="20"/>
                <w:szCs w:val="20"/>
                <w:color w:val="auto"/>
              </w:rPr>
            </w:pPr>
            <w:r>
              <w:rPr>
                <w:rFonts w:ascii="Arial" w:cs="Arial" w:eastAsia="Arial" w:hAnsi="Arial"/>
                <w:sz w:val="20"/>
                <w:szCs w:val="20"/>
                <w:color w:val="auto"/>
              </w:rPr>
              <w:t>Certificates; Other Information</w:t>
            </w:r>
          </w:p>
        </w:tc>
        <w:tc>
          <w:tcPr>
            <w:tcW w:w="206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6.03</w:t>
            </w:r>
          </w:p>
        </w:tc>
        <w:tc>
          <w:tcPr>
            <w:tcW w:w="8540" w:type="dxa"/>
            <w:vAlign w:val="bottom"/>
          </w:tcPr>
          <w:p>
            <w:pPr>
              <w:ind w:left="280"/>
              <w:spacing w:after="0"/>
              <w:rPr>
                <w:sz w:val="20"/>
                <w:szCs w:val="20"/>
                <w:color w:val="auto"/>
              </w:rPr>
            </w:pPr>
            <w:r>
              <w:rPr>
                <w:rFonts w:ascii="Arial" w:cs="Arial" w:eastAsia="Arial" w:hAnsi="Arial"/>
                <w:sz w:val="20"/>
                <w:szCs w:val="20"/>
                <w:color w:val="auto"/>
              </w:rPr>
              <w:t>Notices</w:t>
            </w:r>
          </w:p>
        </w:tc>
        <w:tc>
          <w:tcPr>
            <w:tcW w:w="20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6.04</w:t>
            </w:r>
          </w:p>
        </w:tc>
        <w:tc>
          <w:tcPr>
            <w:tcW w:w="8540" w:type="dxa"/>
            <w:vAlign w:val="bottom"/>
          </w:tcPr>
          <w:p>
            <w:pPr>
              <w:ind w:left="280"/>
              <w:spacing w:after="0"/>
              <w:rPr>
                <w:sz w:val="20"/>
                <w:szCs w:val="20"/>
                <w:color w:val="auto"/>
              </w:rPr>
            </w:pPr>
            <w:r>
              <w:rPr>
                <w:rFonts w:ascii="Arial" w:cs="Arial" w:eastAsia="Arial" w:hAnsi="Arial"/>
                <w:sz w:val="20"/>
                <w:szCs w:val="20"/>
                <w:color w:val="auto"/>
              </w:rPr>
              <w:t>Payment of Taxes</w:t>
            </w:r>
          </w:p>
        </w:tc>
        <w:tc>
          <w:tcPr>
            <w:tcW w:w="20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6.05</w:t>
            </w:r>
          </w:p>
        </w:tc>
        <w:tc>
          <w:tcPr>
            <w:tcW w:w="8540" w:type="dxa"/>
            <w:vAlign w:val="bottom"/>
          </w:tcPr>
          <w:p>
            <w:pPr>
              <w:ind w:left="280"/>
              <w:spacing w:after="0"/>
              <w:rPr>
                <w:sz w:val="20"/>
                <w:szCs w:val="20"/>
                <w:color w:val="auto"/>
              </w:rPr>
            </w:pPr>
            <w:r>
              <w:rPr>
                <w:rFonts w:ascii="Arial" w:cs="Arial" w:eastAsia="Arial" w:hAnsi="Arial"/>
                <w:sz w:val="20"/>
                <w:szCs w:val="20"/>
                <w:color w:val="auto"/>
              </w:rPr>
              <w:t>Preservation of Existence, Etc.</w:t>
            </w:r>
          </w:p>
        </w:tc>
        <w:tc>
          <w:tcPr>
            <w:tcW w:w="20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7"/>
        </w:trPr>
        <w:tc>
          <w:tcPr>
            <w:tcW w:w="640" w:type="dxa"/>
            <w:vAlign w:val="bottom"/>
          </w:tcPr>
          <w:p>
            <w:pPr>
              <w:ind w:left="20"/>
              <w:spacing w:after="0"/>
              <w:rPr>
                <w:sz w:val="20"/>
                <w:szCs w:val="20"/>
                <w:color w:val="auto"/>
              </w:rPr>
            </w:pPr>
            <w:r>
              <w:rPr>
                <w:rFonts w:ascii="Arial" w:cs="Arial" w:eastAsia="Arial" w:hAnsi="Arial"/>
                <w:sz w:val="20"/>
                <w:szCs w:val="20"/>
                <w:color w:val="auto"/>
              </w:rPr>
              <w:t>6.06</w:t>
            </w:r>
          </w:p>
        </w:tc>
        <w:tc>
          <w:tcPr>
            <w:tcW w:w="8540" w:type="dxa"/>
            <w:vAlign w:val="bottom"/>
          </w:tcPr>
          <w:p>
            <w:pPr>
              <w:ind w:left="280"/>
              <w:spacing w:after="0"/>
              <w:rPr>
                <w:sz w:val="20"/>
                <w:szCs w:val="20"/>
                <w:color w:val="auto"/>
              </w:rPr>
            </w:pPr>
            <w:r>
              <w:rPr>
                <w:rFonts w:ascii="Arial" w:cs="Arial" w:eastAsia="Arial" w:hAnsi="Arial"/>
                <w:sz w:val="20"/>
                <w:szCs w:val="20"/>
                <w:color w:val="auto"/>
              </w:rPr>
              <w:t>Maintenance of Properties</w:t>
            </w:r>
          </w:p>
        </w:tc>
        <w:tc>
          <w:tcPr>
            <w:tcW w:w="20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6"/>
        </w:trPr>
        <w:tc>
          <w:tcPr>
            <w:tcW w:w="640" w:type="dxa"/>
            <w:vAlign w:val="bottom"/>
          </w:tcPr>
          <w:p>
            <w:pPr>
              <w:ind w:left="20"/>
              <w:spacing w:after="0"/>
              <w:rPr>
                <w:sz w:val="20"/>
                <w:szCs w:val="20"/>
                <w:color w:val="auto"/>
              </w:rPr>
            </w:pPr>
            <w:r>
              <w:rPr>
                <w:rFonts w:ascii="Arial" w:cs="Arial" w:eastAsia="Arial" w:hAnsi="Arial"/>
                <w:sz w:val="20"/>
                <w:szCs w:val="20"/>
                <w:color w:val="auto"/>
              </w:rPr>
              <w:t>6.07</w:t>
            </w:r>
          </w:p>
        </w:tc>
        <w:tc>
          <w:tcPr>
            <w:tcW w:w="8540" w:type="dxa"/>
            <w:vAlign w:val="bottom"/>
          </w:tcPr>
          <w:p>
            <w:pPr>
              <w:ind w:left="280"/>
              <w:spacing w:after="0"/>
              <w:rPr>
                <w:sz w:val="20"/>
                <w:szCs w:val="20"/>
                <w:color w:val="auto"/>
              </w:rPr>
            </w:pPr>
            <w:r>
              <w:rPr>
                <w:rFonts w:ascii="Arial" w:cs="Arial" w:eastAsia="Arial" w:hAnsi="Arial"/>
                <w:sz w:val="20"/>
                <w:szCs w:val="20"/>
                <w:color w:val="auto"/>
              </w:rPr>
              <w:t>Maintenance of Insurance</w:t>
            </w:r>
          </w:p>
        </w:tc>
        <w:tc>
          <w:tcPr>
            <w:tcW w:w="20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34"/>
        </w:trPr>
        <w:tc>
          <w:tcPr>
            <w:tcW w:w="640" w:type="dxa"/>
            <w:vAlign w:val="bottom"/>
          </w:tcPr>
          <w:p>
            <w:pPr>
              <w:ind w:left="20"/>
              <w:spacing w:after="0"/>
              <w:rPr>
                <w:sz w:val="20"/>
                <w:szCs w:val="20"/>
                <w:color w:val="auto"/>
              </w:rPr>
            </w:pPr>
            <w:r>
              <w:rPr>
                <w:rFonts w:ascii="Arial" w:cs="Arial" w:eastAsia="Arial" w:hAnsi="Arial"/>
                <w:sz w:val="20"/>
                <w:szCs w:val="20"/>
                <w:color w:val="auto"/>
              </w:rPr>
              <w:t>6.08</w:t>
            </w:r>
          </w:p>
        </w:tc>
        <w:tc>
          <w:tcPr>
            <w:tcW w:w="8540" w:type="dxa"/>
            <w:vAlign w:val="bottom"/>
          </w:tcPr>
          <w:p>
            <w:pPr>
              <w:ind w:left="280"/>
              <w:spacing w:after="0"/>
              <w:rPr>
                <w:sz w:val="20"/>
                <w:szCs w:val="20"/>
                <w:color w:val="auto"/>
              </w:rPr>
            </w:pPr>
            <w:r>
              <w:rPr>
                <w:rFonts w:ascii="Arial" w:cs="Arial" w:eastAsia="Arial" w:hAnsi="Arial"/>
                <w:sz w:val="20"/>
                <w:szCs w:val="20"/>
                <w:color w:val="auto"/>
              </w:rPr>
              <w:t>Compliance with Laws</w:t>
            </w:r>
          </w:p>
        </w:tc>
        <w:tc>
          <w:tcPr>
            <w:tcW w:w="20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27"/>
        </w:trPr>
        <w:tc>
          <w:tcPr>
            <w:tcW w:w="640" w:type="dxa"/>
            <w:vAlign w:val="bottom"/>
          </w:tcPr>
          <w:p>
            <w:pPr>
              <w:spacing w:after="0"/>
              <w:rPr>
                <w:sz w:val="19"/>
                <w:szCs w:val="19"/>
                <w:color w:val="auto"/>
              </w:rPr>
            </w:pPr>
          </w:p>
        </w:tc>
        <w:tc>
          <w:tcPr>
            <w:tcW w:w="8540" w:type="dxa"/>
            <w:vAlign w:val="bottom"/>
          </w:tcPr>
          <w:p>
            <w:pPr>
              <w:jc w:val="center"/>
              <w:ind w:left="1321"/>
              <w:spacing w:after="0"/>
              <w:rPr>
                <w:sz w:val="20"/>
                <w:szCs w:val="20"/>
                <w:color w:val="auto"/>
              </w:rPr>
            </w:pPr>
            <w:r>
              <w:rPr>
                <w:rFonts w:ascii="Arial" w:cs="Arial" w:eastAsia="Arial" w:hAnsi="Arial"/>
                <w:sz w:val="18"/>
                <w:szCs w:val="18"/>
                <w:color w:val="auto"/>
                <w:w w:val="99"/>
              </w:rPr>
              <w:t>-ii-</w:t>
            </w:r>
          </w:p>
        </w:tc>
        <w:tc>
          <w:tcPr>
            <w:tcW w:w="2060" w:type="dxa"/>
            <w:vAlign w:val="bottom"/>
          </w:tcPr>
          <w:p>
            <w:pPr>
              <w:spacing w:after="0"/>
              <w:rPr>
                <w:sz w:val="19"/>
                <w:szCs w:val="19"/>
                <w:color w:val="auto"/>
              </w:rPr>
            </w:pPr>
          </w:p>
        </w:tc>
      </w:tr>
      <w:tr>
        <w:trPr>
          <w:trHeight w:val="595"/>
        </w:trPr>
        <w:tc>
          <w:tcPr>
            <w:tcW w:w="64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6.09</w:t>
            </w:r>
          </w:p>
        </w:tc>
        <w:tc>
          <w:tcPr>
            <w:tcW w:w="9880" w:type="dxa"/>
            <w:vAlign w:val="bottom"/>
          </w:tcPr>
          <w:p>
            <w:pPr>
              <w:ind w:left="280"/>
              <w:spacing w:after="0"/>
              <w:rPr>
                <w:sz w:val="20"/>
                <w:szCs w:val="20"/>
                <w:color w:val="auto"/>
              </w:rPr>
            </w:pPr>
            <w:r>
              <w:rPr>
                <w:rFonts w:ascii="Arial" w:cs="Arial" w:eastAsia="Arial" w:hAnsi="Arial"/>
                <w:sz w:val="20"/>
                <w:szCs w:val="20"/>
                <w:color w:val="auto"/>
              </w:rPr>
              <w:t>Books and Records</w:t>
            </w:r>
          </w:p>
        </w:tc>
        <w:tc>
          <w:tcPr>
            <w:tcW w:w="70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6.10</w:t>
            </w:r>
          </w:p>
        </w:tc>
        <w:tc>
          <w:tcPr>
            <w:tcW w:w="9880" w:type="dxa"/>
            <w:vAlign w:val="bottom"/>
          </w:tcPr>
          <w:p>
            <w:pPr>
              <w:ind w:left="280"/>
              <w:spacing w:after="0"/>
              <w:rPr>
                <w:sz w:val="20"/>
                <w:szCs w:val="20"/>
                <w:color w:val="auto"/>
              </w:rPr>
            </w:pPr>
            <w:r>
              <w:rPr>
                <w:rFonts w:ascii="Arial" w:cs="Arial" w:eastAsia="Arial" w:hAnsi="Arial"/>
                <w:sz w:val="20"/>
                <w:szCs w:val="20"/>
                <w:color w:val="auto"/>
              </w:rPr>
              <w:t>Inspection Rights</w:t>
            </w:r>
          </w:p>
        </w:tc>
        <w:tc>
          <w:tcPr>
            <w:tcW w:w="70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6.11</w:t>
            </w:r>
          </w:p>
        </w:tc>
        <w:tc>
          <w:tcPr>
            <w:tcW w:w="9880" w:type="dxa"/>
            <w:vAlign w:val="bottom"/>
          </w:tcPr>
          <w:p>
            <w:pPr>
              <w:ind w:left="280"/>
              <w:spacing w:after="0"/>
              <w:rPr>
                <w:sz w:val="20"/>
                <w:szCs w:val="20"/>
                <w:color w:val="auto"/>
              </w:rPr>
            </w:pPr>
            <w:r>
              <w:rPr>
                <w:rFonts w:ascii="Arial" w:cs="Arial" w:eastAsia="Arial" w:hAnsi="Arial"/>
                <w:sz w:val="20"/>
                <w:szCs w:val="20"/>
                <w:color w:val="auto"/>
              </w:rPr>
              <w:t>Use of Proceeds</w:t>
            </w:r>
          </w:p>
        </w:tc>
        <w:tc>
          <w:tcPr>
            <w:tcW w:w="70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6.12</w:t>
            </w:r>
          </w:p>
        </w:tc>
        <w:tc>
          <w:tcPr>
            <w:tcW w:w="9880" w:type="dxa"/>
            <w:vAlign w:val="bottom"/>
          </w:tcPr>
          <w:p>
            <w:pPr>
              <w:ind w:left="280"/>
              <w:spacing w:after="0"/>
              <w:rPr>
                <w:sz w:val="20"/>
                <w:szCs w:val="20"/>
                <w:color w:val="auto"/>
              </w:rPr>
            </w:pPr>
            <w:r>
              <w:rPr>
                <w:rFonts w:ascii="Arial" w:cs="Arial" w:eastAsia="Arial" w:hAnsi="Arial"/>
                <w:sz w:val="20"/>
                <w:szCs w:val="20"/>
                <w:color w:val="auto"/>
              </w:rPr>
              <w:t>Covenant to Guarantee Obligations and Give Security</w:t>
            </w:r>
          </w:p>
        </w:tc>
        <w:tc>
          <w:tcPr>
            <w:tcW w:w="70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6.13</w:t>
            </w:r>
          </w:p>
        </w:tc>
        <w:tc>
          <w:tcPr>
            <w:tcW w:w="9880" w:type="dxa"/>
            <w:vAlign w:val="bottom"/>
          </w:tcPr>
          <w:p>
            <w:pPr>
              <w:ind w:left="280"/>
              <w:spacing w:after="0"/>
              <w:rPr>
                <w:sz w:val="20"/>
                <w:szCs w:val="20"/>
                <w:color w:val="auto"/>
              </w:rPr>
            </w:pPr>
            <w:r>
              <w:rPr>
                <w:rFonts w:ascii="Arial" w:cs="Arial" w:eastAsia="Arial" w:hAnsi="Arial"/>
                <w:sz w:val="20"/>
                <w:szCs w:val="20"/>
                <w:color w:val="auto"/>
              </w:rPr>
              <w:t>Compliance with Environmental Laws</w:t>
            </w:r>
          </w:p>
        </w:tc>
        <w:tc>
          <w:tcPr>
            <w:tcW w:w="70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6.14</w:t>
            </w:r>
          </w:p>
        </w:tc>
        <w:tc>
          <w:tcPr>
            <w:tcW w:w="9880" w:type="dxa"/>
            <w:vAlign w:val="bottom"/>
          </w:tcPr>
          <w:p>
            <w:pPr>
              <w:ind w:left="280"/>
              <w:spacing w:after="0"/>
              <w:rPr>
                <w:sz w:val="20"/>
                <w:szCs w:val="20"/>
                <w:color w:val="auto"/>
              </w:rPr>
            </w:pPr>
            <w:r>
              <w:rPr>
                <w:rFonts w:ascii="Arial" w:cs="Arial" w:eastAsia="Arial" w:hAnsi="Arial"/>
                <w:sz w:val="20"/>
                <w:szCs w:val="20"/>
                <w:color w:val="auto"/>
              </w:rPr>
              <w:t>Further Assurances</w:t>
            </w:r>
          </w:p>
        </w:tc>
        <w:tc>
          <w:tcPr>
            <w:tcW w:w="70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6.15</w:t>
            </w:r>
          </w:p>
        </w:tc>
        <w:tc>
          <w:tcPr>
            <w:tcW w:w="9880" w:type="dxa"/>
            <w:vAlign w:val="bottom"/>
          </w:tcPr>
          <w:p>
            <w:pPr>
              <w:ind w:left="280"/>
              <w:spacing w:after="0"/>
              <w:rPr>
                <w:sz w:val="20"/>
                <w:szCs w:val="20"/>
                <w:color w:val="auto"/>
              </w:rPr>
            </w:pPr>
            <w:r>
              <w:rPr>
                <w:rFonts w:ascii="Arial" w:cs="Arial" w:eastAsia="Arial" w:hAnsi="Arial"/>
                <w:sz w:val="20"/>
                <w:szCs w:val="20"/>
                <w:color w:val="auto"/>
              </w:rPr>
              <w:t>Information Regarding Collateral and Loan Documents</w:t>
            </w:r>
          </w:p>
        </w:tc>
        <w:tc>
          <w:tcPr>
            <w:tcW w:w="70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6.16</w:t>
            </w:r>
          </w:p>
        </w:tc>
        <w:tc>
          <w:tcPr>
            <w:tcW w:w="9880" w:type="dxa"/>
            <w:vAlign w:val="bottom"/>
          </w:tcPr>
          <w:p>
            <w:pPr>
              <w:ind w:left="280"/>
              <w:spacing w:after="0"/>
              <w:rPr>
                <w:sz w:val="20"/>
                <w:szCs w:val="20"/>
                <w:color w:val="auto"/>
              </w:rPr>
            </w:pPr>
            <w:r>
              <w:rPr>
                <w:rFonts w:ascii="Arial" w:cs="Arial" w:eastAsia="Arial" w:hAnsi="Arial"/>
                <w:sz w:val="20"/>
                <w:szCs w:val="20"/>
                <w:color w:val="auto"/>
              </w:rPr>
              <w:t>Maintenance of Ratings</w:t>
            </w:r>
          </w:p>
        </w:tc>
        <w:tc>
          <w:tcPr>
            <w:tcW w:w="70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6.17</w:t>
            </w:r>
          </w:p>
        </w:tc>
        <w:tc>
          <w:tcPr>
            <w:tcW w:w="9880" w:type="dxa"/>
            <w:vAlign w:val="bottom"/>
          </w:tcPr>
          <w:p>
            <w:pPr>
              <w:ind w:left="280"/>
              <w:spacing w:after="0"/>
              <w:rPr>
                <w:sz w:val="20"/>
                <w:szCs w:val="20"/>
                <w:color w:val="auto"/>
              </w:rPr>
            </w:pPr>
            <w:r>
              <w:rPr>
                <w:rFonts w:ascii="Arial" w:cs="Arial" w:eastAsia="Arial" w:hAnsi="Arial"/>
                <w:sz w:val="20"/>
                <w:szCs w:val="20"/>
                <w:color w:val="auto"/>
              </w:rPr>
              <w:t>Post-Closing Undertakings</w:t>
            </w:r>
          </w:p>
        </w:tc>
        <w:tc>
          <w:tcPr>
            <w:tcW w:w="70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6.18</w:t>
            </w:r>
          </w:p>
        </w:tc>
        <w:tc>
          <w:tcPr>
            <w:tcW w:w="9880" w:type="dxa"/>
            <w:vAlign w:val="bottom"/>
          </w:tcPr>
          <w:p>
            <w:pPr>
              <w:ind w:left="280"/>
              <w:spacing w:after="0"/>
              <w:rPr>
                <w:sz w:val="20"/>
                <w:szCs w:val="20"/>
                <w:color w:val="auto"/>
              </w:rPr>
            </w:pPr>
            <w:r>
              <w:rPr>
                <w:rFonts w:ascii="Arial" w:cs="Arial" w:eastAsia="Arial" w:hAnsi="Arial"/>
                <w:sz w:val="20"/>
                <w:szCs w:val="20"/>
                <w:color w:val="auto"/>
              </w:rPr>
              <w:t>No Change in Line of Business</w:t>
            </w:r>
          </w:p>
        </w:tc>
        <w:tc>
          <w:tcPr>
            <w:tcW w:w="70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6.19</w:t>
            </w:r>
          </w:p>
        </w:tc>
        <w:tc>
          <w:tcPr>
            <w:tcW w:w="9880" w:type="dxa"/>
            <w:vAlign w:val="bottom"/>
          </w:tcPr>
          <w:p>
            <w:pPr>
              <w:ind w:left="280"/>
              <w:spacing w:after="0"/>
              <w:rPr>
                <w:sz w:val="20"/>
                <w:szCs w:val="20"/>
                <w:color w:val="auto"/>
              </w:rPr>
            </w:pPr>
            <w:r>
              <w:rPr>
                <w:rFonts w:ascii="Arial" w:cs="Arial" w:eastAsia="Arial" w:hAnsi="Arial"/>
                <w:sz w:val="20"/>
                <w:szCs w:val="20"/>
                <w:color w:val="auto"/>
              </w:rPr>
              <w:t>Transactions with Affiliates</w:t>
            </w:r>
          </w:p>
        </w:tc>
        <w:tc>
          <w:tcPr>
            <w:tcW w:w="70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6.20</w:t>
            </w:r>
          </w:p>
        </w:tc>
        <w:tc>
          <w:tcPr>
            <w:tcW w:w="9880" w:type="dxa"/>
            <w:vAlign w:val="bottom"/>
          </w:tcPr>
          <w:p>
            <w:pPr>
              <w:ind w:left="280"/>
              <w:spacing w:after="0"/>
              <w:rPr>
                <w:sz w:val="20"/>
                <w:szCs w:val="20"/>
                <w:color w:val="auto"/>
              </w:rPr>
            </w:pPr>
            <w:r>
              <w:rPr>
                <w:rFonts w:ascii="Arial" w:cs="Arial" w:eastAsia="Arial" w:hAnsi="Arial"/>
                <w:sz w:val="20"/>
                <w:szCs w:val="20"/>
                <w:color w:val="auto"/>
              </w:rPr>
              <w:t>Lender Conference Calls</w:t>
            </w:r>
          </w:p>
        </w:tc>
        <w:tc>
          <w:tcPr>
            <w:tcW w:w="70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473"/>
        </w:trPr>
        <w:tc>
          <w:tcPr>
            <w:tcW w:w="620" w:type="dxa"/>
            <w:vAlign w:val="bottom"/>
          </w:tcPr>
          <w:p>
            <w:pPr>
              <w:spacing w:after="0"/>
              <w:rPr>
                <w:sz w:val="24"/>
                <w:szCs w:val="24"/>
                <w:color w:val="auto"/>
              </w:rPr>
            </w:pPr>
          </w:p>
        </w:tc>
        <w:tc>
          <w:tcPr>
            <w:tcW w:w="9880" w:type="dxa"/>
            <w:vAlign w:val="bottom"/>
          </w:tcPr>
          <w:p>
            <w:pPr>
              <w:jc w:val="center"/>
              <w:ind w:left="1"/>
              <w:spacing w:after="0"/>
              <w:rPr>
                <w:sz w:val="20"/>
                <w:szCs w:val="20"/>
                <w:color w:val="auto"/>
              </w:rPr>
            </w:pPr>
            <w:r>
              <w:rPr>
                <w:rFonts w:ascii="Arial" w:cs="Arial" w:eastAsia="Arial" w:hAnsi="Arial"/>
                <w:sz w:val="20"/>
                <w:szCs w:val="20"/>
                <w:color w:val="auto"/>
                <w:w w:val="97"/>
              </w:rPr>
              <w:t>ARTICLE VII NEGATIVE COVENANTS</w:t>
            </w:r>
          </w:p>
        </w:tc>
        <w:tc>
          <w:tcPr>
            <w:tcW w:w="700" w:type="dxa"/>
            <w:vAlign w:val="bottom"/>
          </w:tcPr>
          <w:p>
            <w:pPr>
              <w:spacing w:after="0"/>
              <w:rPr>
                <w:sz w:val="24"/>
                <w:szCs w:val="24"/>
                <w:color w:val="auto"/>
              </w:rPr>
            </w:pPr>
          </w:p>
        </w:tc>
      </w:tr>
      <w:tr>
        <w:trPr>
          <w:trHeight w:val="473"/>
        </w:trPr>
        <w:tc>
          <w:tcPr>
            <w:tcW w:w="620" w:type="dxa"/>
            <w:vAlign w:val="bottom"/>
          </w:tcPr>
          <w:p>
            <w:pPr>
              <w:spacing w:after="0"/>
              <w:rPr>
                <w:sz w:val="20"/>
                <w:szCs w:val="20"/>
                <w:color w:val="auto"/>
              </w:rPr>
            </w:pPr>
            <w:r>
              <w:rPr>
                <w:rFonts w:ascii="Arial" w:cs="Arial" w:eastAsia="Arial" w:hAnsi="Arial"/>
                <w:sz w:val="20"/>
                <w:szCs w:val="20"/>
                <w:color w:val="auto"/>
              </w:rPr>
              <w:t>7.01</w:t>
            </w:r>
          </w:p>
        </w:tc>
        <w:tc>
          <w:tcPr>
            <w:tcW w:w="9880" w:type="dxa"/>
            <w:vAlign w:val="bottom"/>
          </w:tcPr>
          <w:p>
            <w:pPr>
              <w:ind w:left="280"/>
              <w:spacing w:after="0"/>
              <w:rPr>
                <w:sz w:val="20"/>
                <w:szCs w:val="20"/>
                <w:color w:val="auto"/>
              </w:rPr>
            </w:pPr>
            <w:r>
              <w:rPr>
                <w:rFonts w:ascii="Arial" w:cs="Arial" w:eastAsia="Arial" w:hAnsi="Arial"/>
                <w:sz w:val="20"/>
                <w:szCs w:val="20"/>
                <w:color w:val="auto"/>
              </w:rPr>
              <w:t>Liens</w:t>
            </w:r>
          </w:p>
        </w:tc>
        <w:tc>
          <w:tcPr>
            <w:tcW w:w="70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7.02</w:t>
            </w:r>
          </w:p>
        </w:tc>
        <w:tc>
          <w:tcPr>
            <w:tcW w:w="9880" w:type="dxa"/>
            <w:vAlign w:val="bottom"/>
          </w:tcPr>
          <w:p>
            <w:pPr>
              <w:ind w:left="280"/>
              <w:spacing w:after="0"/>
              <w:rPr>
                <w:sz w:val="20"/>
                <w:szCs w:val="20"/>
                <w:color w:val="auto"/>
              </w:rPr>
            </w:pPr>
            <w:r>
              <w:rPr>
                <w:rFonts w:ascii="Arial" w:cs="Arial" w:eastAsia="Arial" w:hAnsi="Arial"/>
                <w:sz w:val="20"/>
                <w:szCs w:val="20"/>
                <w:color w:val="auto"/>
              </w:rPr>
              <w:t>[Reserved]</w:t>
            </w:r>
          </w:p>
        </w:tc>
        <w:tc>
          <w:tcPr>
            <w:tcW w:w="70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7.03</w:t>
            </w:r>
          </w:p>
        </w:tc>
        <w:tc>
          <w:tcPr>
            <w:tcW w:w="9880" w:type="dxa"/>
            <w:vAlign w:val="bottom"/>
          </w:tcPr>
          <w:p>
            <w:pPr>
              <w:ind w:left="280"/>
              <w:spacing w:after="0"/>
              <w:rPr>
                <w:sz w:val="20"/>
                <w:szCs w:val="20"/>
                <w:color w:val="auto"/>
              </w:rPr>
            </w:pPr>
            <w:r>
              <w:rPr>
                <w:rFonts w:ascii="Arial" w:cs="Arial" w:eastAsia="Arial" w:hAnsi="Arial"/>
                <w:sz w:val="20"/>
                <w:szCs w:val="20"/>
                <w:color w:val="auto"/>
              </w:rPr>
              <w:t>Indebtedness</w:t>
            </w:r>
          </w:p>
        </w:tc>
        <w:tc>
          <w:tcPr>
            <w:tcW w:w="70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7.04</w:t>
            </w:r>
          </w:p>
        </w:tc>
        <w:tc>
          <w:tcPr>
            <w:tcW w:w="9880" w:type="dxa"/>
            <w:vAlign w:val="bottom"/>
          </w:tcPr>
          <w:p>
            <w:pPr>
              <w:ind w:left="280"/>
              <w:spacing w:after="0"/>
              <w:rPr>
                <w:sz w:val="20"/>
                <w:szCs w:val="20"/>
                <w:color w:val="auto"/>
              </w:rPr>
            </w:pPr>
            <w:r>
              <w:rPr>
                <w:rFonts w:ascii="Arial" w:cs="Arial" w:eastAsia="Arial" w:hAnsi="Arial"/>
                <w:sz w:val="20"/>
                <w:szCs w:val="20"/>
                <w:color w:val="auto"/>
              </w:rPr>
              <w:t>Fundamental Changes</w:t>
            </w:r>
          </w:p>
        </w:tc>
        <w:tc>
          <w:tcPr>
            <w:tcW w:w="70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7.05</w:t>
            </w:r>
          </w:p>
        </w:tc>
        <w:tc>
          <w:tcPr>
            <w:tcW w:w="9880" w:type="dxa"/>
            <w:vAlign w:val="bottom"/>
          </w:tcPr>
          <w:p>
            <w:pPr>
              <w:ind w:left="280"/>
              <w:spacing w:after="0"/>
              <w:rPr>
                <w:sz w:val="20"/>
                <w:szCs w:val="20"/>
                <w:color w:val="auto"/>
              </w:rPr>
            </w:pPr>
            <w:r>
              <w:rPr>
                <w:rFonts w:ascii="Arial" w:cs="Arial" w:eastAsia="Arial" w:hAnsi="Arial"/>
                <w:sz w:val="20"/>
                <w:szCs w:val="20"/>
                <w:color w:val="auto"/>
              </w:rPr>
              <w:t>Asset Sales</w:t>
            </w:r>
          </w:p>
        </w:tc>
        <w:tc>
          <w:tcPr>
            <w:tcW w:w="70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7.06</w:t>
            </w:r>
          </w:p>
        </w:tc>
        <w:tc>
          <w:tcPr>
            <w:tcW w:w="9880" w:type="dxa"/>
            <w:vAlign w:val="bottom"/>
          </w:tcPr>
          <w:p>
            <w:pPr>
              <w:ind w:left="280"/>
              <w:spacing w:after="0"/>
              <w:rPr>
                <w:sz w:val="20"/>
                <w:szCs w:val="20"/>
                <w:color w:val="auto"/>
              </w:rPr>
            </w:pPr>
            <w:r>
              <w:rPr>
                <w:rFonts w:ascii="Arial" w:cs="Arial" w:eastAsia="Arial" w:hAnsi="Arial"/>
                <w:sz w:val="20"/>
                <w:szCs w:val="20"/>
                <w:color w:val="auto"/>
              </w:rPr>
              <w:t>Restricted Payments</w:t>
            </w:r>
          </w:p>
        </w:tc>
        <w:tc>
          <w:tcPr>
            <w:tcW w:w="70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7.07</w:t>
            </w:r>
          </w:p>
        </w:tc>
        <w:tc>
          <w:tcPr>
            <w:tcW w:w="9880" w:type="dxa"/>
            <w:vAlign w:val="bottom"/>
          </w:tcPr>
          <w:p>
            <w:pPr>
              <w:ind w:left="280"/>
              <w:spacing w:after="0"/>
              <w:rPr>
                <w:sz w:val="20"/>
                <w:szCs w:val="20"/>
                <w:color w:val="auto"/>
              </w:rPr>
            </w:pPr>
            <w:r>
              <w:rPr>
                <w:rFonts w:ascii="Arial" w:cs="Arial" w:eastAsia="Arial" w:hAnsi="Arial"/>
                <w:sz w:val="20"/>
                <w:szCs w:val="20"/>
                <w:color w:val="auto"/>
              </w:rPr>
              <w:t>[Reserved]</w:t>
            </w:r>
          </w:p>
        </w:tc>
        <w:tc>
          <w:tcPr>
            <w:tcW w:w="70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7.08</w:t>
            </w:r>
          </w:p>
        </w:tc>
        <w:tc>
          <w:tcPr>
            <w:tcW w:w="9880" w:type="dxa"/>
            <w:vAlign w:val="bottom"/>
          </w:tcPr>
          <w:p>
            <w:pPr>
              <w:ind w:left="280"/>
              <w:spacing w:after="0"/>
              <w:rPr>
                <w:sz w:val="20"/>
                <w:szCs w:val="20"/>
                <w:color w:val="auto"/>
              </w:rPr>
            </w:pPr>
            <w:r>
              <w:rPr>
                <w:rFonts w:ascii="Arial" w:cs="Arial" w:eastAsia="Arial" w:hAnsi="Arial"/>
                <w:sz w:val="20"/>
                <w:szCs w:val="20"/>
                <w:color w:val="auto"/>
              </w:rPr>
              <w:t>[Reserved]</w:t>
            </w:r>
          </w:p>
        </w:tc>
        <w:tc>
          <w:tcPr>
            <w:tcW w:w="70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7.09</w:t>
            </w:r>
          </w:p>
        </w:tc>
        <w:tc>
          <w:tcPr>
            <w:tcW w:w="9880" w:type="dxa"/>
            <w:vAlign w:val="bottom"/>
          </w:tcPr>
          <w:p>
            <w:pPr>
              <w:ind w:left="280"/>
              <w:spacing w:after="0"/>
              <w:rPr>
                <w:sz w:val="20"/>
                <w:szCs w:val="20"/>
                <w:color w:val="auto"/>
              </w:rPr>
            </w:pPr>
            <w:r>
              <w:rPr>
                <w:rFonts w:ascii="Arial" w:cs="Arial" w:eastAsia="Arial" w:hAnsi="Arial"/>
                <w:sz w:val="20"/>
                <w:szCs w:val="20"/>
                <w:color w:val="auto"/>
              </w:rPr>
              <w:t>Dividend and Other Payment Restrictions Affecting Subsidiaries</w:t>
            </w:r>
          </w:p>
        </w:tc>
        <w:tc>
          <w:tcPr>
            <w:tcW w:w="70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7.10</w:t>
            </w:r>
          </w:p>
        </w:tc>
        <w:tc>
          <w:tcPr>
            <w:tcW w:w="9880" w:type="dxa"/>
            <w:vAlign w:val="bottom"/>
          </w:tcPr>
          <w:p>
            <w:pPr>
              <w:ind w:left="280"/>
              <w:spacing w:after="0"/>
              <w:rPr>
                <w:sz w:val="20"/>
                <w:szCs w:val="20"/>
                <w:color w:val="auto"/>
              </w:rPr>
            </w:pPr>
            <w:r>
              <w:rPr>
                <w:rFonts w:ascii="Arial" w:cs="Arial" w:eastAsia="Arial" w:hAnsi="Arial"/>
                <w:sz w:val="20"/>
                <w:szCs w:val="20"/>
                <w:color w:val="auto"/>
              </w:rPr>
              <w:t>Accounting Changes</w:t>
            </w:r>
          </w:p>
        </w:tc>
        <w:tc>
          <w:tcPr>
            <w:tcW w:w="700" w:type="dxa"/>
            <w:vAlign w:val="bottom"/>
          </w:tcPr>
          <w:p>
            <w:pPr>
              <w:jc w:val="right"/>
              <w:spacing w:after="0"/>
              <w:rPr>
                <w:sz w:val="20"/>
                <w:szCs w:val="20"/>
                <w:color w:val="auto"/>
              </w:rPr>
            </w:pPr>
            <w:r>
              <w:rPr>
                <w:rFonts w:ascii="Arial" w:cs="Arial" w:eastAsia="Arial" w:hAnsi="Arial"/>
                <w:sz w:val="20"/>
                <w:szCs w:val="20"/>
                <w:color w:val="auto"/>
              </w:rPr>
              <w:t>158</w:t>
            </w:r>
          </w:p>
        </w:tc>
      </w:tr>
      <w:tr>
        <w:trPr>
          <w:trHeight w:val="452"/>
        </w:trPr>
        <w:tc>
          <w:tcPr>
            <w:tcW w:w="620" w:type="dxa"/>
            <w:vAlign w:val="bottom"/>
          </w:tcPr>
          <w:p>
            <w:pPr>
              <w:spacing w:after="0"/>
              <w:rPr>
                <w:sz w:val="24"/>
                <w:szCs w:val="24"/>
                <w:color w:val="auto"/>
              </w:rPr>
            </w:pPr>
          </w:p>
        </w:tc>
        <w:tc>
          <w:tcPr>
            <w:tcW w:w="9880" w:type="dxa"/>
            <w:vAlign w:val="bottom"/>
          </w:tcPr>
          <w:p>
            <w:pPr>
              <w:jc w:val="center"/>
              <w:spacing w:after="0"/>
              <w:rPr>
                <w:sz w:val="20"/>
                <w:szCs w:val="20"/>
                <w:color w:val="auto"/>
              </w:rPr>
            </w:pPr>
            <w:r>
              <w:rPr>
                <w:rFonts w:ascii="Arial" w:cs="Arial" w:eastAsia="Arial" w:hAnsi="Arial"/>
                <w:sz w:val="20"/>
                <w:szCs w:val="20"/>
                <w:color w:val="auto"/>
                <w:w w:val="99"/>
              </w:rPr>
              <w:t>ARTICLE VIII</w:t>
            </w:r>
          </w:p>
        </w:tc>
        <w:tc>
          <w:tcPr>
            <w:tcW w:w="700" w:type="dxa"/>
            <w:vAlign w:val="bottom"/>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9880" w:type="dxa"/>
            <w:vAlign w:val="bottom"/>
          </w:tcPr>
          <w:p>
            <w:pPr>
              <w:jc w:val="center"/>
              <w:spacing w:after="0"/>
              <w:rPr>
                <w:sz w:val="20"/>
                <w:szCs w:val="20"/>
                <w:color w:val="auto"/>
              </w:rPr>
            </w:pPr>
            <w:r>
              <w:rPr>
                <w:rFonts w:ascii="Arial" w:cs="Arial" w:eastAsia="Arial" w:hAnsi="Arial"/>
                <w:sz w:val="20"/>
                <w:szCs w:val="20"/>
                <w:color w:val="auto"/>
                <w:w w:val="94"/>
              </w:rPr>
              <w:t>EVENTS OF DEFAULT AND REMEDIES</w:t>
            </w:r>
          </w:p>
        </w:tc>
        <w:tc>
          <w:tcPr>
            <w:tcW w:w="700" w:type="dxa"/>
            <w:vAlign w:val="bottom"/>
          </w:tcPr>
          <w:p>
            <w:pPr>
              <w:spacing w:after="0"/>
              <w:rPr>
                <w:sz w:val="21"/>
                <w:szCs w:val="21"/>
                <w:color w:val="auto"/>
              </w:rPr>
            </w:pPr>
          </w:p>
        </w:tc>
      </w:tr>
      <w:tr>
        <w:trPr>
          <w:trHeight w:val="473"/>
        </w:trPr>
        <w:tc>
          <w:tcPr>
            <w:tcW w:w="620" w:type="dxa"/>
            <w:vAlign w:val="bottom"/>
          </w:tcPr>
          <w:p>
            <w:pPr>
              <w:spacing w:after="0"/>
              <w:rPr>
                <w:sz w:val="20"/>
                <w:szCs w:val="20"/>
                <w:color w:val="auto"/>
              </w:rPr>
            </w:pPr>
            <w:r>
              <w:rPr>
                <w:rFonts w:ascii="Arial" w:cs="Arial" w:eastAsia="Arial" w:hAnsi="Arial"/>
                <w:sz w:val="20"/>
                <w:szCs w:val="20"/>
                <w:color w:val="auto"/>
              </w:rPr>
              <w:t>8.01</w:t>
            </w:r>
          </w:p>
        </w:tc>
        <w:tc>
          <w:tcPr>
            <w:tcW w:w="9880" w:type="dxa"/>
            <w:vAlign w:val="bottom"/>
          </w:tcPr>
          <w:p>
            <w:pPr>
              <w:ind w:left="280"/>
              <w:spacing w:after="0"/>
              <w:rPr>
                <w:sz w:val="20"/>
                <w:szCs w:val="20"/>
                <w:color w:val="auto"/>
              </w:rPr>
            </w:pPr>
            <w:r>
              <w:rPr>
                <w:rFonts w:ascii="Arial" w:cs="Arial" w:eastAsia="Arial" w:hAnsi="Arial"/>
                <w:sz w:val="20"/>
                <w:szCs w:val="20"/>
                <w:color w:val="auto"/>
              </w:rPr>
              <w:t>Events of Default</w:t>
            </w:r>
          </w:p>
        </w:tc>
        <w:tc>
          <w:tcPr>
            <w:tcW w:w="700" w:type="dxa"/>
            <w:vAlign w:val="bottom"/>
          </w:tcPr>
          <w:p>
            <w:pPr>
              <w:jc w:val="right"/>
              <w:spacing w:after="0"/>
              <w:rPr>
                <w:sz w:val="20"/>
                <w:szCs w:val="20"/>
                <w:color w:val="auto"/>
              </w:rPr>
            </w:pPr>
            <w:r>
              <w:rPr>
                <w:rFonts w:ascii="Arial" w:cs="Arial" w:eastAsia="Arial" w:hAnsi="Arial"/>
                <w:sz w:val="20"/>
                <w:szCs w:val="20"/>
                <w:color w:val="auto"/>
              </w:rPr>
              <w:t>158</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8.02</w:t>
            </w:r>
          </w:p>
        </w:tc>
        <w:tc>
          <w:tcPr>
            <w:tcW w:w="9880" w:type="dxa"/>
            <w:vAlign w:val="bottom"/>
          </w:tcPr>
          <w:p>
            <w:pPr>
              <w:ind w:left="280"/>
              <w:spacing w:after="0"/>
              <w:rPr>
                <w:sz w:val="20"/>
                <w:szCs w:val="20"/>
                <w:color w:val="auto"/>
              </w:rPr>
            </w:pPr>
            <w:r>
              <w:rPr>
                <w:rFonts w:ascii="Arial" w:cs="Arial" w:eastAsia="Arial" w:hAnsi="Arial"/>
                <w:sz w:val="20"/>
                <w:szCs w:val="20"/>
                <w:color w:val="auto"/>
              </w:rPr>
              <w:t>Remedies Upon Event of Default</w:t>
            </w:r>
          </w:p>
        </w:tc>
        <w:tc>
          <w:tcPr>
            <w:tcW w:w="700" w:type="dxa"/>
            <w:vAlign w:val="bottom"/>
          </w:tcPr>
          <w:p>
            <w:pPr>
              <w:jc w:val="right"/>
              <w:spacing w:after="0"/>
              <w:rPr>
                <w:sz w:val="20"/>
                <w:szCs w:val="20"/>
                <w:color w:val="auto"/>
              </w:rPr>
            </w:pPr>
            <w:r>
              <w:rPr>
                <w:rFonts w:ascii="Arial" w:cs="Arial" w:eastAsia="Arial" w:hAnsi="Arial"/>
                <w:sz w:val="20"/>
                <w:szCs w:val="20"/>
                <w:color w:val="auto"/>
              </w:rPr>
              <w:t>160</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8.03</w:t>
            </w:r>
          </w:p>
        </w:tc>
        <w:tc>
          <w:tcPr>
            <w:tcW w:w="9880" w:type="dxa"/>
            <w:vAlign w:val="bottom"/>
          </w:tcPr>
          <w:p>
            <w:pPr>
              <w:ind w:left="280"/>
              <w:spacing w:after="0"/>
              <w:rPr>
                <w:sz w:val="20"/>
                <w:szCs w:val="20"/>
                <w:color w:val="auto"/>
              </w:rPr>
            </w:pPr>
            <w:r>
              <w:rPr>
                <w:rFonts w:ascii="Arial" w:cs="Arial" w:eastAsia="Arial" w:hAnsi="Arial"/>
                <w:sz w:val="20"/>
                <w:szCs w:val="20"/>
                <w:color w:val="auto"/>
              </w:rPr>
              <w:t>Application of Funds</w:t>
            </w:r>
          </w:p>
        </w:tc>
        <w:tc>
          <w:tcPr>
            <w:tcW w:w="70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452"/>
        </w:trPr>
        <w:tc>
          <w:tcPr>
            <w:tcW w:w="620" w:type="dxa"/>
            <w:vAlign w:val="bottom"/>
          </w:tcPr>
          <w:p>
            <w:pPr>
              <w:spacing w:after="0"/>
              <w:rPr>
                <w:sz w:val="24"/>
                <w:szCs w:val="24"/>
                <w:color w:val="auto"/>
              </w:rPr>
            </w:pPr>
          </w:p>
        </w:tc>
        <w:tc>
          <w:tcPr>
            <w:tcW w:w="9880" w:type="dxa"/>
            <w:vAlign w:val="bottom"/>
          </w:tcPr>
          <w:p>
            <w:pPr>
              <w:jc w:val="center"/>
              <w:spacing w:after="0"/>
              <w:rPr>
                <w:sz w:val="20"/>
                <w:szCs w:val="20"/>
                <w:color w:val="auto"/>
              </w:rPr>
            </w:pPr>
            <w:r>
              <w:rPr>
                <w:rFonts w:ascii="Arial" w:cs="Arial" w:eastAsia="Arial" w:hAnsi="Arial"/>
                <w:sz w:val="20"/>
                <w:szCs w:val="20"/>
                <w:color w:val="auto"/>
                <w:w w:val="99"/>
              </w:rPr>
              <w:t>ARTICLE IX</w:t>
            </w:r>
          </w:p>
        </w:tc>
        <w:tc>
          <w:tcPr>
            <w:tcW w:w="700" w:type="dxa"/>
            <w:vAlign w:val="bottom"/>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9880" w:type="dxa"/>
            <w:vAlign w:val="bottom"/>
          </w:tcPr>
          <w:p>
            <w:pPr>
              <w:jc w:val="center"/>
              <w:spacing w:after="0"/>
              <w:rPr>
                <w:sz w:val="20"/>
                <w:szCs w:val="20"/>
                <w:color w:val="auto"/>
              </w:rPr>
            </w:pPr>
            <w:r>
              <w:rPr>
                <w:rFonts w:ascii="Arial" w:cs="Arial" w:eastAsia="Arial" w:hAnsi="Arial"/>
                <w:sz w:val="20"/>
                <w:szCs w:val="20"/>
                <w:color w:val="auto"/>
                <w:w w:val="96"/>
              </w:rPr>
              <w:t>ADMINISTRATIVE AGENT AND OTHER AGENTS</w:t>
            </w:r>
          </w:p>
        </w:tc>
        <w:tc>
          <w:tcPr>
            <w:tcW w:w="700" w:type="dxa"/>
            <w:vAlign w:val="bottom"/>
          </w:tcPr>
          <w:p>
            <w:pPr>
              <w:spacing w:after="0"/>
              <w:rPr>
                <w:sz w:val="21"/>
                <w:szCs w:val="21"/>
                <w:color w:val="auto"/>
              </w:rPr>
            </w:pPr>
          </w:p>
        </w:tc>
      </w:tr>
      <w:tr>
        <w:trPr>
          <w:trHeight w:val="473"/>
        </w:trPr>
        <w:tc>
          <w:tcPr>
            <w:tcW w:w="620" w:type="dxa"/>
            <w:vAlign w:val="bottom"/>
          </w:tcPr>
          <w:p>
            <w:pPr>
              <w:spacing w:after="0"/>
              <w:rPr>
                <w:sz w:val="20"/>
                <w:szCs w:val="20"/>
                <w:color w:val="auto"/>
              </w:rPr>
            </w:pPr>
            <w:r>
              <w:rPr>
                <w:rFonts w:ascii="Arial" w:cs="Arial" w:eastAsia="Arial" w:hAnsi="Arial"/>
                <w:sz w:val="20"/>
                <w:szCs w:val="20"/>
                <w:color w:val="auto"/>
              </w:rPr>
              <w:t>9.01</w:t>
            </w:r>
          </w:p>
        </w:tc>
        <w:tc>
          <w:tcPr>
            <w:tcW w:w="9880" w:type="dxa"/>
            <w:vAlign w:val="bottom"/>
          </w:tcPr>
          <w:p>
            <w:pPr>
              <w:ind w:left="280"/>
              <w:spacing w:after="0"/>
              <w:rPr>
                <w:sz w:val="20"/>
                <w:szCs w:val="20"/>
                <w:color w:val="auto"/>
              </w:rPr>
            </w:pPr>
            <w:r>
              <w:rPr>
                <w:rFonts w:ascii="Arial" w:cs="Arial" w:eastAsia="Arial" w:hAnsi="Arial"/>
                <w:sz w:val="20"/>
                <w:szCs w:val="20"/>
                <w:color w:val="auto"/>
              </w:rPr>
              <w:t>Appointment and Authorization of Agents</w:t>
            </w:r>
          </w:p>
        </w:tc>
        <w:tc>
          <w:tcPr>
            <w:tcW w:w="70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9.02</w:t>
            </w:r>
          </w:p>
        </w:tc>
        <w:tc>
          <w:tcPr>
            <w:tcW w:w="9880" w:type="dxa"/>
            <w:vAlign w:val="bottom"/>
          </w:tcPr>
          <w:p>
            <w:pPr>
              <w:ind w:left="280"/>
              <w:spacing w:after="0"/>
              <w:rPr>
                <w:sz w:val="20"/>
                <w:szCs w:val="20"/>
                <w:color w:val="auto"/>
              </w:rPr>
            </w:pPr>
            <w:r>
              <w:rPr>
                <w:rFonts w:ascii="Arial" w:cs="Arial" w:eastAsia="Arial" w:hAnsi="Arial"/>
                <w:sz w:val="20"/>
                <w:szCs w:val="20"/>
                <w:color w:val="auto"/>
              </w:rPr>
              <w:t>Delegation of Duties</w:t>
            </w:r>
          </w:p>
        </w:tc>
        <w:tc>
          <w:tcPr>
            <w:tcW w:w="70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9.03</w:t>
            </w:r>
          </w:p>
        </w:tc>
        <w:tc>
          <w:tcPr>
            <w:tcW w:w="9880" w:type="dxa"/>
            <w:vAlign w:val="bottom"/>
          </w:tcPr>
          <w:p>
            <w:pPr>
              <w:ind w:left="280"/>
              <w:spacing w:after="0"/>
              <w:rPr>
                <w:sz w:val="20"/>
                <w:szCs w:val="20"/>
                <w:color w:val="auto"/>
              </w:rPr>
            </w:pPr>
            <w:r>
              <w:rPr>
                <w:rFonts w:ascii="Arial" w:cs="Arial" w:eastAsia="Arial" w:hAnsi="Arial"/>
                <w:sz w:val="20"/>
                <w:szCs w:val="20"/>
                <w:color w:val="auto"/>
              </w:rPr>
              <w:t>Liability of Agents</w:t>
            </w:r>
          </w:p>
        </w:tc>
        <w:tc>
          <w:tcPr>
            <w:tcW w:w="70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9.04</w:t>
            </w:r>
          </w:p>
        </w:tc>
        <w:tc>
          <w:tcPr>
            <w:tcW w:w="9880" w:type="dxa"/>
            <w:vAlign w:val="bottom"/>
          </w:tcPr>
          <w:p>
            <w:pPr>
              <w:ind w:left="280"/>
              <w:spacing w:after="0"/>
              <w:rPr>
                <w:sz w:val="20"/>
                <w:szCs w:val="20"/>
                <w:color w:val="auto"/>
              </w:rPr>
            </w:pPr>
            <w:r>
              <w:rPr>
                <w:rFonts w:ascii="Arial" w:cs="Arial" w:eastAsia="Arial" w:hAnsi="Arial"/>
                <w:sz w:val="20"/>
                <w:szCs w:val="20"/>
                <w:color w:val="auto"/>
              </w:rPr>
              <w:t>Reliance by Agents.</w:t>
            </w:r>
          </w:p>
        </w:tc>
        <w:tc>
          <w:tcPr>
            <w:tcW w:w="70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9.05</w:t>
            </w:r>
          </w:p>
        </w:tc>
        <w:tc>
          <w:tcPr>
            <w:tcW w:w="9880" w:type="dxa"/>
            <w:vAlign w:val="bottom"/>
          </w:tcPr>
          <w:p>
            <w:pPr>
              <w:ind w:left="280"/>
              <w:spacing w:after="0"/>
              <w:rPr>
                <w:sz w:val="20"/>
                <w:szCs w:val="20"/>
                <w:color w:val="auto"/>
              </w:rPr>
            </w:pPr>
            <w:r>
              <w:rPr>
                <w:rFonts w:ascii="Arial" w:cs="Arial" w:eastAsia="Arial" w:hAnsi="Arial"/>
                <w:sz w:val="20"/>
                <w:szCs w:val="20"/>
                <w:color w:val="auto"/>
              </w:rPr>
              <w:t>Notice of Default</w:t>
            </w:r>
          </w:p>
        </w:tc>
        <w:tc>
          <w:tcPr>
            <w:tcW w:w="70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9.06</w:t>
            </w:r>
          </w:p>
        </w:tc>
        <w:tc>
          <w:tcPr>
            <w:tcW w:w="9880" w:type="dxa"/>
            <w:vAlign w:val="bottom"/>
          </w:tcPr>
          <w:p>
            <w:pPr>
              <w:ind w:left="280"/>
              <w:spacing w:after="0"/>
              <w:rPr>
                <w:sz w:val="20"/>
                <w:szCs w:val="20"/>
                <w:color w:val="auto"/>
              </w:rPr>
            </w:pPr>
            <w:r>
              <w:rPr>
                <w:rFonts w:ascii="Arial" w:cs="Arial" w:eastAsia="Arial" w:hAnsi="Arial"/>
                <w:sz w:val="20"/>
                <w:szCs w:val="20"/>
                <w:color w:val="auto"/>
              </w:rPr>
              <w:t>Credit Decision; Disclosure of Information by Agents</w:t>
            </w:r>
          </w:p>
        </w:tc>
        <w:tc>
          <w:tcPr>
            <w:tcW w:w="70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9.07</w:t>
            </w:r>
          </w:p>
        </w:tc>
        <w:tc>
          <w:tcPr>
            <w:tcW w:w="9880" w:type="dxa"/>
            <w:vAlign w:val="bottom"/>
          </w:tcPr>
          <w:p>
            <w:pPr>
              <w:ind w:left="280"/>
              <w:spacing w:after="0"/>
              <w:rPr>
                <w:sz w:val="20"/>
                <w:szCs w:val="20"/>
                <w:color w:val="auto"/>
              </w:rPr>
            </w:pPr>
            <w:r>
              <w:rPr>
                <w:rFonts w:ascii="Arial" w:cs="Arial" w:eastAsia="Arial" w:hAnsi="Arial"/>
                <w:sz w:val="20"/>
                <w:szCs w:val="20"/>
                <w:color w:val="auto"/>
              </w:rPr>
              <w:t>Indemnification of Agent</w:t>
            </w:r>
          </w:p>
        </w:tc>
        <w:tc>
          <w:tcPr>
            <w:tcW w:w="70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9.08</w:t>
            </w:r>
          </w:p>
        </w:tc>
        <w:tc>
          <w:tcPr>
            <w:tcW w:w="9880" w:type="dxa"/>
            <w:vAlign w:val="bottom"/>
          </w:tcPr>
          <w:p>
            <w:pPr>
              <w:ind w:left="280"/>
              <w:spacing w:after="0"/>
              <w:rPr>
                <w:sz w:val="20"/>
                <w:szCs w:val="20"/>
                <w:color w:val="auto"/>
              </w:rPr>
            </w:pPr>
            <w:r>
              <w:rPr>
                <w:rFonts w:ascii="Arial" w:cs="Arial" w:eastAsia="Arial" w:hAnsi="Arial"/>
                <w:sz w:val="20"/>
                <w:szCs w:val="20"/>
                <w:color w:val="auto"/>
              </w:rPr>
              <w:t>Agents in their Individual Capacities</w:t>
            </w:r>
          </w:p>
        </w:tc>
        <w:tc>
          <w:tcPr>
            <w:tcW w:w="70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57"/>
        </w:trPr>
        <w:tc>
          <w:tcPr>
            <w:tcW w:w="620" w:type="dxa"/>
            <w:vAlign w:val="bottom"/>
          </w:tcPr>
          <w:p>
            <w:pPr>
              <w:spacing w:after="0"/>
              <w:rPr>
                <w:sz w:val="20"/>
                <w:szCs w:val="20"/>
                <w:color w:val="auto"/>
              </w:rPr>
            </w:pPr>
            <w:r>
              <w:rPr>
                <w:rFonts w:ascii="Arial" w:cs="Arial" w:eastAsia="Arial" w:hAnsi="Arial"/>
                <w:sz w:val="20"/>
                <w:szCs w:val="20"/>
                <w:color w:val="auto"/>
              </w:rPr>
              <w:t>9.09</w:t>
            </w:r>
          </w:p>
        </w:tc>
        <w:tc>
          <w:tcPr>
            <w:tcW w:w="9880" w:type="dxa"/>
            <w:vAlign w:val="bottom"/>
          </w:tcPr>
          <w:p>
            <w:pPr>
              <w:ind w:left="280"/>
              <w:spacing w:after="0"/>
              <w:rPr>
                <w:sz w:val="20"/>
                <w:szCs w:val="20"/>
                <w:color w:val="auto"/>
              </w:rPr>
            </w:pPr>
            <w:r>
              <w:rPr>
                <w:rFonts w:ascii="Arial" w:cs="Arial" w:eastAsia="Arial" w:hAnsi="Arial"/>
                <w:sz w:val="20"/>
                <w:szCs w:val="20"/>
                <w:color w:val="auto"/>
              </w:rPr>
              <w:t>Successor Agents</w:t>
            </w:r>
          </w:p>
        </w:tc>
        <w:tc>
          <w:tcPr>
            <w:tcW w:w="70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9.10</w:t>
            </w:r>
          </w:p>
        </w:tc>
        <w:tc>
          <w:tcPr>
            <w:tcW w:w="9880" w:type="dxa"/>
            <w:vAlign w:val="bottom"/>
          </w:tcPr>
          <w:p>
            <w:pPr>
              <w:ind w:left="280"/>
              <w:spacing w:after="0"/>
              <w:rPr>
                <w:sz w:val="20"/>
                <w:szCs w:val="20"/>
                <w:color w:val="auto"/>
              </w:rPr>
            </w:pPr>
            <w:r>
              <w:rPr>
                <w:rFonts w:ascii="Arial" w:cs="Arial" w:eastAsia="Arial" w:hAnsi="Arial"/>
                <w:sz w:val="20"/>
                <w:szCs w:val="20"/>
                <w:color w:val="auto"/>
              </w:rPr>
              <w:t>Administrative Agent May File Proofs of Claim</w:t>
            </w:r>
          </w:p>
        </w:tc>
        <w:tc>
          <w:tcPr>
            <w:tcW w:w="700" w:type="dxa"/>
            <w:vAlign w:val="bottom"/>
          </w:tcPr>
          <w:p>
            <w:pPr>
              <w:jc w:val="right"/>
              <w:spacing w:after="0"/>
              <w:rPr>
                <w:sz w:val="20"/>
                <w:szCs w:val="20"/>
                <w:color w:val="auto"/>
              </w:rPr>
            </w:pPr>
            <w:r>
              <w:rPr>
                <w:rFonts w:ascii="Arial" w:cs="Arial" w:eastAsia="Arial" w:hAnsi="Arial"/>
                <w:sz w:val="20"/>
                <w:szCs w:val="20"/>
                <w:color w:val="auto"/>
              </w:rPr>
              <w:t>165</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9.11</w:t>
            </w:r>
          </w:p>
        </w:tc>
        <w:tc>
          <w:tcPr>
            <w:tcW w:w="9880" w:type="dxa"/>
            <w:vAlign w:val="bottom"/>
          </w:tcPr>
          <w:p>
            <w:pPr>
              <w:ind w:left="280"/>
              <w:spacing w:after="0"/>
              <w:rPr>
                <w:sz w:val="20"/>
                <w:szCs w:val="20"/>
                <w:color w:val="auto"/>
              </w:rPr>
            </w:pPr>
            <w:r>
              <w:rPr>
                <w:rFonts w:ascii="Arial" w:cs="Arial" w:eastAsia="Arial" w:hAnsi="Arial"/>
                <w:sz w:val="20"/>
                <w:szCs w:val="20"/>
                <w:color w:val="auto"/>
              </w:rPr>
              <w:t>Collateral and Guaranty Matters</w:t>
            </w:r>
          </w:p>
        </w:tc>
        <w:tc>
          <w:tcPr>
            <w:tcW w:w="700" w:type="dxa"/>
            <w:vAlign w:val="bottom"/>
          </w:tcPr>
          <w:p>
            <w:pPr>
              <w:jc w:val="right"/>
              <w:spacing w:after="0"/>
              <w:rPr>
                <w:sz w:val="20"/>
                <w:szCs w:val="20"/>
                <w:color w:val="auto"/>
              </w:rPr>
            </w:pPr>
            <w:r>
              <w:rPr>
                <w:rFonts w:ascii="Arial" w:cs="Arial" w:eastAsia="Arial" w:hAnsi="Arial"/>
                <w:sz w:val="20"/>
                <w:szCs w:val="20"/>
                <w:color w:val="auto"/>
              </w:rPr>
              <w:t>166</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9.12</w:t>
            </w:r>
          </w:p>
        </w:tc>
        <w:tc>
          <w:tcPr>
            <w:tcW w:w="9880" w:type="dxa"/>
            <w:vAlign w:val="bottom"/>
          </w:tcPr>
          <w:p>
            <w:pPr>
              <w:ind w:left="280"/>
              <w:spacing w:after="0"/>
              <w:rPr>
                <w:sz w:val="20"/>
                <w:szCs w:val="20"/>
                <w:color w:val="auto"/>
              </w:rPr>
            </w:pPr>
            <w:r>
              <w:rPr>
                <w:rFonts w:ascii="Arial" w:cs="Arial" w:eastAsia="Arial" w:hAnsi="Arial"/>
                <w:sz w:val="20"/>
                <w:szCs w:val="20"/>
                <w:color w:val="auto"/>
              </w:rPr>
              <w:t>Secured Cash Management Agreements and Secured Hedge Agreements.</w:t>
            </w:r>
          </w:p>
        </w:tc>
        <w:tc>
          <w:tcPr>
            <w:tcW w:w="700" w:type="dxa"/>
            <w:vAlign w:val="bottom"/>
          </w:tcPr>
          <w:p>
            <w:pPr>
              <w:jc w:val="right"/>
              <w:spacing w:after="0"/>
              <w:rPr>
                <w:sz w:val="20"/>
                <w:szCs w:val="20"/>
                <w:color w:val="auto"/>
              </w:rPr>
            </w:pPr>
            <w:r>
              <w:rPr>
                <w:rFonts w:ascii="Arial" w:cs="Arial" w:eastAsia="Arial" w:hAnsi="Arial"/>
                <w:sz w:val="20"/>
                <w:szCs w:val="20"/>
                <w:color w:val="auto"/>
              </w:rPr>
              <w:t>166</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9.13</w:t>
            </w:r>
          </w:p>
        </w:tc>
        <w:tc>
          <w:tcPr>
            <w:tcW w:w="9880" w:type="dxa"/>
            <w:vAlign w:val="bottom"/>
          </w:tcPr>
          <w:p>
            <w:pPr>
              <w:ind w:left="280"/>
              <w:spacing w:after="0"/>
              <w:rPr>
                <w:sz w:val="20"/>
                <w:szCs w:val="20"/>
                <w:color w:val="auto"/>
              </w:rPr>
            </w:pPr>
            <w:r>
              <w:rPr>
                <w:rFonts w:ascii="Arial" w:cs="Arial" w:eastAsia="Arial" w:hAnsi="Arial"/>
                <w:sz w:val="20"/>
                <w:szCs w:val="20"/>
                <w:color w:val="auto"/>
              </w:rPr>
              <w:t>Other Agents; Arranger and Managers</w:t>
            </w:r>
          </w:p>
        </w:tc>
        <w:tc>
          <w:tcPr>
            <w:tcW w:w="700" w:type="dxa"/>
            <w:vAlign w:val="bottom"/>
          </w:tcPr>
          <w:p>
            <w:pPr>
              <w:jc w:val="right"/>
              <w:spacing w:after="0"/>
              <w:rPr>
                <w:sz w:val="20"/>
                <w:szCs w:val="20"/>
                <w:color w:val="auto"/>
              </w:rPr>
            </w:pPr>
            <w:r>
              <w:rPr>
                <w:rFonts w:ascii="Arial" w:cs="Arial" w:eastAsia="Arial" w:hAnsi="Arial"/>
                <w:sz w:val="20"/>
                <w:szCs w:val="20"/>
                <w:color w:val="auto"/>
              </w:rPr>
              <w:t>167</w:t>
            </w:r>
          </w:p>
        </w:tc>
      </w:tr>
      <w:tr>
        <w:trPr>
          <w:trHeight w:val="236"/>
        </w:trPr>
        <w:tc>
          <w:tcPr>
            <w:tcW w:w="620" w:type="dxa"/>
            <w:vAlign w:val="bottom"/>
          </w:tcPr>
          <w:p>
            <w:pPr>
              <w:spacing w:after="0"/>
              <w:rPr>
                <w:sz w:val="20"/>
                <w:szCs w:val="20"/>
                <w:color w:val="auto"/>
              </w:rPr>
            </w:pPr>
            <w:r>
              <w:rPr>
                <w:rFonts w:ascii="Arial" w:cs="Arial" w:eastAsia="Arial" w:hAnsi="Arial"/>
                <w:sz w:val="20"/>
                <w:szCs w:val="20"/>
                <w:color w:val="auto"/>
              </w:rPr>
              <w:t>9.14</w:t>
            </w:r>
          </w:p>
        </w:tc>
        <w:tc>
          <w:tcPr>
            <w:tcW w:w="9880" w:type="dxa"/>
            <w:vAlign w:val="bottom"/>
          </w:tcPr>
          <w:p>
            <w:pPr>
              <w:ind w:left="280"/>
              <w:spacing w:after="0"/>
              <w:rPr>
                <w:sz w:val="20"/>
                <w:szCs w:val="20"/>
                <w:color w:val="auto"/>
              </w:rPr>
            </w:pPr>
            <w:r>
              <w:rPr>
                <w:rFonts w:ascii="Arial" w:cs="Arial" w:eastAsia="Arial" w:hAnsi="Arial"/>
                <w:sz w:val="20"/>
                <w:szCs w:val="20"/>
                <w:color w:val="auto"/>
                <w:w w:val="93"/>
              </w:rPr>
              <w:t>Appointment of Supplemental Agents, Incremental Arrangers, Incremental Equivalent Debt Arrangers and Specified</w:t>
            </w:r>
          </w:p>
        </w:tc>
        <w:tc>
          <w:tcPr>
            <w:tcW w:w="700" w:type="dxa"/>
            <w:vAlign w:val="bottom"/>
          </w:tcPr>
          <w:p>
            <w:pPr>
              <w:spacing w:after="0"/>
              <w:rPr>
                <w:sz w:val="20"/>
                <w:szCs w:val="20"/>
                <w:color w:val="auto"/>
              </w:rPr>
            </w:pPr>
          </w:p>
        </w:tc>
      </w:tr>
      <w:tr>
        <w:trPr>
          <w:trHeight w:val="250"/>
        </w:trPr>
        <w:tc>
          <w:tcPr>
            <w:tcW w:w="620" w:type="dxa"/>
            <w:vAlign w:val="bottom"/>
          </w:tcPr>
          <w:p>
            <w:pPr>
              <w:spacing w:after="0"/>
              <w:rPr>
                <w:sz w:val="21"/>
                <w:szCs w:val="21"/>
                <w:color w:val="auto"/>
              </w:rPr>
            </w:pPr>
          </w:p>
        </w:tc>
        <w:tc>
          <w:tcPr>
            <w:tcW w:w="9880" w:type="dxa"/>
            <w:vAlign w:val="bottom"/>
          </w:tcPr>
          <w:p>
            <w:pPr>
              <w:ind w:left="280"/>
              <w:spacing w:after="0"/>
              <w:rPr>
                <w:sz w:val="20"/>
                <w:szCs w:val="20"/>
                <w:color w:val="auto"/>
              </w:rPr>
            </w:pPr>
            <w:r>
              <w:rPr>
                <w:rFonts w:ascii="Arial" w:cs="Arial" w:eastAsia="Arial" w:hAnsi="Arial"/>
                <w:sz w:val="20"/>
                <w:szCs w:val="20"/>
                <w:color w:val="auto"/>
              </w:rPr>
              <w:t>Refinancing Agents</w:t>
            </w:r>
          </w:p>
        </w:tc>
        <w:tc>
          <w:tcPr>
            <w:tcW w:w="700" w:type="dxa"/>
            <w:vAlign w:val="bottom"/>
          </w:tcPr>
          <w:p>
            <w:pPr>
              <w:jc w:val="right"/>
              <w:spacing w:after="0"/>
              <w:rPr>
                <w:sz w:val="20"/>
                <w:szCs w:val="20"/>
                <w:color w:val="auto"/>
              </w:rPr>
            </w:pPr>
            <w:r>
              <w:rPr>
                <w:rFonts w:ascii="Arial" w:cs="Arial" w:eastAsia="Arial" w:hAnsi="Arial"/>
                <w:sz w:val="20"/>
                <w:szCs w:val="20"/>
                <w:color w:val="auto"/>
              </w:rPr>
              <w:t>167</w:t>
            </w:r>
          </w:p>
        </w:tc>
      </w:tr>
    </w:tbl>
    <w:p>
      <w:pPr>
        <w:jc w:val="center"/>
        <w:spacing w:after="0" w:line="236" w:lineRule="auto"/>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361315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9.15</w:t>
            </w:r>
          </w:p>
        </w:tc>
        <w:tc>
          <w:tcPr>
            <w:tcW w:w="8100" w:type="dxa"/>
            <w:vAlign w:val="bottom"/>
          </w:tcPr>
          <w:p>
            <w:pPr>
              <w:ind w:left="240"/>
              <w:spacing w:after="0"/>
              <w:rPr>
                <w:sz w:val="20"/>
                <w:szCs w:val="20"/>
                <w:color w:val="auto"/>
              </w:rPr>
            </w:pPr>
            <w:r>
              <w:rPr>
                <w:rFonts w:ascii="Arial" w:cs="Arial" w:eastAsia="Arial" w:hAnsi="Arial"/>
                <w:sz w:val="20"/>
                <w:szCs w:val="20"/>
                <w:color w:val="auto"/>
              </w:rPr>
              <w:t>Withholding Taxes</w:t>
            </w:r>
          </w:p>
        </w:tc>
        <w:tc>
          <w:tcPr>
            <w:tcW w:w="2440" w:type="dxa"/>
            <w:vAlign w:val="bottom"/>
          </w:tcPr>
          <w:p>
            <w:pPr>
              <w:jc w:val="right"/>
              <w:spacing w:after="0"/>
              <w:rPr>
                <w:sz w:val="20"/>
                <w:szCs w:val="20"/>
                <w:color w:val="auto"/>
              </w:rPr>
            </w:pPr>
            <w:r>
              <w:rPr>
                <w:rFonts w:ascii="Arial" w:cs="Arial" w:eastAsia="Arial" w:hAnsi="Arial"/>
                <w:sz w:val="20"/>
                <w:szCs w:val="20"/>
                <w:color w:val="auto"/>
              </w:rPr>
              <w:t>169</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9.16</w:t>
            </w:r>
          </w:p>
        </w:tc>
        <w:tc>
          <w:tcPr>
            <w:tcW w:w="8100" w:type="dxa"/>
            <w:vAlign w:val="bottom"/>
          </w:tcPr>
          <w:p>
            <w:pPr>
              <w:ind w:left="240"/>
              <w:spacing w:after="0"/>
              <w:rPr>
                <w:sz w:val="20"/>
                <w:szCs w:val="20"/>
                <w:color w:val="auto"/>
              </w:rPr>
            </w:pPr>
            <w:r>
              <w:rPr>
                <w:rFonts w:ascii="Arial" w:cs="Arial" w:eastAsia="Arial" w:hAnsi="Arial"/>
                <w:sz w:val="20"/>
                <w:szCs w:val="20"/>
                <w:color w:val="auto"/>
              </w:rPr>
              <w:t>Certain ERISA Matters</w:t>
            </w:r>
          </w:p>
        </w:tc>
        <w:tc>
          <w:tcPr>
            <w:tcW w:w="2440" w:type="dxa"/>
            <w:vAlign w:val="bottom"/>
          </w:tcPr>
          <w:p>
            <w:pPr>
              <w:jc w:val="right"/>
              <w:spacing w:after="0"/>
              <w:rPr>
                <w:sz w:val="20"/>
                <w:szCs w:val="20"/>
                <w:color w:val="auto"/>
              </w:rPr>
            </w:pPr>
            <w:r>
              <w:rPr>
                <w:rFonts w:ascii="Arial" w:cs="Arial" w:eastAsia="Arial" w:hAnsi="Arial"/>
                <w:sz w:val="20"/>
                <w:szCs w:val="20"/>
                <w:color w:val="auto"/>
              </w:rPr>
              <w:t>169</w:t>
            </w:r>
          </w:p>
        </w:tc>
      </w:tr>
      <w:tr>
        <w:trPr>
          <w:trHeight w:val="452"/>
        </w:trPr>
        <w:tc>
          <w:tcPr>
            <w:tcW w:w="660" w:type="dxa"/>
            <w:vAlign w:val="bottom"/>
          </w:tcPr>
          <w:p>
            <w:pPr>
              <w:spacing w:after="0"/>
              <w:rPr>
                <w:sz w:val="24"/>
                <w:szCs w:val="24"/>
                <w:color w:val="auto"/>
              </w:rPr>
            </w:pPr>
          </w:p>
        </w:tc>
        <w:tc>
          <w:tcPr>
            <w:tcW w:w="8100" w:type="dxa"/>
            <w:vAlign w:val="bottom"/>
          </w:tcPr>
          <w:p>
            <w:pPr>
              <w:ind w:left="4440"/>
              <w:spacing w:after="0"/>
              <w:rPr>
                <w:sz w:val="20"/>
                <w:szCs w:val="20"/>
                <w:color w:val="auto"/>
              </w:rPr>
            </w:pPr>
            <w:r>
              <w:rPr>
                <w:rFonts w:ascii="Arial" w:cs="Arial" w:eastAsia="Arial" w:hAnsi="Arial"/>
                <w:sz w:val="20"/>
                <w:szCs w:val="20"/>
                <w:color w:val="auto"/>
              </w:rPr>
              <w:t>ARTICLE X</w:t>
            </w:r>
          </w:p>
        </w:tc>
        <w:tc>
          <w:tcPr>
            <w:tcW w:w="24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8100" w:type="dxa"/>
            <w:vAlign w:val="bottom"/>
          </w:tcPr>
          <w:p>
            <w:pPr>
              <w:ind w:left="4120"/>
              <w:spacing w:after="0"/>
              <w:rPr>
                <w:sz w:val="20"/>
                <w:szCs w:val="20"/>
                <w:color w:val="auto"/>
              </w:rPr>
            </w:pPr>
            <w:r>
              <w:rPr>
                <w:rFonts w:ascii="Arial" w:cs="Arial" w:eastAsia="Arial" w:hAnsi="Arial"/>
                <w:sz w:val="20"/>
                <w:szCs w:val="20"/>
                <w:color w:val="auto"/>
              </w:rPr>
              <w:t>MISCELLANEOUS</w:t>
            </w:r>
          </w:p>
        </w:tc>
        <w:tc>
          <w:tcPr>
            <w:tcW w:w="2440" w:type="dxa"/>
            <w:vAlign w:val="bottom"/>
          </w:tcPr>
          <w:p>
            <w:pPr>
              <w:spacing w:after="0"/>
              <w:rPr>
                <w:sz w:val="21"/>
                <w:szCs w:val="21"/>
                <w:color w:val="auto"/>
              </w:rPr>
            </w:pPr>
          </w:p>
        </w:tc>
      </w:tr>
      <w:tr>
        <w:trPr>
          <w:trHeight w:val="473"/>
        </w:trPr>
        <w:tc>
          <w:tcPr>
            <w:tcW w:w="660" w:type="dxa"/>
            <w:vAlign w:val="bottom"/>
          </w:tcPr>
          <w:p>
            <w:pPr>
              <w:spacing w:after="0"/>
              <w:rPr>
                <w:sz w:val="20"/>
                <w:szCs w:val="20"/>
                <w:color w:val="auto"/>
              </w:rPr>
            </w:pPr>
            <w:r>
              <w:rPr>
                <w:rFonts w:ascii="Arial" w:cs="Arial" w:eastAsia="Arial" w:hAnsi="Arial"/>
                <w:sz w:val="20"/>
                <w:szCs w:val="20"/>
                <w:color w:val="auto"/>
              </w:rPr>
              <w:t>10.01</w:t>
            </w:r>
          </w:p>
        </w:tc>
        <w:tc>
          <w:tcPr>
            <w:tcW w:w="8100" w:type="dxa"/>
            <w:vAlign w:val="bottom"/>
          </w:tcPr>
          <w:p>
            <w:pPr>
              <w:ind w:left="240"/>
              <w:spacing w:after="0"/>
              <w:rPr>
                <w:sz w:val="20"/>
                <w:szCs w:val="20"/>
                <w:color w:val="auto"/>
              </w:rPr>
            </w:pPr>
            <w:r>
              <w:rPr>
                <w:rFonts w:ascii="Arial" w:cs="Arial" w:eastAsia="Arial" w:hAnsi="Arial"/>
                <w:sz w:val="20"/>
                <w:szCs w:val="20"/>
                <w:color w:val="auto"/>
              </w:rPr>
              <w:t>Amendments, Etc.</w:t>
            </w:r>
          </w:p>
        </w:tc>
        <w:tc>
          <w:tcPr>
            <w:tcW w:w="2440" w:type="dxa"/>
            <w:vAlign w:val="bottom"/>
          </w:tcPr>
          <w:p>
            <w:pPr>
              <w:jc w:val="right"/>
              <w:spacing w:after="0"/>
              <w:rPr>
                <w:sz w:val="20"/>
                <w:szCs w:val="20"/>
                <w:color w:val="auto"/>
              </w:rPr>
            </w:pPr>
            <w:r>
              <w:rPr>
                <w:rFonts w:ascii="Arial" w:cs="Arial" w:eastAsia="Arial" w:hAnsi="Arial"/>
                <w:sz w:val="20"/>
                <w:szCs w:val="20"/>
                <w:color w:val="auto"/>
              </w:rPr>
              <w:t>170</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10.02</w:t>
            </w:r>
          </w:p>
        </w:tc>
        <w:tc>
          <w:tcPr>
            <w:tcW w:w="8100" w:type="dxa"/>
            <w:vAlign w:val="bottom"/>
          </w:tcPr>
          <w:p>
            <w:pPr>
              <w:ind w:left="240"/>
              <w:spacing w:after="0"/>
              <w:rPr>
                <w:sz w:val="20"/>
                <w:szCs w:val="20"/>
                <w:color w:val="auto"/>
              </w:rPr>
            </w:pPr>
            <w:r>
              <w:rPr>
                <w:rFonts w:ascii="Arial" w:cs="Arial" w:eastAsia="Arial" w:hAnsi="Arial"/>
                <w:sz w:val="20"/>
                <w:szCs w:val="20"/>
                <w:color w:val="auto"/>
              </w:rPr>
              <w:t>Notices; Effectiveness; Electronic Communications</w:t>
            </w:r>
          </w:p>
        </w:tc>
        <w:tc>
          <w:tcPr>
            <w:tcW w:w="2440" w:type="dxa"/>
            <w:vAlign w:val="bottom"/>
          </w:tcPr>
          <w:p>
            <w:pPr>
              <w:jc w:val="right"/>
              <w:spacing w:after="0"/>
              <w:rPr>
                <w:sz w:val="20"/>
                <w:szCs w:val="20"/>
                <w:color w:val="auto"/>
              </w:rPr>
            </w:pPr>
            <w:r>
              <w:rPr>
                <w:rFonts w:ascii="Arial" w:cs="Arial" w:eastAsia="Arial" w:hAnsi="Arial"/>
                <w:sz w:val="20"/>
                <w:szCs w:val="20"/>
                <w:color w:val="auto"/>
              </w:rPr>
              <w:t>172</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10.03</w:t>
            </w:r>
          </w:p>
        </w:tc>
        <w:tc>
          <w:tcPr>
            <w:tcW w:w="8100" w:type="dxa"/>
            <w:vAlign w:val="bottom"/>
          </w:tcPr>
          <w:p>
            <w:pPr>
              <w:ind w:left="240"/>
              <w:spacing w:after="0"/>
              <w:rPr>
                <w:sz w:val="20"/>
                <w:szCs w:val="20"/>
                <w:color w:val="auto"/>
              </w:rPr>
            </w:pPr>
            <w:r>
              <w:rPr>
                <w:rFonts w:ascii="Arial" w:cs="Arial" w:eastAsia="Arial" w:hAnsi="Arial"/>
                <w:sz w:val="20"/>
                <w:szCs w:val="20"/>
                <w:color w:val="auto"/>
              </w:rPr>
              <w:t>No Waiver; Cumulative Remedies; Enforcement</w:t>
            </w:r>
          </w:p>
        </w:tc>
        <w:tc>
          <w:tcPr>
            <w:tcW w:w="2440" w:type="dxa"/>
            <w:vAlign w:val="bottom"/>
          </w:tcPr>
          <w:p>
            <w:pPr>
              <w:jc w:val="right"/>
              <w:spacing w:after="0"/>
              <w:rPr>
                <w:sz w:val="20"/>
                <w:szCs w:val="20"/>
                <w:color w:val="auto"/>
              </w:rPr>
            </w:pPr>
            <w:r>
              <w:rPr>
                <w:rFonts w:ascii="Arial" w:cs="Arial" w:eastAsia="Arial" w:hAnsi="Arial"/>
                <w:sz w:val="20"/>
                <w:szCs w:val="20"/>
                <w:color w:val="auto"/>
              </w:rPr>
              <w:t>174</w:t>
            </w:r>
          </w:p>
        </w:tc>
      </w:tr>
      <w:tr>
        <w:trPr>
          <w:trHeight w:val="256"/>
        </w:trPr>
        <w:tc>
          <w:tcPr>
            <w:tcW w:w="660" w:type="dxa"/>
            <w:vAlign w:val="bottom"/>
          </w:tcPr>
          <w:p>
            <w:pPr>
              <w:spacing w:after="0"/>
              <w:rPr>
                <w:sz w:val="20"/>
                <w:szCs w:val="20"/>
                <w:color w:val="auto"/>
              </w:rPr>
            </w:pPr>
            <w:r>
              <w:rPr>
                <w:rFonts w:ascii="Arial" w:cs="Arial" w:eastAsia="Arial" w:hAnsi="Arial"/>
                <w:sz w:val="20"/>
                <w:szCs w:val="20"/>
                <w:color w:val="auto"/>
              </w:rPr>
              <w:t>10.04</w:t>
            </w:r>
          </w:p>
        </w:tc>
        <w:tc>
          <w:tcPr>
            <w:tcW w:w="8100" w:type="dxa"/>
            <w:vAlign w:val="bottom"/>
          </w:tcPr>
          <w:p>
            <w:pPr>
              <w:ind w:left="240"/>
              <w:spacing w:after="0"/>
              <w:rPr>
                <w:sz w:val="20"/>
                <w:szCs w:val="20"/>
                <w:color w:val="auto"/>
              </w:rPr>
            </w:pPr>
            <w:r>
              <w:rPr>
                <w:rFonts w:ascii="Arial" w:cs="Arial" w:eastAsia="Arial" w:hAnsi="Arial"/>
                <w:sz w:val="20"/>
                <w:szCs w:val="20"/>
                <w:color w:val="auto"/>
              </w:rPr>
              <w:t>Expenses and Taxes</w:t>
            </w:r>
          </w:p>
        </w:tc>
        <w:tc>
          <w:tcPr>
            <w:tcW w:w="2440" w:type="dxa"/>
            <w:vAlign w:val="bottom"/>
          </w:tcPr>
          <w:p>
            <w:pPr>
              <w:jc w:val="right"/>
              <w:spacing w:after="0"/>
              <w:rPr>
                <w:sz w:val="20"/>
                <w:szCs w:val="20"/>
                <w:color w:val="auto"/>
              </w:rPr>
            </w:pPr>
            <w:r>
              <w:rPr>
                <w:rFonts w:ascii="Arial" w:cs="Arial" w:eastAsia="Arial" w:hAnsi="Arial"/>
                <w:sz w:val="20"/>
                <w:szCs w:val="20"/>
                <w:color w:val="auto"/>
              </w:rPr>
              <w:t>174</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10.05</w:t>
            </w:r>
          </w:p>
        </w:tc>
        <w:tc>
          <w:tcPr>
            <w:tcW w:w="8100" w:type="dxa"/>
            <w:vAlign w:val="bottom"/>
          </w:tcPr>
          <w:p>
            <w:pPr>
              <w:ind w:left="240"/>
              <w:spacing w:after="0"/>
              <w:rPr>
                <w:sz w:val="20"/>
                <w:szCs w:val="20"/>
                <w:color w:val="auto"/>
              </w:rPr>
            </w:pPr>
            <w:r>
              <w:rPr>
                <w:rFonts w:ascii="Arial" w:cs="Arial" w:eastAsia="Arial" w:hAnsi="Arial"/>
                <w:sz w:val="20"/>
                <w:szCs w:val="20"/>
                <w:color w:val="auto"/>
              </w:rPr>
              <w:t>Indemnification by the Borrower</w:t>
            </w:r>
          </w:p>
        </w:tc>
        <w:tc>
          <w:tcPr>
            <w:tcW w:w="2440" w:type="dxa"/>
            <w:vAlign w:val="bottom"/>
          </w:tcPr>
          <w:p>
            <w:pPr>
              <w:jc w:val="right"/>
              <w:spacing w:after="0"/>
              <w:rPr>
                <w:sz w:val="20"/>
                <w:szCs w:val="20"/>
                <w:color w:val="auto"/>
              </w:rPr>
            </w:pPr>
            <w:r>
              <w:rPr>
                <w:rFonts w:ascii="Arial" w:cs="Arial" w:eastAsia="Arial" w:hAnsi="Arial"/>
                <w:sz w:val="20"/>
                <w:szCs w:val="20"/>
                <w:color w:val="auto"/>
              </w:rPr>
              <w:t>175</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10.06</w:t>
            </w:r>
          </w:p>
        </w:tc>
        <w:tc>
          <w:tcPr>
            <w:tcW w:w="8100" w:type="dxa"/>
            <w:vAlign w:val="bottom"/>
          </w:tcPr>
          <w:p>
            <w:pPr>
              <w:ind w:left="240"/>
              <w:spacing w:after="0"/>
              <w:rPr>
                <w:sz w:val="20"/>
                <w:szCs w:val="20"/>
                <w:color w:val="auto"/>
              </w:rPr>
            </w:pPr>
            <w:r>
              <w:rPr>
                <w:rFonts w:ascii="Arial" w:cs="Arial" w:eastAsia="Arial" w:hAnsi="Arial"/>
                <w:sz w:val="20"/>
                <w:szCs w:val="20"/>
                <w:color w:val="auto"/>
              </w:rPr>
              <w:t>Payments Set Aside</w:t>
            </w:r>
          </w:p>
        </w:tc>
        <w:tc>
          <w:tcPr>
            <w:tcW w:w="2440" w:type="dxa"/>
            <w:vAlign w:val="bottom"/>
          </w:tcPr>
          <w:p>
            <w:pPr>
              <w:jc w:val="right"/>
              <w:spacing w:after="0"/>
              <w:rPr>
                <w:sz w:val="20"/>
                <w:szCs w:val="20"/>
                <w:color w:val="auto"/>
              </w:rPr>
            </w:pPr>
            <w:r>
              <w:rPr>
                <w:rFonts w:ascii="Arial" w:cs="Arial" w:eastAsia="Arial" w:hAnsi="Arial"/>
                <w:sz w:val="20"/>
                <w:szCs w:val="20"/>
                <w:color w:val="auto"/>
              </w:rPr>
              <w:t>176</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10.07</w:t>
            </w:r>
          </w:p>
        </w:tc>
        <w:tc>
          <w:tcPr>
            <w:tcW w:w="8100" w:type="dxa"/>
            <w:vAlign w:val="bottom"/>
          </w:tcPr>
          <w:p>
            <w:pPr>
              <w:ind w:left="240"/>
              <w:spacing w:after="0"/>
              <w:rPr>
                <w:sz w:val="20"/>
                <w:szCs w:val="20"/>
                <w:color w:val="auto"/>
              </w:rPr>
            </w:pPr>
            <w:r>
              <w:rPr>
                <w:rFonts w:ascii="Arial" w:cs="Arial" w:eastAsia="Arial" w:hAnsi="Arial"/>
                <w:sz w:val="20"/>
                <w:szCs w:val="20"/>
                <w:color w:val="auto"/>
              </w:rPr>
              <w:t>Successors and Assigns</w:t>
            </w:r>
          </w:p>
        </w:tc>
        <w:tc>
          <w:tcPr>
            <w:tcW w:w="2440" w:type="dxa"/>
            <w:vAlign w:val="bottom"/>
          </w:tcPr>
          <w:p>
            <w:pPr>
              <w:jc w:val="right"/>
              <w:spacing w:after="0"/>
              <w:rPr>
                <w:sz w:val="20"/>
                <w:szCs w:val="20"/>
                <w:color w:val="auto"/>
              </w:rPr>
            </w:pPr>
            <w:r>
              <w:rPr>
                <w:rFonts w:ascii="Arial" w:cs="Arial" w:eastAsia="Arial" w:hAnsi="Arial"/>
                <w:sz w:val="20"/>
                <w:szCs w:val="20"/>
                <w:color w:val="auto"/>
              </w:rPr>
              <w:t>176</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10.08</w:t>
            </w:r>
          </w:p>
        </w:tc>
        <w:tc>
          <w:tcPr>
            <w:tcW w:w="8100" w:type="dxa"/>
            <w:vAlign w:val="bottom"/>
          </w:tcPr>
          <w:p>
            <w:pPr>
              <w:ind w:left="240"/>
              <w:spacing w:after="0"/>
              <w:rPr>
                <w:sz w:val="20"/>
                <w:szCs w:val="20"/>
                <w:color w:val="auto"/>
              </w:rPr>
            </w:pPr>
            <w:r>
              <w:rPr>
                <w:rFonts w:ascii="Arial" w:cs="Arial" w:eastAsia="Arial" w:hAnsi="Arial"/>
                <w:sz w:val="20"/>
                <w:szCs w:val="20"/>
                <w:color w:val="auto"/>
              </w:rPr>
              <w:t>Confidentiality</w:t>
            </w:r>
          </w:p>
        </w:tc>
        <w:tc>
          <w:tcPr>
            <w:tcW w:w="2440" w:type="dxa"/>
            <w:vAlign w:val="bottom"/>
          </w:tcPr>
          <w:p>
            <w:pPr>
              <w:jc w:val="right"/>
              <w:spacing w:after="0"/>
              <w:rPr>
                <w:sz w:val="20"/>
                <w:szCs w:val="20"/>
                <w:color w:val="auto"/>
              </w:rPr>
            </w:pPr>
            <w:r>
              <w:rPr>
                <w:rFonts w:ascii="Arial" w:cs="Arial" w:eastAsia="Arial" w:hAnsi="Arial"/>
                <w:sz w:val="20"/>
                <w:szCs w:val="20"/>
                <w:color w:val="auto"/>
              </w:rPr>
              <w:t>182</w:t>
            </w:r>
          </w:p>
        </w:tc>
      </w:tr>
      <w:tr>
        <w:trPr>
          <w:trHeight w:val="256"/>
        </w:trPr>
        <w:tc>
          <w:tcPr>
            <w:tcW w:w="660" w:type="dxa"/>
            <w:vAlign w:val="bottom"/>
          </w:tcPr>
          <w:p>
            <w:pPr>
              <w:spacing w:after="0"/>
              <w:rPr>
                <w:sz w:val="20"/>
                <w:szCs w:val="20"/>
                <w:color w:val="auto"/>
              </w:rPr>
            </w:pPr>
            <w:r>
              <w:rPr>
                <w:rFonts w:ascii="Arial" w:cs="Arial" w:eastAsia="Arial" w:hAnsi="Arial"/>
                <w:sz w:val="20"/>
                <w:szCs w:val="20"/>
                <w:color w:val="auto"/>
              </w:rPr>
              <w:t>10.09</w:t>
            </w:r>
          </w:p>
        </w:tc>
        <w:tc>
          <w:tcPr>
            <w:tcW w:w="8100" w:type="dxa"/>
            <w:vAlign w:val="bottom"/>
          </w:tcPr>
          <w:p>
            <w:pPr>
              <w:ind w:left="240"/>
              <w:spacing w:after="0"/>
              <w:rPr>
                <w:sz w:val="20"/>
                <w:szCs w:val="20"/>
                <w:color w:val="auto"/>
              </w:rPr>
            </w:pPr>
            <w:r>
              <w:rPr>
                <w:rFonts w:ascii="Arial" w:cs="Arial" w:eastAsia="Arial" w:hAnsi="Arial"/>
                <w:sz w:val="20"/>
                <w:szCs w:val="20"/>
                <w:color w:val="auto"/>
              </w:rPr>
              <w:t>Setoff</w:t>
            </w:r>
          </w:p>
        </w:tc>
        <w:tc>
          <w:tcPr>
            <w:tcW w:w="2440" w:type="dxa"/>
            <w:vAlign w:val="bottom"/>
          </w:tcPr>
          <w:p>
            <w:pPr>
              <w:jc w:val="right"/>
              <w:spacing w:after="0"/>
              <w:rPr>
                <w:sz w:val="20"/>
                <w:szCs w:val="20"/>
                <w:color w:val="auto"/>
              </w:rPr>
            </w:pPr>
            <w:r>
              <w:rPr>
                <w:rFonts w:ascii="Arial" w:cs="Arial" w:eastAsia="Arial" w:hAnsi="Arial"/>
                <w:sz w:val="20"/>
                <w:szCs w:val="20"/>
                <w:color w:val="auto"/>
              </w:rPr>
              <w:t>183</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10.10</w:t>
            </w:r>
          </w:p>
        </w:tc>
        <w:tc>
          <w:tcPr>
            <w:tcW w:w="8100" w:type="dxa"/>
            <w:vAlign w:val="bottom"/>
          </w:tcPr>
          <w:p>
            <w:pPr>
              <w:ind w:left="240"/>
              <w:spacing w:after="0"/>
              <w:rPr>
                <w:sz w:val="20"/>
                <w:szCs w:val="20"/>
                <w:color w:val="auto"/>
              </w:rPr>
            </w:pPr>
            <w:r>
              <w:rPr>
                <w:rFonts w:ascii="Arial" w:cs="Arial" w:eastAsia="Arial" w:hAnsi="Arial"/>
                <w:sz w:val="20"/>
                <w:szCs w:val="20"/>
                <w:color w:val="auto"/>
              </w:rPr>
              <w:t>Interest Rate Limitation</w:t>
            </w:r>
          </w:p>
        </w:tc>
        <w:tc>
          <w:tcPr>
            <w:tcW w:w="244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10.11</w:t>
            </w:r>
          </w:p>
        </w:tc>
        <w:tc>
          <w:tcPr>
            <w:tcW w:w="8100" w:type="dxa"/>
            <w:vAlign w:val="bottom"/>
          </w:tcPr>
          <w:p>
            <w:pPr>
              <w:ind w:left="240"/>
              <w:spacing w:after="0"/>
              <w:rPr>
                <w:sz w:val="20"/>
                <w:szCs w:val="20"/>
                <w:color w:val="auto"/>
              </w:rPr>
            </w:pPr>
            <w:r>
              <w:rPr>
                <w:rFonts w:ascii="Arial" w:cs="Arial" w:eastAsia="Arial" w:hAnsi="Arial"/>
                <w:sz w:val="20"/>
                <w:szCs w:val="20"/>
                <w:color w:val="auto"/>
              </w:rPr>
              <w:t>Counterparts</w:t>
            </w:r>
          </w:p>
        </w:tc>
        <w:tc>
          <w:tcPr>
            <w:tcW w:w="244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10.12</w:t>
            </w:r>
          </w:p>
        </w:tc>
        <w:tc>
          <w:tcPr>
            <w:tcW w:w="8100" w:type="dxa"/>
            <w:vAlign w:val="bottom"/>
          </w:tcPr>
          <w:p>
            <w:pPr>
              <w:ind w:left="240"/>
              <w:spacing w:after="0"/>
              <w:rPr>
                <w:sz w:val="20"/>
                <w:szCs w:val="20"/>
                <w:color w:val="auto"/>
              </w:rPr>
            </w:pPr>
            <w:r>
              <w:rPr>
                <w:rFonts w:ascii="Arial" w:cs="Arial" w:eastAsia="Arial" w:hAnsi="Arial"/>
                <w:sz w:val="20"/>
                <w:szCs w:val="20"/>
                <w:color w:val="auto"/>
              </w:rPr>
              <w:t>Integration; Effectiveness</w:t>
            </w:r>
          </w:p>
        </w:tc>
        <w:tc>
          <w:tcPr>
            <w:tcW w:w="244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10.13</w:t>
            </w:r>
          </w:p>
        </w:tc>
        <w:tc>
          <w:tcPr>
            <w:tcW w:w="8100" w:type="dxa"/>
            <w:vAlign w:val="bottom"/>
          </w:tcPr>
          <w:p>
            <w:pPr>
              <w:ind w:left="240"/>
              <w:spacing w:after="0"/>
              <w:rPr>
                <w:sz w:val="20"/>
                <w:szCs w:val="20"/>
                <w:color w:val="auto"/>
              </w:rPr>
            </w:pPr>
            <w:r>
              <w:rPr>
                <w:rFonts w:ascii="Arial" w:cs="Arial" w:eastAsia="Arial" w:hAnsi="Arial"/>
                <w:sz w:val="20"/>
                <w:szCs w:val="20"/>
                <w:color w:val="auto"/>
              </w:rPr>
              <w:t>Survival of Representations and Warranties</w:t>
            </w:r>
          </w:p>
        </w:tc>
        <w:tc>
          <w:tcPr>
            <w:tcW w:w="244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256"/>
        </w:trPr>
        <w:tc>
          <w:tcPr>
            <w:tcW w:w="660" w:type="dxa"/>
            <w:vAlign w:val="bottom"/>
          </w:tcPr>
          <w:p>
            <w:pPr>
              <w:spacing w:after="0"/>
              <w:rPr>
                <w:sz w:val="20"/>
                <w:szCs w:val="20"/>
                <w:color w:val="auto"/>
              </w:rPr>
            </w:pPr>
            <w:r>
              <w:rPr>
                <w:rFonts w:ascii="Arial" w:cs="Arial" w:eastAsia="Arial" w:hAnsi="Arial"/>
                <w:sz w:val="20"/>
                <w:szCs w:val="20"/>
                <w:color w:val="auto"/>
              </w:rPr>
              <w:t>10.14</w:t>
            </w:r>
          </w:p>
        </w:tc>
        <w:tc>
          <w:tcPr>
            <w:tcW w:w="8100" w:type="dxa"/>
            <w:vAlign w:val="bottom"/>
          </w:tcPr>
          <w:p>
            <w:pPr>
              <w:ind w:left="240"/>
              <w:spacing w:after="0"/>
              <w:rPr>
                <w:sz w:val="20"/>
                <w:szCs w:val="20"/>
                <w:color w:val="auto"/>
              </w:rPr>
            </w:pPr>
            <w:r>
              <w:rPr>
                <w:rFonts w:ascii="Arial" w:cs="Arial" w:eastAsia="Arial" w:hAnsi="Arial"/>
                <w:sz w:val="20"/>
                <w:szCs w:val="20"/>
                <w:color w:val="auto"/>
              </w:rPr>
              <w:t>Severability</w:t>
            </w:r>
          </w:p>
        </w:tc>
        <w:tc>
          <w:tcPr>
            <w:tcW w:w="244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10.15</w:t>
            </w:r>
          </w:p>
        </w:tc>
        <w:tc>
          <w:tcPr>
            <w:tcW w:w="8100" w:type="dxa"/>
            <w:vAlign w:val="bottom"/>
          </w:tcPr>
          <w:p>
            <w:pPr>
              <w:ind w:left="240"/>
              <w:spacing w:after="0"/>
              <w:rPr>
                <w:sz w:val="20"/>
                <w:szCs w:val="20"/>
                <w:color w:val="auto"/>
              </w:rPr>
            </w:pPr>
            <w:r>
              <w:rPr>
                <w:rFonts w:ascii="Arial" w:cs="Arial" w:eastAsia="Arial" w:hAnsi="Arial"/>
                <w:sz w:val="20"/>
                <w:szCs w:val="20"/>
                <w:color w:val="auto"/>
              </w:rPr>
              <w:t>[Reserved]</w:t>
            </w:r>
          </w:p>
        </w:tc>
        <w:tc>
          <w:tcPr>
            <w:tcW w:w="2440" w:type="dxa"/>
            <w:vAlign w:val="bottom"/>
          </w:tcPr>
          <w:p>
            <w:pPr>
              <w:jc w:val="right"/>
              <w:spacing w:after="0"/>
              <w:rPr>
                <w:sz w:val="20"/>
                <w:szCs w:val="20"/>
                <w:color w:val="auto"/>
              </w:rPr>
            </w:pPr>
            <w:r>
              <w:rPr>
                <w:rFonts w:ascii="Arial" w:cs="Arial" w:eastAsia="Arial" w:hAnsi="Arial"/>
                <w:sz w:val="20"/>
                <w:szCs w:val="20"/>
                <w:color w:val="auto"/>
              </w:rPr>
              <w:t>185</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10.16</w:t>
            </w:r>
          </w:p>
        </w:tc>
        <w:tc>
          <w:tcPr>
            <w:tcW w:w="8100" w:type="dxa"/>
            <w:vAlign w:val="bottom"/>
          </w:tcPr>
          <w:p>
            <w:pPr>
              <w:ind w:left="240"/>
              <w:spacing w:after="0"/>
              <w:rPr>
                <w:sz w:val="20"/>
                <w:szCs w:val="20"/>
                <w:color w:val="auto"/>
              </w:rPr>
            </w:pPr>
            <w:r>
              <w:rPr>
                <w:rFonts w:ascii="Arial" w:cs="Arial" w:eastAsia="Arial" w:hAnsi="Arial"/>
                <w:sz w:val="20"/>
                <w:szCs w:val="20"/>
                <w:color w:val="auto"/>
              </w:rPr>
              <w:t>Governing Law; Jurisdiction; Etc.</w:t>
            </w:r>
          </w:p>
        </w:tc>
        <w:tc>
          <w:tcPr>
            <w:tcW w:w="2440" w:type="dxa"/>
            <w:vAlign w:val="bottom"/>
          </w:tcPr>
          <w:p>
            <w:pPr>
              <w:jc w:val="right"/>
              <w:spacing w:after="0"/>
              <w:rPr>
                <w:sz w:val="20"/>
                <w:szCs w:val="20"/>
                <w:color w:val="auto"/>
              </w:rPr>
            </w:pPr>
            <w:r>
              <w:rPr>
                <w:rFonts w:ascii="Arial" w:cs="Arial" w:eastAsia="Arial" w:hAnsi="Arial"/>
                <w:sz w:val="20"/>
                <w:szCs w:val="20"/>
                <w:color w:val="auto"/>
              </w:rPr>
              <w:t>185</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10.17</w:t>
            </w:r>
          </w:p>
        </w:tc>
        <w:tc>
          <w:tcPr>
            <w:tcW w:w="8100" w:type="dxa"/>
            <w:vAlign w:val="bottom"/>
          </w:tcPr>
          <w:p>
            <w:pPr>
              <w:ind w:left="240"/>
              <w:spacing w:after="0"/>
              <w:rPr>
                <w:sz w:val="20"/>
                <w:szCs w:val="20"/>
                <w:color w:val="auto"/>
              </w:rPr>
            </w:pPr>
            <w:r>
              <w:rPr>
                <w:rFonts w:ascii="Arial" w:cs="Arial" w:eastAsia="Arial" w:hAnsi="Arial"/>
                <w:sz w:val="20"/>
                <w:szCs w:val="20"/>
                <w:color w:val="auto"/>
              </w:rPr>
              <w:t>WAIVER OF RIGHT TO TRIAL BY JURY</w:t>
            </w:r>
          </w:p>
        </w:tc>
        <w:tc>
          <w:tcPr>
            <w:tcW w:w="2440" w:type="dxa"/>
            <w:vAlign w:val="bottom"/>
          </w:tcPr>
          <w:p>
            <w:pPr>
              <w:jc w:val="right"/>
              <w:spacing w:after="0"/>
              <w:rPr>
                <w:sz w:val="20"/>
                <w:szCs w:val="20"/>
                <w:color w:val="auto"/>
              </w:rPr>
            </w:pPr>
            <w:r>
              <w:rPr>
                <w:rFonts w:ascii="Arial" w:cs="Arial" w:eastAsia="Arial" w:hAnsi="Arial"/>
                <w:sz w:val="20"/>
                <w:szCs w:val="20"/>
                <w:color w:val="auto"/>
              </w:rPr>
              <w:t>185</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10.18</w:t>
            </w:r>
          </w:p>
        </w:tc>
        <w:tc>
          <w:tcPr>
            <w:tcW w:w="8100" w:type="dxa"/>
            <w:vAlign w:val="bottom"/>
          </w:tcPr>
          <w:p>
            <w:pPr>
              <w:ind w:left="240"/>
              <w:spacing w:after="0"/>
              <w:rPr>
                <w:sz w:val="20"/>
                <w:szCs w:val="20"/>
                <w:color w:val="auto"/>
              </w:rPr>
            </w:pPr>
            <w:r>
              <w:rPr>
                <w:rFonts w:ascii="Arial" w:cs="Arial" w:eastAsia="Arial" w:hAnsi="Arial"/>
                <w:sz w:val="20"/>
                <w:szCs w:val="20"/>
                <w:color w:val="auto"/>
              </w:rPr>
              <w:t>Binding Effect</w:t>
            </w:r>
          </w:p>
        </w:tc>
        <w:tc>
          <w:tcPr>
            <w:tcW w:w="2440" w:type="dxa"/>
            <w:vAlign w:val="bottom"/>
          </w:tcPr>
          <w:p>
            <w:pPr>
              <w:jc w:val="right"/>
              <w:spacing w:after="0"/>
              <w:rPr>
                <w:sz w:val="20"/>
                <w:szCs w:val="20"/>
                <w:color w:val="auto"/>
              </w:rPr>
            </w:pPr>
            <w:r>
              <w:rPr>
                <w:rFonts w:ascii="Arial" w:cs="Arial" w:eastAsia="Arial" w:hAnsi="Arial"/>
                <w:sz w:val="20"/>
                <w:szCs w:val="20"/>
                <w:color w:val="auto"/>
              </w:rPr>
              <w:t>186</w:t>
            </w:r>
          </w:p>
        </w:tc>
      </w:tr>
      <w:tr>
        <w:trPr>
          <w:trHeight w:val="256"/>
        </w:trPr>
        <w:tc>
          <w:tcPr>
            <w:tcW w:w="660" w:type="dxa"/>
            <w:vAlign w:val="bottom"/>
          </w:tcPr>
          <w:p>
            <w:pPr>
              <w:spacing w:after="0"/>
              <w:rPr>
                <w:sz w:val="20"/>
                <w:szCs w:val="20"/>
                <w:color w:val="auto"/>
              </w:rPr>
            </w:pPr>
            <w:r>
              <w:rPr>
                <w:rFonts w:ascii="Arial" w:cs="Arial" w:eastAsia="Arial" w:hAnsi="Arial"/>
                <w:sz w:val="20"/>
                <w:szCs w:val="20"/>
                <w:color w:val="auto"/>
              </w:rPr>
              <w:t>10.19</w:t>
            </w:r>
          </w:p>
        </w:tc>
        <w:tc>
          <w:tcPr>
            <w:tcW w:w="8100" w:type="dxa"/>
            <w:vAlign w:val="bottom"/>
          </w:tcPr>
          <w:p>
            <w:pPr>
              <w:ind w:left="240"/>
              <w:spacing w:after="0"/>
              <w:rPr>
                <w:sz w:val="20"/>
                <w:szCs w:val="20"/>
                <w:color w:val="auto"/>
              </w:rPr>
            </w:pPr>
            <w:r>
              <w:rPr>
                <w:rFonts w:ascii="Arial" w:cs="Arial" w:eastAsia="Arial" w:hAnsi="Arial"/>
                <w:sz w:val="20"/>
                <w:szCs w:val="20"/>
                <w:color w:val="auto"/>
              </w:rPr>
              <w:t>No Advisory or Fiduciary Responsibility</w:t>
            </w:r>
          </w:p>
        </w:tc>
        <w:tc>
          <w:tcPr>
            <w:tcW w:w="2440" w:type="dxa"/>
            <w:vAlign w:val="bottom"/>
          </w:tcPr>
          <w:p>
            <w:pPr>
              <w:jc w:val="right"/>
              <w:spacing w:after="0"/>
              <w:rPr>
                <w:sz w:val="20"/>
                <w:szCs w:val="20"/>
                <w:color w:val="auto"/>
              </w:rPr>
            </w:pPr>
            <w:r>
              <w:rPr>
                <w:rFonts w:ascii="Arial" w:cs="Arial" w:eastAsia="Arial" w:hAnsi="Arial"/>
                <w:sz w:val="20"/>
                <w:szCs w:val="20"/>
                <w:color w:val="auto"/>
              </w:rPr>
              <w:t>186</w:t>
            </w:r>
          </w:p>
        </w:tc>
      </w:tr>
      <w:tr>
        <w:trPr>
          <w:trHeight w:val="256"/>
        </w:trPr>
        <w:tc>
          <w:tcPr>
            <w:tcW w:w="660" w:type="dxa"/>
            <w:vAlign w:val="bottom"/>
          </w:tcPr>
          <w:p>
            <w:pPr>
              <w:spacing w:after="0"/>
              <w:rPr>
                <w:sz w:val="20"/>
                <w:szCs w:val="20"/>
                <w:color w:val="auto"/>
              </w:rPr>
            </w:pPr>
            <w:r>
              <w:rPr>
                <w:rFonts w:ascii="Arial" w:cs="Arial" w:eastAsia="Arial" w:hAnsi="Arial"/>
                <w:sz w:val="20"/>
                <w:szCs w:val="20"/>
                <w:color w:val="auto"/>
              </w:rPr>
              <w:t>10.20</w:t>
            </w:r>
          </w:p>
        </w:tc>
        <w:tc>
          <w:tcPr>
            <w:tcW w:w="8100" w:type="dxa"/>
            <w:vAlign w:val="bottom"/>
          </w:tcPr>
          <w:p>
            <w:pPr>
              <w:ind w:left="240"/>
              <w:spacing w:after="0"/>
              <w:rPr>
                <w:sz w:val="20"/>
                <w:szCs w:val="20"/>
                <w:color w:val="auto"/>
              </w:rPr>
            </w:pPr>
            <w:r>
              <w:rPr>
                <w:rFonts w:ascii="Arial" w:cs="Arial" w:eastAsia="Arial" w:hAnsi="Arial"/>
                <w:sz w:val="20"/>
                <w:szCs w:val="20"/>
                <w:color w:val="auto"/>
              </w:rPr>
              <w:t>Affiliate Activities</w:t>
            </w:r>
          </w:p>
        </w:tc>
        <w:tc>
          <w:tcPr>
            <w:tcW w:w="2440" w:type="dxa"/>
            <w:vAlign w:val="bottom"/>
          </w:tcPr>
          <w:p>
            <w:pPr>
              <w:jc w:val="right"/>
              <w:spacing w:after="0"/>
              <w:rPr>
                <w:sz w:val="20"/>
                <w:szCs w:val="20"/>
                <w:color w:val="auto"/>
              </w:rPr>
            </w:pPr>
            <w:r>
              <w:rPr>
                <w:rFonts w:ascii="Arial" w:cs="Arial" w:eastAsia="Arial" w:hAnsi="Arial"/>
                <w:sz w:val="20"/>
                <w:szCs w:val="20"/>
                <w:color w:val="auto"/>
              </w:rPr>
              <w:t>186</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10.21</w:t>
            </w:r>
          </w:p>
        </w:tc>
        <w:tc>
          <w:tcPr>
            <w:tcW w:w="8100" w:type="dxa"/>
            <w:vAlign w:val="bottom"/>
          </w:tcPr>
          <w:p>
            <w:pPr>
              <w:ind w:left="240"/>
              <w:spacing w:after="0"/>
              <w:rPr>
                <w:sz w:val="20"/>
                <w:szCs w:val="20"/>
                <w:color w:val="auto"/>
              </w:rPr>
            </w:pPr>
            <w:r>
              <w:rPr>
                <w:rFonts w:ascii="Arial" w:cs="Arial" w:eastAsia="Arial" w:hAnsi="Arial"/>
                <w:sz w:val="20"/>
                <w:szCs w:val="20"/>
                <w:color w:val="auto"/>
              </w:rPr>
              <w:t>Electronic Execution of Assignments and Certain Other Documents</w:t>
            </w:r>
          </w:p>
        </w:tc>
        <w:tc>
          <w:tcPr>
            <w:tcW w:w="2440" w:type="dxa"/>
            <w:vAlign w:val="bottom"/>
          </w:tcPr>
          <w:p>
            <w:pPr>
              <w:jc w:val="right"/>
              <w:spacing w:after="0"/>
              <w:rPr>
                <w:sz w:val="20"/>
                <w:szCs w:val="20"/>
                <w:color w:val="auto"/>
              </w:rPr>
            </w:pPr>
            <w:r>
              <w:rPr>
                <w:rFonts w:ascii="Arial" w:cs="Arial" w:eastAsia="Arial" w:hAnsi="Arial"/>
                <w:sz w:val="20"/>
                <w:szCs w:val="20"/>
                <w:color w:val="auto"/>
              </w:rPr>
              <w:t>187</w:t>
            </w:r>
          </w:p>
        </w:tc>
      </w:tr>
      <w:tr>
        <w:trPr>
          <w:trHeight w:val="256"/>
        </w:trPr>
        <w:tc>
          <w:tcPr>
            <w:tcW w:w="660" w:type="dxa"/>
            <w:vAlign w:val="bottom"/>
          </w:tcPr>
          <w:p>
            <w:pPr>
              <w:spacing w:after="0"/>
              <w:rPr>
                <w:sz w:val="20"/>
                <w:szCs w:val="20"/>
                <w:color w:val="auto"/>
              </w:rPr>
            </w:pPr>
            <w:r>
              <w:rPr>
                <w:rFonts w:ascii="Arial" w:cs="Arial" w:eastAsia="Arial" w:hAnsi="Arial"/>
                <w:sz w:val="20"/>
                <w:szCs w:val="20"/>
                <w:color w:val="auto"/>
              </w:rPr>
              <w:t>10.22</w:t>
            </w:r>
          </w:p>
        </w:tc>
        <w:tc>
          <w:tcPr>
            <w:tcW w:w="8100" w:type="dxa"/>
            <w:vAlign w:val="bottom"/>
          </w:tcPr>
          <w:p>
            <w:pPr>
              <w:ind w:left="240"/>
              <w:spacing w:after="0"/>
              <w:rPr>
                <w:sz w:val="20"/>
                <w:szCs w:val="20"/>
                <w:color w:val="auto"/>
              </w:rPr>
            </w:pPr>
            <w:r>
              <w:rPr>
                <w:rFonts w:ascii="Arial" w:cs="Arial" w:eastAsia="Arial" w:hAnsi="Arial"/>
                <w:sz w:val="20"/>
                <w:szCs w:val="20"/>
                <w:color w:val="auto"/>
              </w:rPr>
              <w:t>USA PATRIOT ACT</w:t>
            </w:r>
          </w:p>
        </w:tc>
        <w:tc>
          <w:tcPr>
            <w:tcW w:w="2440" w:type="dxa"/>
            <w:vAlign w:val="bottom"/>
          </w:tcPr>
          <w:p>
            <w:pPr>
              <w:jc w:val="right"/>
              <w:spacing w:after="0"/>
              <w:rPr>
                <w:sz w:val="20"/>
                <w:szCs w:val="20"/>
                <w:color w:val="auto"/>
              </w:rPr>
            </w:pPr>
            <w:r>
              <w:rPr>
                <w:rFonts w:ascii="Arial" w:cs="Arial" w:eastAsia="Arial" w:hAnsi="Arial"/>
                <w:sz w:val="20"/>
                <w:szCs w:val="20"/>
                <w:color w:val="auto"/>
              </w:rPr>
              <w:t>187</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10.23</w:t>
            </w:r>
          </w:p>
        </w:tc>
        <w:tc>
          <w:tcPr>
            <w:tcW w:w="8100" w:type="dxa"/>
            <w:vAlign w:val="bottom"/>
          </w:tcPr>
          <w:p>
            <w:pPr>
              <w:ind w:left="240"/>
              <w:spacing w:after="0"/>
              <w:rPr>
                <w:sz w:val="20"/>
                <w:szCs w:val="20"/>
                <w:color w:val="auto"/>
              </w:rPr>
            </w:pPr>
            <w:r>
              <w:rPr>
                <w:rFonts w:ascii="Arial" w:cs="Arial" w:eastAsia="Arial" w:hAnsi="Arial"/>
                <w:sz w:val="20"/>
                <w:szCs w:val="20"/>
                <w:color w:val="auto"/>
              </w:rPr>
              <w:t>Intercreditor Agreements</w:t>
            </w:r>
          </w:p>
        </w:tc>
        <w:tc>
          <w:tcPr>
            <w:tcW w:w="2440" w:type="dxa"/>
            <w:vAlign w:val="bottom"/>
          </w:tcPr>
          <w:p>
            <w:pPr>
              <w:jc w:val="right"/>
              <w:spacing w:after="0"/>
              <w:rPr>
                <w:sz w:val="20"/>
                <w:szCs w:val="20"/>
                <w:color w:val="auto"/>
              </w:rPr>
            </w:pPr>
            <w:r>
              <w:rPr>
                <w:rFonts w:ascii="Arial" w:cs="Arial" w:eastAsia="Arial" w:hAnsi="Arial"/>
                <w:sz w:val="20"/>
                <w:szCs w:val="20"/>
                <w:color w:val="auto"/>
              </w:rPr>
              <w:t>187</w:t>
            </w:r>
          </w:p>
        </w:tc>
      </w:tr>
      <w:tr>
        <w:trPr>
          <w:trHeight w:val="257"/>
        </w:trPr>
        <w:tc>
          <w:tcPr>
            <w:tcW w:w="660" w:type="dxa"/>
            <w:vAlign w:val="bottom"/>
          </w:tcPr>
          <w:p>
            <w:pPr>
              <w:spacing w:after="0"/>
              <w:rPr>
                <w:sz w:val="20"/>
                <w:szCs w:val="20"/>
                <w:color w:val="auto"/>
              </w:rPr>
            </w:pPr>
            <w:r>
              <w:rPr>
                <w:rFonts w:ascii="Arial" w:cs="Arial" w:eastAsia="Arial" w:hAnsi="Arial"/>
                <w:sz w:val="20"/>
                <w:szCs w:val="20"/>
                <w:color w:val="auto"/>
              </w:rPr>
              <w:t>10.24</w:t>
            </w:r>
          </w:p>
        </w:tc>
        <w:tc>
          <w:tcPr>
            <w:tcW w:w="8100" w:type="dxa"/>
            <w:vAlign w:val="bottom"/>
          </w:tcPr>
          <w:p>
            <w:pPr>
              <w:ind w:left="24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2440" w:type="dxa"/>
            <w:vAlign w:val="bottom"/>
          </w:tcPr>
          <w:p>
            <w:pPr>
              <w:jc w:val="right"/>
              <w:spacing w:after="0"/>
              <w:rPr>
                <w:sz w:val="20"/>
                <w:szCs w:val="20"/>
                <w:color w:val="auto"/>
              </w:rPr>
            </w:pPr>
            <w:r>
              <w:rPr>
                <w:rFonts w:ascii="Arial" w:cs="Arial" w:eastAsia="Arial" w:hAnsi="Arial"/>
                <w:sz w:val="20"/>
                <w:szCs w:val="20"/>
                <w:color w:val="auto"/>
              </w:rPr>
              <w:t>187</w:t>
            </w:r>
          </w:p>
        </w:tc>
      </w:tr>
      <w:tr>
        <w:trPr>
          <w:trHeight w:val="256"/>
        </w:trPr>
        <w:tc>
          <w:tcPr>
            <w:tcW w:w="8760" w:type="dxa"/>
            <w:vAlign w:val="bottom"/>
            <w:gridSpan w:val="2"/>
          </w:tcPr>
          <w:p>
            <w:pPr>
              <w:spacing w:after="0"/>
              <w:rPr>
                <w:sz w:val="20"/>
                <w:szCs w:val="20"/>
                <w:color w:val="auto"/>
              </w:rPr>
            </w:pPr>
            <w:r>
              <w:rPr>
                <w:rFonts w:ascii="Arial" w:cs="Arial" w:eastAsia="Arial" w:hAnsi="Arial"/>
                <w:sz w:val="20"/>
                <w:szCs w:val="20"/>
                <w:color w:val="auto"/>
              </w:rPr>
              <w:t>SIGNATURES</w:t>
            </w:r>
          </w:p>
        </w:tc>
        <w:tc>
          <w:tcPr>
            <w:tcW w:w="2440" w:type="dxa"/>
            <w:vAlign w:val="bottom"/>
          </w:tcPr>
          <w:p>
            <w:pPr>
              <w:jc w:val="right"/>
              <w:spacing w:after="0"/>
              <w:rPr>
                <w:sz w:val="20"/>
                <w:szCs w:val="20"/>
                <w:color w:val="auto"/>
              </w:rPr>
            </w:pPr>
            <w:r>
              <w:rPr>
                <w:rFonts w:ascii="Arial" w:cs="Arial" w:eastAsia="Arial" w:hAnsi="Arial"/>
                <w:sz w:val="20"/>
                <w:szCs w:val="20"/>
                <w:color w:val="auto"/>
              </w:rPr>
              <w:t>S-1</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SCHEDULES</w:t>
      </w:r>
    </w:p>
    <w:p>
      <w:pPr>
        <w:spacing w:after="0" w:line="216" w:lineRule="exact"/>
        <w:rPr>
          <w:sz w:val="20"/>
          <w:szCs w:val="20"/>
          <w:color w:val="auto"/>
        </w:rPr>
      </w:pPr>
    </w:p>
    <w:p>
      <w:pPr>
        <w:ind w:left="1580" w:hanging="823"/>
        <w:spacing w:after="0"/>
        <w:tabs>
          <w:tab w:leader="none" w:pos="15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Subsidiary Guarantors</w:t>
      </w:r>
    </w:p>
    <w:p>
      <w:pPr>
        <w:spacing w:after="0" w:line="148"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6"/>
          <w:szCs w:val="16"/>
          <w:color w:val="auto"/>
        </w:rPr>
        <w:t>Commitments and Pro Rata Shares</w:t>
      </w:r>
    </w:p>
    <w:p>
      <w:pPr>
        <w:spacing w:after="0" w:line="135" w:lineRule="exact"/>
        <w:rPr>
          <w:sz w:val="20"/>
          <w:szCs w:val="20"/>
          <w:color w:val="auto"/>
        </w:rPr>
      </w:pPr>
    </w:p>
    <w:p>
      <w:pPr>
        <w:ind w:left="760"/>
        <w:spacing w:after="0"/>
        <w:tabs>
          <w:tab w:leader="none" w:pos="1960" w:val="left"/>
        </w:tabs>
        <w:rPr>
          <w:sz w:val="20"/>
          <w:szCs w:val="20"/>
          <w:color w:val="auto"/>
        </w:rPr>
      </w:pPr>
      <w:r>
        <w:rPr>
          <w:rFonts w:ascii="Arial" w:cs="Arial" w:eastAsia="Arial" w:hAnsi="Arial"/>
          <w:sz w:val="20"/>
          <w:szCs w:val="20"/>
          <w:color w:val="auto"/>
        </w:rPr>
        <w:t>5.08(b)</w:t>
      </w:r>
      <w:r>
        <w:rPr>
          <w:sz w:val="20"/>
          <w:szCs w:val="20"/>
          <w:color w:val="auto"/>
        </w:rPr>
        <w:tab/>
      </w:r>
      <w:r>
        <w:rPr>
          <w:rFonts w:ascii="Arial" w:cs="Arial" w:eastAsia="Arial" w:hAnsi="Arial"/>
          <w:sz w:val="18"/>
          <w:szCs w:val="18"/>
          <w:color w:val="auto"/>
        </w:rPr>
        <w:t>Material Real Property</w:t>
      </w:r>
    </w:p>
    <w:p>
      <w:pPr>
        <w:spacing w:after="0" w:line="148"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0"/>
          <w:szCs w:val="20"/>
          <w:color w:val="auto"/>
        </w:rPr>
        <w:t>5.09</w:t>
      </w:r>
      <w:r>
        <w:rPr>
          <w:sz w:val="20"/>
          <w:szCs w:val="20"/>
          <w:color w:val="auto"/>
        </w:rPr>
        <w:tab/>
      </w:r>
      <w:r>
        <w:rPr>
          <w:rFonts w:ascii="Arial" w:cs="Arial" w:eastAsia="Arial" w:hAnsi="Arial"/>
          <w:sz w:val="18"/>
          <w:szCs w:val="18"/>
          <w:color w:val="auto"/>
        </w:rPr>
        <w:t>Environmental Matters</w:t>
      </w:r>
    </w:p>
    <w:p>
      <w:pPr>
        <w:spacing w:after="0" w:line="148"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6"/>
          <w:szCs w:val="16"/>
          <w:color w:val="auto"/>
        </w:rPr>
        <w:t>Subsidiaries and Other Equity Investments</w:t>
      </w:r>
    </w:p>
    <w:p>
      <w:pPr>
        <w:spacing w:after="0" w:line="135"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0"/>
          <w:szCs w:val="20"/>
          <w:color w:val="auto"/>
        </w:rPr>
        <w:t>5.16</w:t>
      </w:r>
      <w:r>
        <w:rPr>
          <w:sz w:val="20"/>
          <w:szCs w:val="20"/>
          <w:color w:val="auto"/>
        </w:rPr>
        <w:tab/>
      </w:r>
      <w:r>
        <w:rPr>
          <w:rFonts w:ascii="Arial" w:cs="Arial" w:eastAsia="Arial" w:hAnsi="Arial"/>
          <w:sz w:val="18"/>
          <w:szCs w:val="18"/>
          <w:color w:val="auto"/>
        </w:rPr>
        <w:t>Intellectual Property Matters</w:t>
      </w:r>
    </w:p>
    <w:p>
      <w:pPr>
        <w:spacing w:after="0" w:line="148"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0"/>
          <w:szCs w:val="20"/>
          <w:color w:val="auto"/>
        </w:rPr>
        <w:t>5.19</w:t>
      </w:r>
      <w:r>
        <w:rPr>
          <w:sz w:val="20"/>
          <w:szCs w:val="20"/>
          <w:color w:val="auto"/>
        </w:rPr>
        <w:tab/>
      </w:r>
      <w:r>
        <w:rPr>
          <w:rFonts w:ascii="Arial" w:cs="Arial" w:eastAsia="Arial" w:hAnsi="Arial"/>
          <w:sz w:val="18"/>
          <w:szCs w:val="18"/>
          <w:color w:val="auto"/>
        </w:rPr>
        <w:t>Labor Matters</w:t>
      </w:r>
    </w:p>
    <w:p>
      <w:pPr>
        <w:spacing w:after="0" w:line="148"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0"/>
          <w:szCs w:val="20"/>
          <w:color w:val="auto"/>
        </w:rPr>
        <w:t>5.20</w:t>
      </w:r>
      <w:r>
        <w:rPr>
          <w:sz w:val="20"/>
          <w:szCs w:val="20"/>
          <w:color w:val="auto"/>
        </w:rPr>
        <w:tab/>
      </w:r>
      <w:r>
        <w:rPr>
          <w:rFonts w:ascii="Arial" w:cs="Arial" w:eastAsia="Arial" w:hAnsi="Arial"/>
          <w:sz w:val="19"/>
          <w:szCs w:val="19"/>
          <w:color w:val="auto"/>
        </w:rPr>
        <w:t>Filing Offices</w:t>
      </w:r>
    </w:p>
    <w:p>
      <w:pPr>
        <w:spacing w:after="0" w:line="135"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20"/>
          <w:szCs w:val="20"/>
          <w:color w:val="auto"/>
        </w:rPr>
        <w:t>6.17</w:t>
      </w:r>
      <w:r>
        <w:rPr>
          <w:sz w:val="20"/>
          <w:szCs w:val="20"/>
          <w:color w:val="auto"/>
        </w:rPr>
        <w:tab/>
      </w:r>
      <w:r>
        <w:rPr>
          <w:rFonts w:ascii="Arial" w:cs="Arial" w:eastAsia="Arial" w:hAnsi="Arial"/>
          <w:sz w:val="18"/>
          <w:szCs w:val="18"/>
          <w:color w:val="auto"/>
        </w:rPr>
        <w:t>Post-Closing Matters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56" w:name="page57"/>
    <w:bookmarkEnd w:id="56"/>
    <w:tbl>
      <w:tblPr>
        <w:tblLayout w:type="fixed"/>
        <w:tblInd w:w="76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7.01</w:t>
            </w:r>
          </w:p>
        </w:tc>
        <w:tc>
          <w:tcPr>
            <w:tcW w:w="5440" w:type="dxa"/>
            <w:vAlign w:val="bottom"/>
          </w:tcPr>
          <w:p>
            <w:pPr>
              <w:ind w:left="180"/>
              <w:spacing w:after="0"/>
              <w:rPr>
                <w:sz w:val="20"/>
                <w:szCs w:val="20"/>
                <w:color w:val="auto"/>
              </w:rPr>
            </w:pPr>
            <w:r>
              <w:rPr>
                <w:rFonts w:ascii="Arial" w:cs="Arial" w:eastAsia="Arial" w:hAnsi="Arial"/>
                <w:sz w:val="20"/>
                <w:szCs w:val="20"/>
                <w:color w:val="auto"/>
              </w:rPr>
              <w:t>Existing Liens</w:t>
            </w:r>
          </w:p>
        </w:tc>
      </w:tr>
      <w:tr>
        <w:trPr>
          <w:trHeight w:val="378"/>
        </w:trPr>
        <w:tc>
          <w:tcPr>
            <w:tcW w:w="640" w:type="dxa"/>
            <w:vAlign w:val="bottom"/>
          </w:tcPr>
          <w:p>
            <w:pPr>
              <w:spacing w:after="0"/>
              <w:rPr>
                <w:sz w:val="20"/>
                <w:szCs w:val="20"/>
                <w:color w:val="auto"/>
              </w:rPr>
            </w:pPr>
            <w:r>
              <w:rPr>
                <w:rFonts w:ascii="Arial" w:cs="Arial" w:eastAsia="Arial" w:hAnsi="Arial"/>
                <w:sz w:val="20"/>
                <w:szCs w:val="20"/>
                <w:color w:val="auto"/>
              </w:rPr>
              <w:t>7.03</w:t>
            </w:r>
          </w:p>
        </w:tc>
        <w:tc>
          <w:tcPr>
            <w:tcW w:w="5440" w:type="dxa"/>
            <w:vAlign w:val="bottom"/>
          </w:tcPr>
          <w:p>
            <w:pPr>
              <w:ind w:left="180"/>
              <w:spacing w:after="0"/>
              <w:rPr>
                <w:sz w:val="20"/>
                <w:szCs w:val="20"/>
                <w:color w:val="auto"/>
              </w:rPr>
            </w:pPr>
            <w:r>
              <w:rPr>
                <w:rFonts w:ascii="Arial" w:cs="Arial" w:eastAsia="Arial" w:hAnsi="Arial"/>
                <w:sz w:val="20"/>
                <w:szCs w:val="20"/>
                <w:color w:val="auto"/>
              </w:rPr>
              <w:t>Existing Indebtedness</w:t>
            </w:r>
          </w:p>
        </w:tc>
      </w:tr>
      <w:tr>
        <w:trPr>
          <w:trHeight w:val="364"/>
        </w:trPr>
        <w:tc>
          <w:tcPr>
            <w:tcW w:w="640" w:type="dxa"/>
            <w:vAlign w:val="bottom"/>
          </w:tcPr>
          <w:p>
            <w:pPr>
              <w:spacing w:after="0"/>
              <w:rPr>
                <w:sz w:val="20"/>
                <w:szCs w:val="20"/>
                <w:color w:val="auto"/>
              </w:rPr>
            </w:pPr>
            <w:r>
              <w:rPr>
                <w:rFonts w:ascii="Arial" w:cs="Arial" w:eastAsia="Arial" w:hAnsi="Arial"/>
                <w:sz w:val="20"/>
                <w:szCs w:val="20"/>
                <w:color w:val="auto"/>
              </w:rPr>
              <w:t>7.06</w:t>
            </w:r>
          </w:p>
        </w:tc>
        <w:tc>
          <w:tcPr>
            <w:tcW w:w="5440" w:type="dxa"/>
            <w:vAlign w:val="bottom"/>
          </w:tcPr>
          <w:p>
            <w:pPr>
              <w:ind w:left="180"/>
              <w:spacing w:after="0"/>
              <w:rPr>
                <w:sz w:val="20"/>
                <w:szCs w:val="20"/>
                <w:color w:val="auto"/>
              </w:rPr>
            </w:pPr>
            <w:r>
              <w:rPr>
                <w:rFonts w:ascii="Arial" w:cs="Arial" w:eastAsia="Arial" w:hAnsi="Arial"/>
                <w:sz w:val="20"/>
                <w:szCs w:val="20"/>
                <w:color w:val="auto"/>
              </w:rPr>
              <w:t>Existing Investments</w:t>
            </w:r>
          </w:p>
        </w:tc>
      </w:tr>
      <w:tr>
        <w:trPr>
          <w:trHeight w:val="378"/>
        </w:trPr>
        <w:tc>
          <w:tcPr>
            <w:tcW w:w="640" w:type="dxa"/>
            <w:vAlign w:val="bottom"/>
          </w:tcPr>
          <w:p>
            <w:pPr>
              <w:spacing w:after="0"/>
              <w:rPr>
                <w:sz w:val="20"/>
                <w:szCs w:val="20"/>
                <w:color w:val="auto"/>
              </w:rPr>
            </w:pPr>
            <w:r>
              <w:rPr>
                <w:rFonts w:ascii="Arial" w:cs="Arial" w:eastAsia="Arial" w:hAnsi="Arial"/>
                <w:sz w:val="20"/>
                <w:szCs w:val="20"/>
                <w:color w:val="auto"/>
              </w:rPr>
              <w:t>10.02</w:t>
            </w:r>
          </w:p>
        </w:tc>
        <w:tc>
          <w:tcPr>
            <w:tcW w:w="5440" w:type="dxa"/>
            <w:vAlign w:val="bottom"/>
          </w:tcPr>
          <w:p>
            <w:pPr>
              <w:ind w:left="580"/>
              <w:spacing w:after="0"/>
              <w:rPr>
                <w:sz w:val="20"/>
                <w:szCs w:val="20"/>
                <w:color w:val="auto"/>
              </w:rPr>
            </w:pPr>
            <w:r>
              <w:rPr>
                <w:rFonts w:ascii="Arial" w:cs="Arial" w:eastAsia="Arial" w:hAnsi="Arial"/>
                <w:sz w:val="20"/>
                <w:szCs w:val="20"/>
                <w:color w:val="auto"/>
                <w:w w:val="90"/>
              </w:rPr>
              <w:t>Administrative Agent’s Office, Certain Addresses for Notices</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i w:val="1"/>
          <w:iCs w:val="1"/>
          <w:color w:val="auto"/>
        </w:rPr>
        <w:t>Form of</w:t>
      </w:r>
    </w:p>
    <w:p>
      <w:pPr>
        <w:spacing w:after="0" w:line="216" w:lineRule="exact"/>
        <w:rPr>
          <w:sz w:val="20"/>
          <w:szCs w:val="20"/>
          <w:color w:val="auto"/>
        </w:rPr>
      </w:pPr>
    </w:p>
    <w:p>
      <w:pPr>
        <w:ind w:left="1580" w:hanging="823"/>
        <w:spacing w:after="0"/>
        <w:tabs>
          <w:tab w:leader="none" w:pos="15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Committed Loan Notice</w:t>
      </w:r>
    </w:p>
    <w:p>
      <w:pPr>
        <w:spacing w:after="0" w:line="148" w:lineRule="exact"/>
        <w:rPr>
          <w:sz w:val="20"/>
          <w:szCs w:val="20"/>
          <w:color w:val="auto"/>
        </w:rPr>
      </w:pPr>
    </w:p>
    <w:p>
      <w:pPr>
        <w:ind w:left="1580" w:hanging="823"/>
        <w:spacing w:after="0"/>
        <w:tabs>
          <w:tab w:leader="none" w:pos="15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Term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80" w:hanging="823"/>
        <w:spacing w:after="0"/>
        <w:tabs>
          <w:tab w:leader="none" w:pos="15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Security Agreement</w:t>
      </w:r>
    </w:p>
    <w:p>
      <w:pPr>
        <w:spacing w:after="0" w:line="135" w:lineRule="exact"/>
        <w:rPr>
          <w:sz w:val="20"/>
          <w:szCs w:val="20"/>
          <w:color w:val="auto"/>
        </w:rPr>
      </w:pPr>
    </w:p>
    <w:p>
      <w:pPr>
        <w:ind w:left="1580" w:hanging="823"/>
        <w:spacing w:after="0"/>
        <w:tabs>
          <w:tab w:leader="none" w:pos="15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Solvency Certificate</w:t>
      </w:r>
    </w:p>
    <w:p>
      <w:pPr>
        <w:spacing w:after="0" w:line="148" w:lineRule="exact"/>
        <w:rPr>
          <w:sz w:val="20"/>
          <w:szCs w:val="20"/>
          <w:color w:val="auto"/>
        </w:rPr>
      </w:pPr>
    </w:p>
    <w:p>
      <w:pPr>
        <w:ind w:left="1580" w:hanging="823"/>
        <w:spacing w:after="0"/>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Intercompany Subordination Agreement</w:t>
      </w:r>
    </w:p>
    <w:p>
      <w:pPr>
        <w:spacing w:after="0" w:line="148"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H-1</w:t>
      </w:r>
      <w:r>
        <w:rPr>
          <w:rFonts w:ascii="Arial" w:cs="Arial" w:eastAsia="Arial" w:hAnsi="Arial"/>
          <w:sz w:val="18"/>
          <w:szCs w:val="18"/>
          <w:color w:val="auto"/>
        </w:rPr>
        <w:t>ABL Intercreditor Agreement</w:t>
      </w:r>
    </w:p>
    <w:p>
      <w:pPr>
        <w:spacing w:after="0" w:line="134"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H-2</w:t>
      </w:r>
      <w:r>
        <w:rPr>
          <w:rFonts w:ascii="Arial" w:cs="Arial" w:eastAsia="Arial" w:hAnsi="Arial"/>
          <w:sz w:val="16"/>
          <w:szCs w:val="16"/>
          <w:color w:val="auto"/>
        </w:rPr>
        <w:t>Pari Passu Intercreditor Agreement</w:t>
      </w:r>
    </w:p>
    <w:p>
      <w:pPr>
        <w:spacing w:after="0" w:line="148" w:lineRule="exact"/>
        <w:rPr>
          <w:sz w:val="20"/>
          <w:szCs w:val="20"/>
          <w:color w:val="auto"/>
        </w:rPr>
      </w:pPr>
    </w:p>
    <w:p>
      <w:pPr>
        <w:ind w:left="1580" w:hanging="823"/>
        <w:spacing w:after="0"/>
        <w:tabs>
          <w:tab w:leader="none" w:pos="15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Form of Compliance Certificate</w:t>
      </w:r>
    </w:p>
    <w:p>
      <w:pPr>
        <w:spacing w:after="0" w:line="148" w:lineRule="exact"/>
        <w:rPr>
          <w:sz w:val="20"/>
          <w:szCs w:val="20"/>
          <w:color w:val="auto"/>
        </w:rPr>
      </w:pPr>
    </w:p>
    <w:p>
      <w:pPr>
        <w:ind w:left="1580" w:hanging="823"/>
        <w:spacing w:after="0"/>
        <w:tabs>
          <w:tab w:leader="none" w:pos="15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United States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6"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color w:val="auto"/>
        </w:rPr>
        <w:t>TERM LOAN CREDIT AGREEMENT</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This TERM LOAN CREDIT AGREEMENT dated as of April 4, 2019 (as amended by the Amendment Agreement, dated as of August 11, 2021, as amended by Amendment No. 2, dated as of June 8, 2023, and as further amended, restated, supplemented, waived, replaced (whether or not upon termination, and whether with the original lenders or otherwise)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among COMMSCOPE, INC., a Delaware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COMMSCOPE HOLDING COMPANY, INC., a Delaware corporation (“</w:t>
      </w:r>
      <w:r>
        <w:rPr>
          <w:rFonts w:ascii="Arial" w:cs="Arial" w:eastAsia="Arial" w:hAnsi="Arial"/>
          <w:sz w:val="20"/>
          <w:szCs w:val="20"/>
          <w:b w:val="1"/>
          <w:bCs w:val="1"/>
          <w:i w:val="1"/>
          <w:iCs w:val="1"/>
          <w:color w:val="auto"/>
        </w:rPr>
        <w:t>Holdings</w:t>
      </w:r>
      <w:r>
        <w:rPr>
          <w:rFonts w:ascii="Arial" w:cs="Arial" w:eastAsia="Arial" w:hAnsi="Arial"/>
          <w:sz w:val="20"/>
          <w:szCs w:val="20"/>
          <w:color w:val="auto"/>
        </w:rPr>
        <w:t>”), each lender from time to time party hereto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each, individually,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JPMORGAN CHASE BANK, N.A. (“</w:t>
      </w:r>
      <w:r>
        <w:rPr>
          <w:rFonts w:ascii="Arial" w:cs="Arial" w:eastAsia="Arial" w:hAnsi="Arial"/>
          <w:sz w:val="20"/>
          <w:szCs w:val="20"/>
          <w:b w:val="1"/>
          <w:bCs w:val="1"/>
          <w:i w:val="1"/>
          <w:iCs w:val="1"/>
          <w:color w:val="auto"/>
        </w:rPr>
        <w:t>JPMCB</w:t>
      </w:r>
      <w:r>
        <w:rPr>
          <w:rFonts w:ascii="Arial" w:cs="Arial" w:eastAsia="Arial" w:hAnsi="Arial"/>
          <w:sz w:val="20"/>
          <w:szCs w:val="20"/>
          <w:color w:val="auto"/>
        </w:rPr>
        <w:t>”), as Administrative Agent and Collateral Agent and the lead arrangers, bookrunners and other agents from time to time party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WHEREAS, the Borrower, Holdings, the Subsidiary Guarantors listed on the signature pages thereto, the several lenders from time to time party thereto, J.P. Morgan Securities LLC, as arranger and bookrunner, JPMCB, as Administrative Agent for the lenders party thereto originally entered into a credit agreement on January 11, 2011 (as amended, restated, supplemented or otherwise modified from time to time, the “</w:t>
      </w:r>
      <w:r>
        <w:rPr>
          <w:rFonts w:ascii="Arial" w:cs="Arial" w:eastAsia="Arial" w:hAnsi="Arial"/>
          <w:sz w:val="20"/>
          <w:szCs w:val="20"/>
          <w:b w:val="1"/>
          <w:bCs w:val="1"/>
          <w:i w:val="1"/>
          <w:iCs w:val="1"/>
          <w:color w:val="auto"/>
        </w:rPr>
        <w:t>Existing Term Loan Credit Agreement</w:t>
      </w:r>
      <w:r>
        <w:rPr>
          <w:rFonts w:ascii="Arial" w:cs="Arial" w:eastAsia="Arial" w:hAnsi="Arial"/>
          <w:sz w:val="20"/>
          <w:szCs w:val="20"/>
          <w:color w:val="auto"/>
        </w:rPr>
        <w:t>”);</w:t>
      </w:r>
    </w:p>
    <w:p>
      <w:pPr>
        <w:spacing w:after="0" w:line="19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WHEREAS, pursuant to the Bid Conduct Agreement, dated November 8, 2018 (together with all exhibits and schedules and other attachments thereto, collectively, as amended, restated, supplemented or otherwise modified in accordance with the terms thereof and in accordance with Section 4.01(c) of this Agreement, the “</w:t>
      </w:r>
      <w:r>
        <w:rPr>
          <w:rFonts w:ascii="Arial" w:cs="Arial" w:eastAsia="Arial" w:hAnsi="Arial"/>
          <w:sz w:val="19"/>
          <w:szCs w:val="19"/>
          <w:b w:val="1"/>
          <w:bCs w:val="1"/>
          <w:i w:val="1"/>
          <w:iCs w:val="1"/>
          <w:color w:val="auto"/>
        </w:rPr>
        <w:t>Acquisition Agreement</w:t>
      </w:r>
      <w:r>
        <w:rPr>
          <w:rFonts w:ascii="Arial" w:cs="Arial" w:eastAsia="Arial" w:hAnsi="Arial"/>
          <w:sz w:val="19"/>
          <w:szCs w:val="19"/>
          <w:color w:val="auto"/>
        </w:rPr>
        <w:t>”), by and between Holdings and Arris International plc (“</w:t>
      </w:r>
      <w:r>
        <w:rPr>
          <w:rFonts w:ascii="Arial" w:cs="Arial" w:eastAsia="Arial" w:hAnsi="Arial"/>
          <w:sz w:val="19"/>
          <w:szCs w:val="19"/>
          <w:b w:val="1"/>
          <w:bCs w:val="1"/>
          <w:i w:val="1"/>
          <w:iCs w:val="1"/>
          <w:color w:val="auto"/>
        </w:rPr>
        <w:t>Arris</w:t>
      </w:r>
      <w:r>
        <w:rPr>
          <w:rFonts w:ascii="Arial" w:cs="Arial" w:eastAsia="Arial" w:hAnsi="Arial"/>
          <w:sz w:val="19"/>
          <w:szCs w:val="19"/>
          <w:color w:val="auto"/>
        </w:rPr>
        <w:t>”), Holdings and/or its Subsidiaries will acquire (the “</w:t>
      </w:r>
      <w:r>
        <w:rPr>
          <w:rFonts w:ascii="Arial" w:cs="Arial" w:eastAsia="Arial" w:hAnsi="Arial"/>
          <w:sz w:val="19"/>
          <w:szCs w:val="19"/>
          <w:b w:val="1"/>
          <w:bCs w:val="1"/>
          <w:i w:val="1"/>
          <w:iCs w:val="1"/>
          <w:color w:val="auto"/>
        </w:rPr>
        <w:t>Arris Acquisition</w:t>
      </w:r>
      <w:r>
        <w:rPr>
          <w:rFonts w:ascii="Arial" w:cs="Arial" w:eastAsia="Arial" w:hAnsi="Arial"/>
          <w:sz w:val="19"/>
          <w:szCs w:val="19"/>
          <w:color w:val="auto"/>
        </w:rPr>
        <w:t>”), directly or indirectly and through one or more separate acquisitions, all of the equity interests of Arris (a minimum of 90% of which must have been accepted in respect of any acquisition effected through a Takeover Offer (as defined below)); and</w:t>
      </w:r>
    </w:p>
    <w:p>
      <w:pPr>
        <w:spacing w:after="0" w:line="17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WHEREAS, in connection with the transactions contemplated by the Acquisition Agreement, the Borrower has requested that, upon the satisfaction (or waiver by the Arrangers) in full of the conditions precedent set forth in the applicable provisions of Article IV below, the applicable Lenders make term loans to the Borrower in an aggregate principal amount of $3,200,000,000 under the Initial Term Commitment on the terms and subject to the conditions set forth in this Agreement. In consideration of the mutual covenants and agreements herein contained, the parties hereto covenant and agree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1.01  Defined Terms. As used in this Agreement, the following terms shall have the meanings set forth below:</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ABL Collateral</w:t>
      </w:r>
      <w:r>
        <w:rPr>
          <w:rFonts w:ascii="Arial" w:cs="Arial" w:eastAsia="Arial" w:hAnsi="Arial"/>
          <w:sz w:val="20"/>
          <w:szCs w:val="20"/>
          <w:color w:val="auto"/>
        </w:rPr>
        <w:t>” has the meaning specified in the ABL Intercreditor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ABL Collateral Agent</w:t>
      </w:r>
      <w:r>
        <w:rPr>
          <w:rFonts w:ascii="Arial" w:cs="Arial" w:eastAsia="Arial" w:hAnsi="Arial"/>
          <w:sz w:val="20"/>
          <w:szCs w:val="20"/>
          <w:color w:val="auto"/>
        </w:rPr>
        <w:t>” means JPMorgan Chase Bank, N.A. and any successor under the ABL Credit Agreement.</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Credit Agreement</w:t>
      </w:r>
      <w:r>
        <w:rPr>
          <w:rFonts w:ascii="Arial" w:cs="Arial" w:eastAsia="Arial" w:hAnsi="Arial"/>
          <w:sz w:val="18"/>
          <w:szCs w:val="18"/>
          <w:color w:val="auto"/>
        </w:rPr>
        <w:t>” means (i) the credit agreement with respect to the asset-based revolving credit facility entered into on the Closing Date among the Borrower, Holdings, certain Subsidiaries of the Borrower, the financial institutions named therein and JPMorgan Chase Bank, N.A., as administrative agent, as amended, restated, supplemented, waived or otherwise modified from time to time and (ii) 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9"/>
          <w:szCs w:val="19"/>
          <w:color w:val="auto"/>
        </w:rPr>
        <w:t>other credit agreement, loan agreement, note agreement, promissory note, indenture or other agreement or instrument evidencing or governing the terms of any Indebtedness or other financial accommodation that has been incurred to refinance (subject to the limitations set forth herein (including by reference to the ABL Intercreditor Agreement)) in whole or in part the Indebtedness and other obligations outstanding under (x) the credit agreement referred to in clause (i) or (y) any subsequent ABL Credit Agreement, unless such agreement or instrument expressly provides that it is not intended to be and is not an ABL Credit Agreement hereunder. Any reference to the ABL Credit Agreement hereunder shall be deemed a reference to any ABL Credit Agreement then in existence.</w:t>
      </w:r>
    </w:p>
    <w:p>
      <w:pPr>
        <w:spacing w:after="0" w:line="17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ABL Debt</w:t>
      </w:r>
      <w:r>
        <w:rPr>
          <w:rFonts w:ascii="Arial" w:cs="Arial" w:eastAsia="Arial" w:hAnsi="Arial"/>
          <w:sz w:val="19"/>
          <w:szCs w:val="19"/>
          <w:color w:val="auto"/>
        </w:rPr>
        <w:t>” means any (1) Indebtedness outstanding from time to time under any ABL Credit Agreement, (2) all obligations with respect to such Indebtedness and any Swap Contracts Incurred with any ABL Lender (or its Affiliates) and secured by the ABL Collateral and (3) all Cash Management Services Incurred with any ABL Lender (or its Affiliates) and secured by the ABL Collateral.</w:t>
      </w:r>
    </w:p>
    <w:p>
      <w:pPr>
        <w:spacing w:after="0" w:line="17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ABL Intercreditor Agreement</w:t>
      </w:r>
      <w:r>
        <w:rPr>
          <w:rFonts w:ascii="Arial" w:cs="Arial" w:eastAsia="Arial" w:hAnsi="Arial"/>
          <w:sz w:val="20"/>
          <w:szCs w:val="20"/>
          <w:color w:val="auto"/>
        </w:rPr>
        <w:t xml:space="preserve">” means the intercreditor agreement dated as of the Closing Date, substantially in the form attached as </w:t>
      </w:r>
      <w:r>
        <w:rPr>
          <w:rFonts w:ascii="Arial" w:cs="Arial" w:eastAsia="Arial" w:hAnsi="Arial"/>
          <w:sz w:val="20"/>
          <w:szCs w:val="20"/>
          <w:u w:val="single" w:color="auto"/>
          <w:color w:val="auto"/>
        </w:rPr>
        <w:t>Exhibit H-1</w:t>
      </w:r>
      <w:r>
        <w:rPr>
          <w:rFonts w:ascii="Arial" w:cs="Arial" w:eastAsia="Arial" w:hAnsi="Arial"/>
          <w:sz w:val="20"/>
          <w:szCs w:val="20"/>
          <w:color w:val="auto"/>
        </w:rPr>
        <w:t xml:space="preserve"> hereto, among the ABL Collateral Agent, the Collateral Agent, the Notes Collateral Agent, and acknowledged by the Borrower and each Guarantor, as it may be amended, supplemented, modified, replaced or restated from time to time in accordance with this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ABL Lender</w:t>
      </w:r>
      <w:r>
        <w:rPr>
          <w:rFonts w:ascii="Arial" w:cs="Arial" w:eastAsia="Arial" w:hAnsi="Arial"/>
          <w:sz w:val="20"/>
          <w:szCs w:val="20"/>
          <w:color w:val="auto"/>
        </w:rPr>
        <w:t>” means any lender or holder or agent or arranger of Indebtedness under the ABL Credit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Acceleration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8.01(e)</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Accepting Lenders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Acquired Indebtedness</w:t>
      </w:r>
      <w:r>
        <w:rPr>
          <w:rFonts w:ascii="Arial" w:cs="Arial" w:eastAsia="Arial" w:hAnsi="Arial"/>
          <w:sz w:val="20"/>
          <w:szCs w:val="20"/>
          <w:color w:val="auto"/>
        </w:rPr>
        <w:t>” means, with respect to any specified Person:</w:t>
      </w:r>
    </w:p>
    <w:p>
      <w:pPr>
        <w:spacing w:after="0" w:line="216" w:lineRule="exact"/>
        <w:rPr>
          <w:sz w:val="20"/>
          <w:szCs w:val="20"/>
          <w:color w:val="auto"/>
        </w:rPr>
      </w:pPr>
    </w:p>
    <w:p>
      <w:pPr>
        <w:jc w:val="both"/>
        <w:ind w:left="380" w:firstLine="2"/>
        <w:spacing w:after="0" w:line="269" w:lineRule="auto"/>
        <w:tabs>
          <w:tab w:leader="none" w:pos="784"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Indebtedness of any other Person existing at the time such other Person is merged with or into or becomes a Restricted Subsidiary of such specified Person, whether or not such Indebtedness is Incurred in connection with, or in contemplation of, such other Person merging with or into, or becoming a Restricted Subsidiary of such specified Person, and</w:t>
      </w:r>
    </w:p>
    <w:p>
      <w:pPr>
        <w:spacing w:after="0" w:line="61" w:lineRule="exact"/>
        <w:rPr>
          <w:rFonts w:ascii="Arial" w:cs="Arial" w:eastAsia="Arial" w:hAnsi="Arial"/>
          <w:sz w:val="19"/>
          <w:szCs w:val="19"/>
          <w:color w:val="auto"/>
        </w:rPr>
      </w:pPr>
    </w:p>
    <w:p>
      <w:pPr>
        <w:ind w:left="780" w:hanging="398"/>
        <w:spacing w:after="0"/>
        <w:tabs>
          <w:tab w:leader="none" w:pos="7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Indebtedness secured by a Lien encumbering any asset acquired by such specified Person.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Acquisition Agreement</w:t>
      </w:r>
      <w:r>
        <w:rPr>
          <w:rFonts w:ascii="Arial" w:cs="Arial" w:eastAsia="Arial" w:hAnsi="Arial"/>
          <w:sz w:val="20"/>
          <w:szCs w:val="20"/>
          <w:color w:val="auto"/>
        </w:rPr>
        <w:t>” has the meaning specified in the Preliminary Statements of this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Acquisition Costs</w:t>
      </w:r>
      <w:r>
        <w:rPr>
          <w:rFonts w:ascii="Arial" w:cs="Arial" w:eastAsia="Arial" w:hAnsi="Arial"/>
          <w:sz w:val="20"/>
          <w:szCs w:val="20"/>
          <w:color w:val="auto"/>
        </w:rPr>
        <w:t>” has the meaning specified in the definition of “Transactions.”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Daily Simple SOFR</w:t>
      </w:r>
      <w:r>
        <w:rPr>
          <w:rFonts w:ascii="Arial" w:cs="Arial" w:eastAsia="Arial" w:hAnsi="Arial"/>
          <w:sz w:val="20"/>
          <w:szCs w:val="20"/>
          <w:color w:val="auto"/>
        </w:rPr>
        <w:t xml:space="preserve">” means, an interest rate per annum equal to (a) the Daily Simple SOFR for Dollars, </w:t>
      </w:r>
      <w:r>
        <w:rPr>
          <w:rFonts w:ascii="Arial" w:cs="Arial" w:eastAsia="Arial" w:hAnsi="Arial"/>
          <w:sz w:val="20"/>
          <w:szCs w:val="20"/>
          <w:i w:val="1"/>
          <w:iCs w:val="1"/>
          <w:color w:val="auto"/>
        </w:rPr>
        <w:t>plus</w:t>
      </w:r>
      <w:r>
        <w:rPr>
          <w:rFonts w:ascii="Arial" w:cs="Arial" w:eastAsia="Arial" w:hAnsi="Arial"/>
          <w:sz w:val="20"/>
          <w:szCs w:val="20"/>
          <w:color w:val="auto"/>
        </w:rPr>
        <w:t xml:space="preserve"> (b) 0.11448%;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if the Adjusted Daily Simple SOFR as so determined would be less than the Floor, such rate shall be deemed to be equal to the Floor for the purposes of this Agreement.</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 Term SOFR Rate</w:t>
      </w:r>
      <w:r>
        <w:rPr>
          <w:rFonts w:ascii="Arial" w:cs="Arial" w:eastAsia="Arial" w:hAnsi="Arial"/>
          <w:sz w:val="19"/>
          <w:szCs w:val="19"/>
          <w:color w:val="auto"/>
        </w:rPr>
        <w:t xml:space="preserve">” means, an interest rate per annum equal to (a) the Term SOFR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(i) 0.11448% with respect to any Term Benchmark Borrowing that has an Interest Period of one month, (ii) 0.26161% with respect to any Term Benchmark Borrowing that has an Interest Period of three months or (iii) 0.42826% with respect to any Term Benchmark Borrowing that has an Interest Period of six months; provided that if the Adjusted Term SOFR Rate as so determined would be less than the Floor, such rate shall be deemed to be equal to the Floor for the purposes of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59" w:name="page60"/>
    <w:bookmarkEnd w:id="59"/>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Agency Fee Letter</w:t>
      </w:r>
      <w:r>
        <w:rPr>
          <w:rFonts w:ascii="Arial" w:cs="Arial" w:eastAsia="Arial" w:hAnsi="Arial"/>
          <w:sz w:val="20"/>
          <w:szCs w:val="20"/>
          <w:color w:val="auto"/>
        </w:rPr>
        <w:t>” means that certain letter agreement, dated as of the Closing Date, by and between the Borrower and the Administrative Agent.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means JPMCB in its capacity as administrative agent under any of the Loan Documents, or any successor administrative agent permitted by the terms hereof.</w:t>
      </w:r>
    </w:p>
    <w:p>
      <w:pPr>
        <w:spacing w:after="0" w:line="17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or such other address or account as the Administrative Agent may from time to time notify the Borrower and the Lenders.</w:t>
      </w:r>
    </w:p>
    <w:p>
      <w:pPr>
        <w:spacing w:after="0" w:line="13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C-3</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Adverse Proceeding</w:t>
      </w:r>
      <w:r>
        <w:rPr>
          <w:rFonts w:ascii="Arial" w:cs="Arial" w:eastAsia="Arial" w:hAnsi="Arial"/>
          <w:sz w:val="19"/>
          <w:szCs w:val="19"/>
          <w:color w:val="auto"/>
        </w:rPr>
        <w:t>” means any action, suit, proceeding (whether administrative, judicial or otherwise), governmental investigation or arbitration (whether or not purportedly on behalf of the Borrower or any of its Restricted Subsidiaries) at law or in equity, or before or by any Governmental Authority, domestic or foreign (including any Environmental Claims) pending against or affecting the Borrower or any of its Restricted Subsidiaries or any property of the Borrower or any of its Restricted Subsidiaries.</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(including, with correlative meanings, the terms “</w:t>
      </w:r>
      <w:r>
        <w:rPr>
          <w:rFonts w:ascii="Arial" w:cs="Arial" w:eastAsia="Arial" w:hAnsi="Arial"/>
          <w:sz w:val="20"/>
          <w:szCs w:val="20"/>
          <w:b w:val="1"/>
          <w:bCs w:val="1"/>
          <w:i w:val="1"/>
          <w:iCs w:val="1"/>
          <w:color w:val="auto"/>
        </w:rPr>
        <w:t>Controlling</w:t>
      </w:r>
      <w:r>
        <w:rPr>
          <w:rFonts w:ascii="Arial" w:cs="Arial" w:eastAsia="Arial" w:hAnsi="Arial"/>
          <w:sz w:val="20"/>
          <w:szCs w:val="20"/>
          <w:color w:val="auto"/>
        </w:rPr>
        <w:t xml:space="preserve">,” “ </w:t>
      </w:r>
      <w:r>
        <w:rPr>
          <w:rFonts w:ascii="Arial" w:cs="Arial" w:eastAsia="Arial" w:hAnsi="Arial"/>
          <w:sz w:val="20"/>
          <w:szCs w:val="20"/>
          <w:b w:val="1"/>
          <w:bCs w:val="1"/>
          <w:i w:val="1"/>
          <w:iCs w:val="1"/>
          <w:color w:val="auto"/>
        </w:rPr>
        <w:t>Controlled by</w:t>
      </w:r>
      <w:r>
        <w:rPr>
          <w:rFonts w:ascii="Arial" w:cs="Arial" w:eastAsia="Arial" w:hAnsi="Arial"/>
          <w:sz w:val="20"/>
          <w:szCs w:val="20"/>
          <w:color w:val="auto"/>
        </w:rPr>
        <w:t>” and “</w:t>
      </w:r>
      <w:r>
        <w:rPr>
          <w:rFonts w:ascii="Arial" w:cs="Arial" w:eastAsia="Arial" w:hAnsi="Arial"/>
          <w:sz w:val="20"/>
          <w:szCs w:val="20"/>
          <w:b w:val="1"/>
          <w:bCs w:val="1"/>
          <w:i w:val="1"/>
          <w:iCs w:val="1"/>
          <w:color w:val="auto"/>
        </w:rPr>
        <w:t>under direct or indirect common Control with</w:t>
      </w:r>
      <w:r>
        <w:rPr>
          <w:rFonts w:ascii="Arial" w:cs="Arial" w:eastAsia="Arial" w:hAnsi="Arial"/>
          <w:sz w:val="20"/>
          <w:szCs w:val="20"/>
          <w:color w:val="auto"/>
        </w:rPr>
        <w:t>”),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 Lender Assignment and Assumption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10.07(i)(ii)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 Lenders</w:t>
      </w:r>
      <w:r>
        <w:rPr>
          <w:rFonts w:ascii="Arial" w:cs="Arial" w:eastAsia="Arial" w:hAnsi="Arial"/>
          <w:sz w:val="19"/>
          <w:szCs w:val="19"/>
          <w:color w:val="auto"/>
        </w:rPr>
        <w:t>” means, collectively, any Affiliate of Holdings other than (i) any Subsidiary of Holdings and (ii) any natural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person.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 Transaction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Agent-Related Persons</w:t>
      </w:r>
      <w:r>
        <w:rPr>
          <w:rFonts w:ascii="Arial" w:cs="Arial" w:eastAsia="Arial" w:hAnsi="Arial"/>
          <w:sz w:val="20"/>
          <w:szCs w:val="20"/>
          <w:color w:val="auto"/>
        </w:rPr>
        <w:t>” means each Agent, together with its Related Parties.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Agents</w:t>
      </w:r>
      <w:r>
        <w:rPr>
          <w:rFonts w:ascii="Arial" w:cs="Arial" w:eastAsia="Arial" w:hAnsi="Arial"/>
          <w:sz w:val="20"/>
          <w:szCs w:val="20"/>
          <w:color w:val="auto"/>
        </w:rPr>
        <w:t>” means, collectively, the Administrative Agent, the Collateral Agent, any Arranger, any Incremental Arranger and any Supplemental Administrative Agent and Supplemental Collateral Agent (if any).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Commitments</w:t>
      </w:r>
      <w:r>
        <w:rPr>
          <w:rFonts w:ascii="Arial" w:cs="Arial" w:eastAsia="Arial" w:hAnsi="Arial"/>
          <w:sz w:val="20"/>
          <w:szCs w:val="20"/>
          <w:color w:val="auto"/>
        </w:rPr>
        <w:t>” means the Commitments of all the Lenders.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means this Term Loan Credit Agreement.</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All-in Yield</w:t>
      </w:r>
      <w:r>
        <w:rPr>
          <w:rFonts w:ascii="Arial" w:cs="Arial" w:eastAsia="Arial" w:hAnsi="Arial"/>
          <w:sz w:val="20"/>
          <w:szCs w:val="20"/>
          <w:color w:val="auto"/>
        </w:rPr>
        <w:t>” means, with respect to any Indebtedness, the yield of such Indebtedness, whether in the form of interest rate, margin, OID, upfront fees, index floors or otherwise, in each case payable by the Borrower generally to lenders, provided that OID and upfront fees shall be equated to interest rate assuming a three-year (for Indebtedness denominated in a currency other than U.S. Dollars) or a four-year (for Indebtedness denominated in U.S. Dollars) life to maturity, as the context requires, and shall not include arrangement fees, structuring fees, ticking fees, commitment fees, unused line fees, underwriting fees and any amendment and similar fees (regardless of whether paid in whole or in part to the relevant lenders); provided that if the Term SOFR Rate in respect of any Indebtedness in the form of syndicated term loans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0" w:name="page61"/>
    <w:bookmarkEnd w:id="60"/>
    <w:p>
      <w:pPr>
        <w:spacing w:after="0" w:line="260" w:lineRule="auto"/>
        <w:rPr>
          <w:sz w:val="20"/>
          <w:szCs w:val="20"/>
          <w:color w:val="auto"/>
        </w:rPr>
      </w:pPr>
      <w:r>
        <w:rPr>
          <w:rFonts w:ascii="Arial" w:cs="Arial" w:eastAsia="Arial" w:hAnsi="Arial"/>
          <w:sz w:val="20"/>
          <w:szCs w:val="20"/>
          <w:color w:val="auto"/>
        </w:rPr>
        <w:t>of a like currency includes an index floor greater than the one applicable to the applicable Initial Term Loans, such increased amount shall be equated to All-in Yield for purposes of determining the All-in Yield of such Indebtedness.</w:t>
      </w:r>
    </w:p>
    <w:p>
      <w:pPr>
        <w:spacing w:after="0" w:line="177" w:lineRule="exact"/>
        <w:rPr>
          <w:sz w:val="20"/>
          <w:szCs w:val="20"/>
          <w:color w:val="auto"/>
        </w:rPr>
      </w:pPr>
    </w:p>
    <w:p>
      <w:pPr>
        <w:ind w:right="2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Agreement</w:t>
      </w:r>
      <w:r>
        <w:rPr>
          <w:rFonts w:ascii="Arial" w:cs="Arial" w:eastAsia="Arial" w:hAnsi="Arial"/>
          <w:sz w:val="20"/>
          <w:szCs w:val="20"/>
          <w:color w:val="auto"/>
        </w:rPr>
        <w:t>” shall mean that certain Amendment Agreement to Credit Agreement, dated as of August 11, 2021, among the Borrower, the Guarantors and the Administrative Agent.</w:t>
      </w:r>
    </w:p>
    <w:p>
      <w:pPr>
        <w:spacing w:after="0" w:line="177" w:lineRule="exact"/>
        <w:rPr>
          <w:sz w:val="20"/>
          <w:szCs w:val="20"/>
          <w:color w:val="auto"/>
        </w:rPr>
      </w:pPr>
    </w:p>
    <w:p>
      <w:pPr>
        <w:ind w:right="68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No. 2</w:t>
      </w:r>
      <w:r>
        <w:rPr>
          <w:rFonts w:ascii="Arial" w:cs="Arial" w:eastAsia="Arial" w:hAnsi="Arial"/>
          <w:sz w:val="20"/>
          <w:szCs w:val="20"/>
          <w:color w:val="auto"/>
        </w:rPr>
        <w:t>” shall mean Amendment No. 2 to Credit Agreement, dated as of June 8, 2023, among the Borrower, the Guarantors and the Administrative Agent.</w:t>
      </w:r>
    </w:p>
    <w:p>
      <w:pPr>
        <w:spacing w:after="0" w:line="177" w:lineRule="exact"/>
        <w:rPr>
          <w:sz w:val="20"/>
          <w:szCs w:val="20"/>
          <w:color w:val="auto"/>
        </w:rPr>
      </w:pPr>
    </w:p>
    <w:p>
      <w:pPr>
        <w:ind w:right="38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No. 2 Effective Date</w:t>
      </w:r>
      <w:r>
        <w:rPr>
          <w:rFonts w:ascii="Arial" w:cs="Arial" w:eastAsia="Arial" w:hAnsi="Arial"/>
          <w:sz w:val="20"/>
          <w:szCs w:val="20"/>
          <w:color w:val="auto"/>
        </w:rPr>
        <w:t>” shall have the meaning assigned to such term in Amendment No. 2. The Amendment No. 2 Effective Date shall be June 8, 2023.</w:t>
      </w:r>
    </w:p>
    <w:p>
      <w:pPr>
        <w:spacing w:after="0" w:line="177" w:lineRule="exact"/>
        <w:rPr>
          <w:sz w:val="20"/>
          <w:szCs w:val="20"/>
          <w:color w:val="auto"/>
        </w:rPr>
      </w:pPr>
    </w:p>
    <w:p>
      <w:pPr>
        <w:jc w:val="both"/>
        <w:ind w:firstLine="749"/>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Anti-Corruption Laws</w:t>
      </w:r>
      <w:r>
        <w:rPr>
          <w:rFonts w:ascii="Arial" w:cs="Arial" w:eastAsia="Arial" w:hAnsi="Arial"/>
          <w:sz w:val="16"/>
          <w:szCs w:val="16"/>
          <w:color w:val="auto"/>
        </w:rPr>
        <w:t>” means the United States Foreign Corrupt Practices Act of 1977, as amended, and all other laws, rules, and regulations of any jurisdiction applicable to the Borrower or its Subsidiaries from time to time concerning or relating to bribery or corruption.</w:t>
      </w:r>
    </w:p>
    <w:p>
      <w:pPr>
        <w:spacing w:after="0" w:line="85" w:lineRule="exact"/>
        <w:rPr>
          <w:sz w:val="20"/>
          <w:szCs w:val="20"/>
          <w:color w:val="auto"/>
        </w:rPr>
      </w:pPr>
    </w:p>
    <w:p>
      <w:pPr>
        <w:ind w:firstLine="83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Intercreditor Arrangements</w:t>
      </w:r>
      <w:r>
        <w:rPr>
          <w:rFonts w:ascii="Arial" w:cs="Arial" w:eastAsia="Arial" w:hAnsi="Arial"/>
          <w:sz w:val="20"/>
          <w:szCs w:val="20"/>
          <w:color w:val="auto"/>
        </w:rPr>
        <w:t>” means customary intercreditor arrangements that are reasonably satisfactory to the Administrative Agent.</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Rate</w:t>
      </w:r>
      <w:r>
        <w:rPr>
          <w:rFonts w:ascii="Arial" w:cs="Arial" w:eastAsia="Arial" w:hAnsi="Arial"/>
          <w:sz w:val="20"/>
          <w:szCs w:val="20"/>
          <w:color w:val="auto"/>
        </w:rPr>
        <w:t>” means a percentage per annum equal to 3.25% per annum for Term Benchmark Loans and 2.25% per annum for Base Rate Loans.</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Approved Fund</w:t>
      </w:r>
      <w:r>
        <w:rPr>
          <w:rFonts w:ascii="Arial" w:cs="Arial" w:eastAsia="Arial" w:hAnsi="Arial"/>
          <w:sz w:val="20"/>
          <w:szCs w:val="20"/>
          <w:color w:val="auto"/>
        </w:rPr>
        <w:t>” means any Fund that is administered, advised or managed by (a) a Lender, (b) an Affiliate of a Lender or (c) an entity or an Affiliate of an entity that administers, advises or manages a Lender.</w:t>
      </w:r>
    </w:p>
    <w:p>
      <w:pPr>
        <w:spacing w:after="0" w:line="177" w:lineRule="exact"/>
        <w:rPr>
          <w:sz w:val="20"/>
          <w:szCs w:val="20"/>
          <w:color w:val="auto"/>
        </w:rPr>
      </w:pPr>
    </w:p>
    <w:p>
      <w:pPr>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Arrangers</w:t>
      </w:r>
      <w:r>
        <w:rPr>
          <w:rFonts w:ascii="Arial" w:cs="Arial" w:eastAsia="Arial" w:hAnsi="Arial"/>
          <w:sz w:val="19"/>
          <w:szCs w:val="19"/>
          <w:color w:val="auto"/>
        </w:rPr>
        <w:t>” means, collectively, JPMCB, Merrill Lynch, Pierce, Fenner &amp; Smith Incorporated, Deutsche Bank Securities Inc., Mizuho Securities USA LLC, Citigroup Global Markets Inc., Goldman Sachs Bank USA and BNP Paribas Securities Corp.</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Arris</w:t>
      </w:r>
      <w:r>
        <w:rPr>
          <w:rFonts w:ascii="Arial" w:cs="Arial" w:eastAsia="Arial" w:hAnsi="Arial"/>
          <w:sz w:val="20"/>
          <w:szCs w:val="20"/>
          <w:color w:val="auto"/>
        </w:rPr>
        <w:t>” has the meaning specified in the Preliminary Statements of this Agreement.</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Arris Acquisition</w:t>
      </w:r>
      <w:r>
        <w:rPr>
          <w:rFonts w:ascii="Arial" w:cs="Arial" w:eastAsia="Arial" w:hAnsi="Arial"/>
          <w:sz w:val="20"/>
          <w:szCs w:val="20"/>
          <w:color w:val="auto"/>
        </w:rPr>
        <w:t>” has the meaning specified in the Preliminary Statements of this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Asset Sale</w:t>
      </w:r>
      <w:r>
        <w:rPr>
          <w:rFonts w:ascii="Arial" w:cs="Arial" w:eastAsia="Arial" w:hAnsi="Arial"/>
          <w:sz w:val="20"/>
          <w:szCs w:val="20"/>
          <w:color w:val="auto"/>
        </w:rPr>
        <w:t>” means:</w:t>
      </w:r>
    </w:p>
    <w:p>
      <w:pPr>
        <w:spacing w:after="0" w:line="216" w:lineRule="exact"/>
        <w:rPr>
          <w:sz w:val="20"/>
          <w:szCs w:val="20"/>
          <w:color w:val="auto"/>
        </w:rPr>
      </w:pPr>
    </w:p>
    <w:p>
      <w:pPr>
        <w:ind w:left="380" w:firstLine="2"/>
        <w:spacing w:after="0" w:line="316"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Sale/Leaseback Transaction) of the Borrower or any Restricted Subsidiary of the Borrower; or</w:t>
      </w:r>
    </w:p>
    <w:p>
      <w:pPr>
        <w:spacing w:after="0" w:line="21" w:lineRule="exact"/>
        <w:rPr>
          <w:rFonts w:ascii="Arial" w:cs="Arial" w:eastAsia="Arial" w:hAnsi="Arial"/>
          <w:sz w:val="18"/>
          <w:szCs w:val="18"/>
          <w:color w:val="auto"/>
        </w:rPr>
      </w:pPr>
    </w:p>
    <w:p>
      <w:pPr>
        <w:jc w:val="both"/>
        <w:ind w:left="380" w:firstLine="2"/>
        <w:spacing w:after="0" w:line="244" w:lineRule="auto"/>
        <w:tabs>
          <w:tab w:leader="none" w:pos="803"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the issuance or sale of Equity Interests (other than (i) directors’ qualifying shares or shares or interests required to be held by foreign nationals or other third parties to the extent required by applicable law and (ii) Preferred Stock of Restricted Subsidiaries issued in compliance with </w:t>
      </w:r>
      <w:r>
        <w:rPr>
          <w:rFonts w:ascii="Arial" w:cs="Arial" w:eastAsia="Arial" w:hAnsi="Arial"/>
          <w:sz w:val="20"/>
          <w:szCs w:val="20"/>
          <w:u w:val="single" w:color="auto"/>
          <w:color w:val="auto"/>
        </w:rPr>
        <w:t>Section 7.03</w:t>
      </w:r>
      <w:r>
        <w:rPr>
          <w:rFonts w:ascii="Arial" w:cs="Arial" w:eastAsia="Arial" w:hAnsi="Arial"/>
          <w:sz w:val="20"/>
          <w:szCs w:val="20"/>
          <w:color w:val="auto"/>
        </w:rPr>
        <w:t>) of any Restricted Subsidiary (other than to the Borrower or another Restricted Subsidiary of the Borrower) (whether in a single transaction or a series of related transactions and whether effected pursuant to a Division or otherwise) (each of the foregoing referred to in this definition as a “</w:t>
      </w:r>
      <w:r>
        <w:rPr>
          <w:rFonts w:ascii="Arial" w:cs="Arial" w:eastAsia="Arial" w:hAnsi="Arial"/>
          <w:sz w:val="20"/>
          <w:szCs w:val="20"/>
          <w:b w:val="1"/>
          <w:bCs w:val="1"/>
          <w:i w:val="1"/>
          <w:iCs w:val="1"/>
          <w:color w:val="auto"/>
        </w:rPr>
        <w:t>disposition</w:t>
      </w:r>
      <w:r>
        <w:rPr>
          <w:rFonts w:ascii="Arial" w:cs="Arial" w:eastAsia="Arial" w:hAnsi="Arial"/>
          <w:sz w:val="20"/>
          <w:szCs w:val="20"/>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in each case other than: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1" w:name="page62"/>
    <w:bookmarkEnd w:id="61"/>
    <w:p>
      <w:pPr>
        <w:jc w:val="both"/>
        <w:ind w:firstLine="1505"/>
        <w:spacing w:after="0" w:line="244" w:lineRule="auto"/>
        <w:tabs>
          <w:tab w:leader="none" w:pos="201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sale, exchange or other disposition of cash, Cash Equivalents or Investment Grade Securities, or of obsolete, damaged, unnecessary, unsuitable or worn out equipment or other assets in the ordinary course of business, or dispositions of property no longer used, useful or economically practicable to maintain in the conduct of the business of the Borrower and the Restricted Subsidiaries (including allowing any registrations or any applications for registration of any immaterial intellectual property or other immaterial intellectual property rights to lapse or become abandoned);</w:t>
      </w:r>
    </w:p>
    <w:p>
      <w:pPr>
        <w:spacing w:after="0" w:line="194" w:lineRule="exact"/>
        <w:rPr>
          <w:rFonts w:ascii="Arial" w:cs="Arial" w:eastAsia="Arial" w:hAnsi="Arial"/>
          <w:sz w:val="20"/>
          <w:szCs w:val="20"/>
          <w:color w:val="auto"/>
        </w:rPr>
      </w:pPr>
    </w:p>
    <w:p>
      <w:pPr>
        <w:ind w:firstLine="1505"/>
        <w:spacing w:after="0" w:line="260" w:lineRule="auto"/>
        <w:tabs>
          <w:tab w:leader="none" w:pos="199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sale, conveyance, lease or other disposition of all or substantially all of the assets of the Borrower in a manner pursuant to Section 7.04 or 7.05;</w:t>
      </w:r>
    </w:p>
    <w:p>
      <w:pPr>
        <w:spacing w:after="0" w:line="176" w:lineRule="exact"/>
        <w:rPr>
          <w:rFonts w:ascii="Arial" w:cs="Arial" w:eastAsia="Arial" w:hAnsi="Arial"/>
          <w:sz w:val="20"/>
          <w:szCs w:val="20"/>
          <w:color w:val="auto"/>
        </w:rPr>
      </w:pPr>
    </w:p>
    <w:p>
      <w:pPr>
        <w:ind w:firstLine="1505"/>
        <w:spacing w:after="0" w:line="260" w:lineRule="auto"/>
        <w:tabs>
          <w:tab w:leader="none" w:pos="199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Restricted Payment that is permitted to be made, and is made, under Section 7.06 (including pursuant to any exceptions provided for in the definition of “Restricted Payment”) or any Permitted Investment;</w:t>
      </w:r>
    </w:p>
    <w:p>
      <w:pPr>
        <w:spacing w:after="0" w:line="176" w:lineRule="exact"/>
        <w:rPr>
          <w:rFonts w:ascii="Arial" w:cs="Arial" w:eastAsia="Arial" w:hAnsi="Arial"/>
          <w:sz w:val="20"/>
          <w:szCs w:val="20"/>
          <w:color w:val="auto"/>
        </w:rPr>
      </w:pPr>
    </w:p>
    <w:p>
      <w:pPr>
        <w:ind w:firstLine="1505"/>
        <w:spacing w:after="0" w:line="260" w:lineRule="auto"/>
        <w:tabs>
          <w:tab w:leader="none" w:pos="19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disposition of assets or issuance or sale of Equity Interests of any Restricted Subsidiary, in a single transaction or series of related transactions, with an aggregate Fair Market Value of less than $40,000,000;</w:t>
      </w:r>
    </w:p>
    <w:p>
      <w:pPr>
        <w:spacing w:after="0" w:line="176" w:lineRule="exact"/>
        <w:rPr>
          <w:rFonts w:ascii="Arial" w:cs="Arial" w:eastAsia="Arial" w:hAnsi="Arial"/>
          <w:sz w:val="20"/>
          <w:szCs w:val="20"/>
          <w:color w:val="auto"/>
        </w:rPr>
      </w:pPr>
    </w:p>
    <w:p>
      <w:pPr>
        <w:ind w:firstLine="1505"/>
        <w:spacing w:after="0" w:line="260" w:lineRule="auto"/>
        <w:tabs>
          <w:tab w:leader="none" w:pos="1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transfer or disposition of property or assets by a Restricted Subsidiary of the Borrower to the Borrower or by the Borrower or a Restricted Subsidiary of the Borrower to a Restricted Subsidiary of the Borrower;</w:t>
      </w:r>
    </w:p>
    <w:p>
      <w:pPr>
        <w:spacing w:after="0" w:line="176" w:lineRule="exact"/>
        <w:rPr>
          <w:rFonts w:ascii="Arial" w:cs="Arial" w:eastAsia="Arial" w:hAnsi="Arial"/>
          <w:sz w:val="20"/>
          <w:szCs w:val="20"/>
          <w:color w:val="auto"/>
        </w:rPr>
      </w:pPr>
    </w:p>
    <w:p>
      <w:pPr>
        <w:ind w:left="2020" w:hanging="515"/>
        <w:spacing w:after="0"/>
        <w:tabs>
          <w:tab w:leader="none" w:pos="20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creation of any Lien permitted under the terms hereof to the extent constituting a disposition of property or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assets;</w:t>
      </w:r>
    </w:p>
    <w:p>
      <w:pPr>
        <w:spacing w:after="0" w:line="199" w:lineRule="exact"/>
        <w:rPr>
          <w:rFonts w:ascii="Arial" w:cs="Arial" w:eastAsia="Arial" w:hAnsi="Arial"/>
          <w:sz w:val="19"/>
          <w:szCs w:val="19"/>
          <w:color w:val="auto"/>
        </w:rPr>
      </w:pPr>
    </w:p>
    <w:p>
      <w:pPr>
        <w:ind w:left="2000" w:hanging="495"/>
        <w:spacing w:after="0"/>
        <w:tabs>
          <w:tab w:leader="none" w:pos="2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issuance, sale or other disposition of Equity Interests in, or Indebtedness or other securities of, an Unrestricted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Subsidiary;</w:t>
      </w:r>
    </w:p>
    <w:p>
      <w:pPr>
        <w:spacing w:after="0" w:line="199" w:lineRule="exact"/>
        <w:rPr>
          <w:rFonts w:ascii="Arial" w:cs="Arial" w:eastAsia="Arial" w:hAnsi="Arial"/>
          <w:sz w:val="18"/>
          <w:szCs w:val="18"/>
          <w:color w:val="auto"/>
        </w:rPr>
      </w:pPr>
    </w:p>
    <w:p>
      <w:pPr>
        <w:jc w:val="both"/>
        <w:ind w:firstLine="1505"/>
        <w:spacing w:after="0" w:line="250" w:lineRule="auto"/>
        <w:tabs>
          <w:tab w:leader="none" w:pos="2005"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sale, lease, assignment, license or sublease of inventory, equipment, accounts receivable, notes receivable or other current assets held for sale in the ordinary course of business or the conversion of accounts receivable to notes receivable or dispositions of accounts receivable in connection with the collection or compromise thereof;</w:t>
      </w:r>
    </w:p>
    <w:p>
      <w:pPr>
        <w:spacing w:after="0" w:line="185" w:lineRule="exact"/>
        <w:rPr>
          <w:rFonts w:ascii="Arial" w:cs="Arial" w:eastAsia="Arial" w:hAnsi="Arial"/>
          <w:sz w:val="20"/>
          <w:szCs w:val="20"/>
          <w:color w:val="auto"/>
        </w:rPr>
      </w:pPr>
    </w:p>
    <w:p>
      <w:pPr>
        <w:ind w:left="2020" w:hanging="515"/>
        <w:spacing w:after="0"/>
        <w:tabs>
          <w:tab w:leader="none" w:pos="2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lease, assignment, license, sublicense or sublease of any real or personal property in the ordinary course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199" w:lineRule="exact"/>
        <w:rPr>
          <w:rFonts w:ascii="Arial" w:cs="Arial" w:eastAsia="Arial" w:hAnsi="Arial"/>
          <w:sz w:val="18"/>
          <w:szCs w:val="18"/>
          <w:color w:val="auto"/>
        </w:rPr>
      </w:pPr>
    </w:p>
    <w:p>
      <w:pPr>
        <w:jc w:val="both"/>
        <w:ind w:firstLine="1505"/>
        <w:spacing w:after="0" w:line="250" w:lineRule="auto"/>
        <w:tabs>
          <w:tab w:leader="none" w:pos="198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sale, assignment or other transfer of (x) equipment receivables, or participations therein or (y) Receivables Assets, or participations therein, and related assets (i) to a Receivables Subsidiary in a Qualified Receivables Financing or (ii) to any other Person in a Qualified Receivables Factoring;</w:t>
      </w:r>
    </w:p>
    <w:p>
      <w:pPr>
        <w:spacing w:after="0" w:line="185" w:lineRule="exact"/>
        <w:rPr>
          <w:rFonts w:ascii="Arial" w:cs="Arial" w:eastAsia="Arial" w:hAnsi="Arial"/>
          <w:sz w:val="20"/>
          <w:szCs w:val="20"/>
          <w:color w:val="auto"/>
        </w:rPr>
      </w:pPr>
    </w:p>
    <w:p>
      <w:pPr>
        <w:ind w:firstLine="1505"/>
        <w:spacing w:after="0" w:line="260" w:lineRule="auto"/>
        <w:tabs>
          <w:tab w:leader="none" w:pos="2029"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sale, assignment or other transfer of Receivables Assets, or participations therein, and related assets by a Receivables Subsidiary in a Qualified Receivables Financing;</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1994"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exchange of assets for Related Business Assets (including a combination of Related Business Assets and a de minimis amount of cash or Cash Equivalents and any exchange allowable under Section 1031 of the Code) of comparable or greater market value than the assets exchanged, as determined in good faith by the Borrower;</w:t>
      </w:r>
    </w:p>
    <w:p>
      <w:pPr>
        <w:spacing w:after="0" w:line="185" w:lineRule="exact"/>
        <w:rPr>
          <w:rFonts w:ascii="Arial" w:cs="Arial" w:eastAsia="Arial" w:hAnsi="Arial"/>
          <w:sz w:val="20"/>
          <w:szCs w:val="20"/>
          <w:color w:val="auto"/>
        </w:rPr>
      </w:pPr>
    </w:p>
    <w:p>
      <w:pPr>
        <w:ind w:firstLine="1505"/>
        <w:spacing w:after="0" w:line="240" w:lineRule="exact"/>
        <w:tabs>
          <w:tab w:leader="none" w:pos="1854"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non</w:t>
      </w:r>
      <w:r>
        <w:rPr>
          <w:rFonts w:ascii="MS PGothic" w:cs="MS PGothic" w:eastAsia="MS PGothic" w:hAnsi="MS PGothic"/>
          <w:sz w:val="20"/>
          <w:szCs w:val="20"/>
          <w:color w:val="auto"/>
        </w:rPr>
        <w:t>‑</w:t>
      </w:r>
      <w:r>
        <w:rPr>
          <w:rFonts w:ascii="Arial" w:cs="Arial" w:eastAsia="Arial" w:hAnsi="Arial"/>
          <w:sz w:val="20"/>
          <w:szCs w:val="20"/>
          <w:color w:val="auto"/>
        </w:rPr>
        <w:t>exclusive licenses, sublicenses or cross-licenses of intellectual property, other intellectual property rights or other general intangibles and (ii) exclusive licenses, sublicenses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2" w:name="page63"/>
    <w:bookmarkEnd w:id="62"/>
    <w:p>
      <w:pPr>
        <w:spacing w:after="0" w:line="260" w:lineRule="auto"/>
        <w:rPr>
          <w:sz w:val="20"/>
          <w:szCs w:val="20"/>
          <w:color w:val="auto"/>
        </w:rPr>
      </w:pPr>
      <w:r>
        <w:rPr>
          <w:rFonts w:ascii="Arial" w:cs="Arial" w:eastAsia="Arial" w:hAnsi="Arial"/>
          <w:sz w:val="20"/>
          <w:szCs w:val="20"/>
          <w:color w:val="auto"/>
        </w:rPr>
        <w:t>cross-licenses of intellectual property, other intellectual property rights or other general intangibles in the ordinary course of business of the Borrower and the Restricted Subsidiaries of the Borrower;</w:t>
      </w:r>
    </w:p>
    <w:p>
      <w:pPr>
        <w:spacing w:after="0" w:line="177" w:lineRule="exact"/>
        <w:rPr>
          <w:sz w:val="20"/>
          <w:szCs w:val="20"/>
          <w:color w:val="auto"/>
        </w:rPr>
      </w:pPr>
    </w:p>
    <w:p>
      <w:pPr>
        <w:jc w:val="both"/>
        <w:ind w:firstLine="1505"/>
        <w:spacing w:after="0" w:line="250" w:lineRule="auto"/>
        <w:tabs>
          <w:tab w:leader="none" w:pos="1983"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sale in a Sale/Leaseback Transaction of any property acquired or built after the Closing Date; provided that such sale is for at least Fair Market Value (as determined on the date on which a definitive agreement for such Sale/Leaseback Transaction was entered into);</w:t>
      </w:r>
    </w:p>
    <w:p>
      <w:pPr>
        <w:spacing w:after="0" w:line="185" w:lineRule="exact"/>
        <w:rPr>
          <w:rFonts w:ascii="Arial" w:cs="Arial" w:eastAsia="Arial" w:hAnsi="Arial"/>
          <w:sz w:val="20"/>
          <w:szCs w:val="20"/>
          <w:color w:val="auto"/>
        </w:rPr>
      </w:pPr>
    </w:p>
    <w:p>
      <w:pPr>
        <w:jc w:val="both"/>
        <w:ind w:firstLine="1505"/>
        <w:spacing w:after="0" w:line="246" w:lineRule="auto"/>
        <w:tabs>
          <w:tab w:leader="none" w:pos="199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surrender or waiver of obligations of trade creditors or customers or other contract rights that were incurred in the ordinary course of business of the Borrower or any Restricted Subsidiary, including pursuant to any plan of reorganization or similar arrangement upon the bankruptcy or insolvency of any trade creditor or customer or compromise, settlement, release or surrender of a contract, tort or other litigation claim, arbitration or other disputes;</w:t>
      </w:r>
    </w:p>
    <w:p>
      <w:pPr>
        <w:spacing w:after="0" w:line="191" w:lineRule="exact"/>
        <w:rPr>
          <w:rFonts w:ascii="Arial" w:cs="Arial" w:eastAsia="Arial" w:hAnsi="Arial"/>
          <w:sz w:val="20"/>
          <w:szCs w:val="20"/>
          <w:color w:val="auto"/>
        </w:rPr>
      </w:pPr>
    </w:p>
    <w:p>
      <w:pPr>
        <w:ind w:firstLine="1505"/>
        <w:spacing w:after="0" w:line="260" w:lineRule="auto"/>
        <w:tabs>
          <w:tab w:leader="none" w:pos="20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dispositions arising from foreclosures, condemnations, eminent domain, seizure, nationalization or any similar action with respect to assets, dispositions of property subject to Casualty Events;</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1984"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dispositions of Investments (including Equity Interests) in joint ventures to the extent required by, or made pursuant to customary buy/sell arrangements or rights of first refusal between, the joint venture parties set forth in joint venture arrangements and similar binding arrangements;</w:t>
      </w:r>
    </w:p>
    <w:p>
      <w:pPr>
        <w:spacing w:after="0" w:line="185" w:lineRule="exact"/>
        <w:rPr>
          <w:rFonts w:ascii="Arial" w:cs="Arial" w:eastAsia="Arial" w:hAnsi="Arial"/>
          <w:sz w:val="20"/>
          <w:szCs w:val="20"/>
          <w:color w:val="auto"/>
        </w:rPr>
      </w:pPr>
    </w:p>
    <w:p>
      <w:pPr>
        <w:ind w:left="1980" w:hanging="475"/>
        <w:spacing w:after="0"/>
        <w:tabs>
          <w:tab w:leader="none" w:pos="1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issuance of directors’ qualifying shares and shares issued to foreign nationals to the extent required by applicable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law;</w:t>
      </w:r>
    </w:p>
    <w:p>
      <w:pPr>
        <w:spacing w:after="0" w:line="199" w:lineRule="exact"/>
        <w:rPr>
          <w:rFonts w:ascii="Arial" w:cs="Arial" w:eastAsia="Arial" w:hAnsi="Arial"/>
          <w:sz w:val="16"/>
          <w:szCs w:val="16"/>
          <w:color w:val="auto"/>
        </w:rPr>
      </w:pPr>
    </w:p>
    <w:p>
      <w:pPr>
        <w:jc w:val="both"/>
        <w:ind w:firstLine="1505"/>
        <w:spacing w:after="0" w:line="246" w:lineRule="auto"/>
        <w:tabs>
          <w:tab w:leader="none" w:pos="2003"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dispositions of property to the extent that (i) such property is exchanged for credit against the purchase price of similar replacement property that is purchased within 90 days of such disposition or (ii) the proceeds of such disposition are applied within 90 days of such disposition to the purchase price of such replacement property (which replacement property is purchased within 90 days of such disposition); and</w:t>
      </w:r>
    </w:p>
    <w:p>
      <w:pPr>
        <w:spacing w:after="0" w:line="191" w:lineRule="exact"/>
        <w:rPr>
          <w:rFonts w:ascii="Arial" w:cs="Arial" w:eastAsia="Arial" w:hAnsi="Arial"/>
          <w:sz w:val="20"/>
          <w:szCs w:val="20"/>
          <w:color w:val="auto"/>
        </w:rPr>
      </w:pPr>
    </w:p>
    <w:p>
      <w:pPr>
        <w:ind w:firstLine="1505"/>
        <w:spacing w:after="0" w:line="260" w:lineRule="auto"/>
        <w:tabs>
          <w:tab w:leader="none" w:pos="2024"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sale, assignment or other disposition in the ordinary course of business in connection with supply-chain financing programs or similar arrangements.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avoidance of doubt, the unwinding of non-speculative Swap Contracts shall not be deemed to constitute an Asset Sale.</w:t>
      </w:r>
    </w:p>
    <w:p>
      <w:pPr>
        <w:spacing w:after="0" w:line="23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Assignment and Assumption</w:t>
      </w:r>
      <w:r>
        <w:rPr>
          <w:rFonts w:ascii="Arial" w:cs="Arial" w:eastAsia="Arial" w:hAnsi="Arial"/>
          <w:sz w:val="20"/>
          <w:szCs w:val="20"/>
          <w:color w:val="auto"/>
        </w:rPr>
        <w:t xml:space="preserve">” means an Assignment and Assumption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or otherwise in form and substance reasonably acceptable to the Administrative Agent.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Audited 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4.01(e)</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Tenor</w:t>
      </w:r>
      <w:r>
        <w:rPr>
          <w:rFonts w:ascii="Arial" w:cs="Arial" w:eastAsia="Arial" w:hAnsi="Arial"/>
          <w:sz w:val="18"/>
          <w:szCs w:val="18"/>
          <w:color w:val="auto"/>
        </w:rPr>
        <w:t xml:space="preserve">” means, as of any date of determination and with respect to the then-current Benchmark,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3" w:name="page64"/>
    <w:bookmarkEnd w:id="63"/>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xml:space="preserve"> ”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80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Rate</w:t>
      </w:r>
      <w:r>
        <w:rPr>
          <w:rFonts w:ascii="Arial" w:cs="Arial" w:eastAsia="Arial" w:hAnsi="Arial"/>
          <w:sz w:val="19"/>
          <w:szCs w:val="19"/>
          <w:color w:val="auto"/>
        </w:rPr>
        <w:t xml:space="preserve">” means, for any day, a fluctuating rate per annum equal to the highest of (a) the NYFRB Rate on such day plus 1/2 of 1%, (b) the Prime Lending Rate on such day, (c) the Adjusted Term SOFR Rate published two US Government Securities Business Days prior to such day (or if such day is not a US Government Securities Business Day the next previous US Government Securities Business Day) for an Interest Period of one month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clause (c),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and (d) 1.00% per annum. For the avoidance of doubt, if the Base Rate as determined pursuant to the foregoing would be less than 1.00%, such rate shall be deemed to be 1.00% for purposes of this Agreement.</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Rate Borrowing</w:t>
      </w:r>
      <w:r>
        <w:rPr>
          <w:rFonts w:ascii="Arial" w:cs="Arial" w:eastAsia="Arial" w:hAnsi="Arial"/>
          <w:sz w:val="20"/>
          <w:szCs w:val="20"/>
          <w:color w:val="auto"/>
        </w:rPr>
        <w:t>” means a Borrowing of Base Rate Loans.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Rate Loan</w:t>
      </w:r>
      <w:r>
        <w:rPr>
          <w:rFonts w:ascii="Arial" w:cs="Arial" w:eastAsia="Arial" w:hAnsi="Arial"/>
          <w:sz w:val="20"/>
          <w:szCs w:val="20"/>
          <w:color w:val="auto"/>
        </w:rPr>
        <w:t>” means a Loan that bears interest based on the Base Rate.</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w:t>
      </w:r>
      <w:r>
        <w:rPr>
          <w:rFonts w:ascii="Arial" w:cs="Arial" w:eastAsia="Arial" w:hAnsi="Arial"/>
          <w:sz w:val="20"/>
          <w:szCs w:val="20"/>
          <w:color w:val="auto"/>
        </w:rPr>
        <w:t xml:space="preserve"> ” means, initially, with respect to any Term Benchmark Loan, the Adjusted Term SOFR Rate;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 Benchmark Transition Event and the related Benchmark Replacement Date have occurred with respect to the Adjusted Term SOFR Rate, then “Benchmark” means the applicable Benchmark Replacement to the extent that such Benchmark Replacement has replaced such prior benchmark rate pursuant to clause (b) of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w:t>
      </w:r>
      <w:r>
        <w:rPr>
          <w:rFonts w:ascii="Arial" w:cs="Arial" w:eastAsia="Arial" w:hAnsi="Arial"/>
          <w:sz w:val="20"/>
          <w:szCs w:val="20"/>
          <w:color w:val="auto"/>
        </w:rPr>
        <w:t>” means, for any Available Tenor, the first alternative set forth in the order below that can be determined by the Administrative Agent for the applicable Benchmark Replacement Date:</w:t>
      </w:r>
    </w:p>
    <w:p>
      <w:pPr>
        <w:spacing w:after="0" w:line="177" w:lineRule="exact"/>
        <w:rPr>
          <w:sz w:val="20"/>
          <w:szCs w:val="20"/>
          <w:color w:val="auto"/>
        </w:rPr>
      </w:pPr>
    </w:p>
    <w:p>
      <w:pPr>
        <w:ind w:left="1200" w:hanging="443"/>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Adjusted Daily Simple SOFR;</w:t>
      </w:r>
    </w:p>
    <w:p>
      <w:pPr>
        <w:spacing w:after="0" w:line="215" w:lineRule="exact"/>
        <w:rPr>
          <w:rFonts w:ascii="Arial" w:cs="Arial" w:eastAsia="Arial" w:hAnsi="Arial"/>
          <w:sz w:val="20"/>
          <w:szCs w:val="20"/>
          <w:color w:val="auto"/>
        </w:rPr>
      </w:pPr>
    </w:p>
    <w:p>
      <w:pPr>
        <w:jc w:val="both"/>
        <w:ind w:firstLine="757"/>
        <w:spacing w:after="0" w:line="278" w:lineRule="auto"/>
        <w:tabs>
          <w:tab w:leader="none" w:pos="12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6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7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9"/>
          <w:szCs w:val="19"/>
          <w:color w:val="auto"/>
        </w:rPr>
        <w:t>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Conforming Changes</w:t>
      </w:r>
      <w:r>
        <w:rPr>
          <w:rFonts w:ascii="Arial" w:cs="Arial" w:eastAsia="Arial" w:hAnsi="Arial"/>
          <w:sz w:val="19"/>
          <w:szCs w:val="19"/>
          <w:color w:val="auto"/>
        </w:rPr>
        <w:t>” means, with respect to any Benchmark Replacement and/or any Term Benchmark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8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 Date</w:t>
      </w:r>
      <w:r>
        <w:rPr>
          <w:rFonts w:ascii="Arial" w:cs="Arial" w:eastAsia="Arial" w:hAnsi="Arial"/>
          <w:sz w:val="20"/>
          <w:szCs w:val="20"/>
          <w:color w:val="auto"/>
        </w:rPr>
        <w:t>” means, with respect to any Benchmark, the earlier to occur of the following events with respect to such then-current Benchmark:</w:t>
      </w:r>
    </w:p>
    <w:p>
      <w:pPr>
        <w:spacing w:after="0" w:line="177" w:lineRule="exact"/>
        <w:rPr>
          <w:sz w:val="20"/>
          <w:szCs w:val="20"/>
          <w:color w:val="auto"/>
        </w:rPr>
      </w:pPr>
    </w:p>
    <w:p>
      <w:pPr>
        <w:jc w:val="both"/>
        <w:ind w:firstLine="757"/>
        <w:spacing w:after="0" w:line="246" w:lineRule="auto"/>
        <w:tabs>
          <w:tab w:leader="none" w:pos="1216"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91" w:lineRule="exact"/>
        <w:rPr>
          <w:rFonts w:ascii="Arial" w:cs="Arial" w:eastAsia="Arial" w:hAnsi="Arial"/>
          <w:sz w:val="20"/>
          <w:szCs w:val="20"/>
          <w:color w:val="auto"/>
        </w:rPr>
      </w:pPr>
    </w:p>
    <w:p>
      <w:pPr>
        <w:jc w:val="both"/>
        <w:ind w:firstLine="757"/>
        <w:spacing w:after="0" w:line="260" w:lineRule="auto"/>
        <w:tabs>
          <w:tab w:leader="none" w:pos="1202"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Transition Event</w:t>
      </w:r>
      <w:r>
        <w:rPr>
          <w:rFonts w:ascii="Arial" w:cs="Arial" w:eastAsia="Arial" w:hAnsi="Arial"/>
          <w:sz w:val="20"/>
          <w:szCs w:val="20"/>
          <w:color w:val="auto"/>
        </w:rPr>
        <w:t>” means, with respect to any Benchmark, the occurrence of one or more of the following events with respect to such then-current Benchmark: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5" w:name="page66"/>
    <w:bookmarkEnd w:id="65"/>
    <w:p>
      <w:pPr>
        <w:jc w:val="both"/>
        <w:ind w:firstLine="757"/>
        <w:spacing w:after="0" w:line="282" w:lineRule="auto"/>
        <w:tabs>
          <w:tab w:leader="none" w:pos="10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1" w:lineRule="exact"/>
        <w:rPr>
          <w:rFonts w:ascii="Arial" w:cs="Arial" w:eastAsia="Arial" w:hAnsi="Arial"/>
          <w:sz w:val="18"/>
          <w:szCs w:val="18"/>
          <w:color w:val="auto"/>
        </w:rPr>
      </w:pPr>
    </w:p>
    <w:p>
      <w:pPr>
        <w:jc w:val="both"/>
        <w:ind w:firstLine="757"/>
        <w:spacing w:after="0" w:line="257" w:lineRule="auto"/>
        <w:tabs>
          <w:tab w:leader="none" w:pos="1045"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80" w:lineRule="exact"/>
        <w:rPr>
          <w:rFonts w:ascii="Arial" w:cs="Arial" w:eastAsia="Arial" w:hAnsi="Arial"/>
          <w:sz w:val="19"/>
          <w:szCs w:val="19"/>
          <w:color w:val="auto"/>
        </w:rPr>
      </w:pPr>
    </w:p>
    <w:p>
      <w:pPr>
        <w:jc w:val="both"/>
        <w:ind w:firstLine="757"/>
        <w:spacing w:after="0" w:line="250" w:lineRule="auto"/>
        <w:tabs>
          <w:tab w:leader="none" w:pos="1045"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Unavailability Period</w:t>
      </w:r>
      <w:r>
        <w:rPr>
          <w:rFonts w:ascii="Arial" w:cs="Arial" w:eastAsia="Arial" w:hAnsi="Arial"/>
          <w:sz w:val="20"/>
          <w:szCs w:val="20"/>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19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has the meaning given to that term in Rule 13d-3 and Rule 13d-5 under the Exchange Act, in each case as in effect on the date hereof, except that in calculating the beneficial ownership of any particular “person” (as that term is used in Section 13(d)</w:t>
      </w:r>
    </w:p>
    <w:p>
      <w:pPr>
        <w:spacing w:after="0" w:line="1" w:lineRule="exact"/>
        <w:rPr>
          <w:sz w:val="20"/>
          <w:szCs w:val="20"/>
          <w:color w:val="auto"/>
        </w:rPr>
      </w:pPr>
    </w:p>
    <w:p>
      <w:pPr>
        <w:jc w:val="both"/>
        <w:ind w:firstLine="8"/>
        <w:spacing w:after="0" w:line="281" w:lineRule="auto"/>
        <w:tabs>
          <w:tab w:leader="none" w:pos="2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the Exchange Act, as in effect on the date hereof), such “person” will not be deemed to have beneficial ownership of any securities that such “person” has the right to acquire or vote only upon the happening of any future event or contingency (including the passage of time) that has not yet occurred. The terms “beneficial ownership,” “beneficially owns” and “beneficially owned” have a corresponding meaning.</w:t>
      </w:r>
    </w:p>
    <w:p>
      <w:pPr>
        <w:spacing w:after="0" w:line="161"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 Plan</w:t>
      </w:r>
      <w:r>
        <w:rPr>
          <w:rFonts w:ascii="Arial" w:cs="Arial" w:eastAsia="Arial" w:hAnsi="Arial"/>
          <w:sz w:val="20"/>
          <w:szCs w:val="20"/>
          <w:color w:val="auto"/>
        </w:rPr>
        <w:t>” means any of (a) an “employee benefit plan” (as defined in ERISA) that is subject to Title I of ERISA, (b) a “plan” as defined in and subject to Section 4975 of the Code or (c) any Person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20"/>
          <w:szCs w:val="20"/>
          <w:color w:val="auto"/>
        </w:rPr>
        <w:t>whose assets include (for purposes of ERISA Section 3(42) or otherwise for purposes of Title I of ERISA or Section 4975 of the Code) the assets of any such “employee benefit plan” or “plan”.</w:t>
      </w:r>
    </w:p>
    <w:p>
      <w:pPr>
        <w:spacing w:after="0" w:line="177" w:lineRule="exact"/>
        <w:rPr>
          <w:sz w:val="20"/>
          <w:szCs w:val="20"/>
          <w:color w:val="auto"/>
        </w:rPr>
      </w:pPr>
    </w:p>
    <w:p>
      <w:pPr>
        <w:jc w:val="both"/>
        <w:ind w:firstLine="84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 of Directors</w:t>
      </w:r>
      <w:r>
        <w:rPr>
          <w:rFonts w:ascii="Arial" w:cs="Arial" w:eastAsia="Arial" w:hAnsi="Arial"/>
          <w:sz w:val="20"/>
          <w:szCs w:val="20"/>
          <w:color w:val="auto"/>
        </w:rPr>
        <w:t>” means as to any Person, the board of directors or managers, sole member or managing member, as applicable, of such Person (or, if such Person is a partnership, the board of directors or other governing body of the general partner of such Person) or any duly authorized committee thereof.</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has the meaning specified in the introductory paragraph to this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w:t>
      </w:r>
      <w:r>
        <w:rPr>
          <w:rFonts w:ascii="Arial" w:cs="Arial" w:eastAsia="Arial" w:hAnsi="Arial"/>
          <w:sz w:val="20"/>
          <w:szCs w:val="20"/>
          <w:color w:val="auto"/>
        </w:rPr>
        <w:t>” means a borrowing consisting of simultaneous Loans of the same Type and, in the case of Term Benchmark Loans, having the same Interest Period made by the Lenders in accordance with the terms of this Agreement.</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Base</w:t>
      </w:r>
      <w:r>
        <w:rPr>
          <w:rFonts w:ascii="Arial" w:cs="Arial" w:eastAsia="Arial" w:hAnsi="Arial"/>
          <w:sz w:val="20"/>
          <w:szCs w:val="20"/>
          <w:color w:val="auto"/>
        </w:rPr>
        <w:t xml:space="preserve">” means, as of any date, an amount equal to: (1) 85% of the value of all accounts receivable owned by the Borrower and its Restricted Subsidiaries as of the end of the most recent fiscal quarter preceding such date;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(2) 70% of the value of all inventory owned by the Borrower and its Restricted Subsidiaries as of the end of the most recent fiscal quarter preceding such date, all calculated on a consolidated basis and in accordance with GAAP.</w:t>
      </w:r>
    </w:p>
    <w:p>
      <w:pPr>
        <w:spacing w:after="0" w:line="191"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Saturday or a Sunday) on which banks are open for business in New York City; provided that, in addition to the foregoing, a Business Day shall be,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Stock</w:t>
      </w:r>
      <w:r>
        <w:rPr>
          <w:rFonts w:ascii="Arial" w:cs="Arial" w:eastAsia="Arial" w:hAnsi="Arial"/>
          <w:sz w:val="20"/>
          <w:szCs w:val="20"/>
          <w:color w:val="auto"/>
        </w:rPr>
        <w:t>” means:</w:t>
      </w:r>
    </w:p>
    <w:p>
      <w:pPr>
        <w:spacing w:after="0" w:line="216" w:lineRule="exact"/>
        <w:rPr>
          <w:sz w:val="20"/>
          <w:szCs w:val="20"/>
          <w:color w:val="auto"/>
        </w:rPr>
      </w:pPr>
    </w:p>
    <w:p>
      <w:pPr>
        <w:ind w:left="780" w:hanging="398"/>
        <w:spacing w:after="0"/>
        <w:tabs>
          <w:tab w:leader="none" w:pos="7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the case of a corporation, corporate stock;</w:t>
      </w:r>
    </w:p>
    <w:p>
      <w:pPr>
        <w:spacing w:after="0" w:line="107" w:lineRule="exact"/>
        <w:rPr>
          <w:rFonts w:ascii="Arial" w:cs="Arial" w:eastAsia="Arial" w:hAnsi="Arial"/>
          <w:sz w:val="20"/>
          <w:szCs w:val="20"/>
          <w:color w:val="auto"/>
        </w:rPr>
      </w:pPr>
    </w:p>
    <w:p>
      <w:pPr>
        <w:ind w:left="380" w:firstLine="2"/>
        <w:spacing w:after="0" w:line="260" w:lineRule="auto"/>
        <w:tabs>
          <w:tab w:leader="none" w:pos="797"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the case of an association or business entity, any and all shares, interests, participations, rights or other equivalents (however designated) of corporate stock;</w:t>
      </w:r>
    </w:p>
    <w:p>
      <w:pPr>
        <w:spacing w:after="0" w:line="68" w:lineRule="exact"/>
        <w:rPr>
          <w:rFonts w:ascii="Arial" w:cs="Arial" w:eastAsia="Arial" w:hAnsi="Arial"/>
          <w:sz w:val="20"/>
          <w:szCs w:val="20"/>
          <w:color w:val="auto"/>
        </w:rPr>
      </w:pPr>
    </w:p>
    <w:p>
      <w:pPr>
        <w:ind w:left="780" w:hanging="398"/>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30" w:lineRule="exact"/>
        <w:rPr>
          <w:rFonts w:ascii="Arial" w:cs="Arial" w:eastAsia="Arial" w:hAnsi="Arial"/>
          <w:sz w:val="18"/>
          <w:szCs w:val="18"/>
          <w:color w:val="auto"/>
        </w:rPr>
      </w:pPr>
    </w:p>
    <w:p>
      <w:pPr>
        <w:jc w:val="both"/>
        <w:ind w:left="380" w:firstLine="2"/>
        <w:spacing w:after="0" w:line="291" w:lineRule="auto"/>
        <w:tabs>
          <w:tab w:leader="none" w:pos="7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4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Capitalized Lease Obligation</w:t>
      </w:r>
      <w:r>
        <w:rPr>
          <w:rFonts w:ascii="Arial" w:cs="Arial" w:eastAsia="Arial" w:hAnsi="Arial"/>
          <w:sz w:val="18"/>
          <w:szCs w:val="18"/>
          <w:color w:val="auto"/>
        </w:rPr>
        <w:t xml:space="preserve">” means, at the time any determination thereof is to be made, the amount of the liability in respect of a capital lease that would at such time be required to be capitalized and reflected as a liability on a balance sheet (excluding the footnotes thereto)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no capital lease will be deemed a “Capitalized Lease Obligation” for any purpose under this Agreement if such capital lease would not, as of December 31, 2018, have been required to be capitalized and reflected as a liability on a balance sheet in accordance with GAAP and (y) Arris’ financing lease obligation with respect to Building 1 from its former San Diego office complex will not be deemed a “Capitalized Lease Obligation” for any purpose under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7" w:name="page68"/>
    <w:bookmarkEnd w:id="67"/>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Cash-Capped Incremental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Collateral Account</w:t>
      </w:r>
      <w:r>
        <w:rPr>
          <w:rFonts w:ascii="Arial" w:cs="Arial" w:eastAsia="Arial" w:hAnsi="Arial"/>
          <w:sz w:val="18"/>
          <w:szCs w:val="18"/>
          <w:color w:val="auto"/>
        </w:rPr>
        <w:t>” means a blocked, non-interest bearing deposit account at the Administrative Agent (or another commercial bank reasonably acceptable to the Administrative Agent) in the name of the Administrative Agent and under the sole dominion and control of the Administrative Agent, and otherwise established in a manner reasonably satisfactory to the Administrative Agent.</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Contribution Amount</w:t>
      </w:r>
      <w:r>
        <w:rPr>
          <w:rFonts w:ascii="Arial" w:cs="Arial" w:eastAsia="Arial" w:hAnsi="Arial"/>
          <w:sz w:val="20"/>
          <w:szCs w:val="20"/>
          <w:color w:val="auto"/>
        </w:rPr>
        <w:t>” means the aggregate amount of cash contributions made to the capital of the Borrower or any Restricted Subsidiary described in the definition of “Contribution Indebtedness.”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Equivalents</w:t>
      </w:r>
      <w:r>
        <w:rPr>
          <w:rFonts w:ascii="Arial" w:cs="Arial" w:eastAsia="Arial" w:hAnsi="Arial"/>
          <w:sz w:val="20"/>
          <w:szCs w:val="20"/>
          <w:color w:val="auto"/>
        </w:rPr>
        <w:t>” means:</w:t>
      </w:r>
    </w:p>
    <w:p>
      <w:pPr>
        <w:spacing w:after="0" w:line="216" w:lineRule="exact"/>
        <w:rPr>
          <w:sz w:val="20"/>
          <w:szCs w:val="20"/>
          <w:color w:val="auto"/>
        </w:rPr>
      </w:pPr>
    </w:p>
    <w:p>
      <w:pPr>
        <w:jc w:val="both"/>
        <w:ind w:left="380" w:firstLine="2"/>
        <w:spacing w:after="0" w:line="250" w:lineRule="auto"/>
        <w:tabs>
          <w:tab w:leader="none" w:pos="789" w:val="left"/>
        </w:tabs>
        <w:numPr>
          <w:ilvl w:val="0"/>
          <w:numId w:val="37"/>
        </w:numPr>
        <w:rPr>
          <w:rFonts w:ascii="Arial" w:cs="Arial" w:eastAsia="Arial" w:hAnsi="Arial"/>
          <w:sz w:val="20"/>
          <w:szCs w:val="20"/>
          <w:color w:val="auto"/>
        </w:rPr>
      </w:pPr>
      <w:r>
        <w:rPr>
          <w:rFonts w:ascii="Arial" w:cs="Arial" w:eastAsia="Arial" w:hAnsi="Arial"/>
          <w:sz w:val="20"/>
          <w:szCs w:val="20"/>
          <w:color w:val="auto"/>
        </w:rPr>
        <w:t>U.S. Dollars, Canadian dollars, pounds sterling, euros or the national currency of any participating member state of the European Union (as it is constituted on the Closing Date), Japanese yen, and, with respect to any Foreign Subsidiaries, other currencies held by such Foreign Subsidiary in the ordinary course of business;</w:t>
      </w:r>
    </w:p>
    <w:p>
      <w:pPr>
        <w:spacing w:after="0" w:line="77" w:lineRule="exact"/>
        <w:rPr>
          <w:rFonts w:ascii="Arial" w:cs="Arial" w:eastAsia="Arial" w:hAnsi="Arial"/>
          <w:sz w:val="20"/>
          <w:szCs w:val="20"/>
          <w:color w:val="auto"/>
        </w:rPr>
      </w:pPr>
    </w:p>
    <w:p>
      <w:pPr>
        <w:jc w:val="both"/>
        <w:ind w:left="380" w:firstLine="2"/>
        <w:spacing w:after="0" w:line="250" w:lineRule="auto"/>
        <w:tabs>
          <w:tab w:leader="none" w:pos="776"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securities issued or directly and fully guaranteed or insured by the government of the United States, Canada, the United Kingdom or any country that is a member of the European Union (as it is constituted on the Closing Date) or any agency or instrumentality thereof in each case with maturities not exceeding two years from the date of acquisition;</w:t>
      </w:r>
    </w:p>
    <w:p>
      <w:pPr>
        <w:spacing w:after="0" w:line="77" w:lineRule="exact"/>
        <w:rPr>
          <w:rFonts w:ascii="Arial" w:cs="Arial" w:eastAsia="Arial" w:hAnsi="Arial"/>
          <w:sz w:val="20"/>
          <w:szCs w:val="20"/>
          <w:color w:val="auto"/>
        </w:rPr>
      </w:pPr>
    </w:p>
    <w:p>
      <w:pPr>
        <w:jc w:val="both"/>
        <w:ind w:left="380" w:firstLine="2"/>
        <w:spacing w:after="0" w:line="246" w:lineRule="auto"/>
        <w:tabs>
          <w:tab w:leader="none" w:pos="782" w:val="left"/>
        </w:tabs>
        <w:numPr>
          <w:ilvl w:val="0"/>
          <w:numId w:val="37"/>
        </w:numPr>
        <w:rPr>
          <w:rFonts w:ascii="Arial" w:cs="Arial" w:eastAsia="Arial" w:hAnsi="Arial"/>
          <w:sz w:val="20"/>
          <w:szCs w:val="20"/>
          <w:color w:val="auto"/>
        </w:rPr>
      </w:pPr>
      <w:r>
        <w:rPr>
          <w:rFonts w:ascii="Arial" w:cs="Arial" w:eastAsia="Arial" w:hAnsi="Arial"/>
          <w:sz w:val="20"/>
          <w:szCs w:val="20"/>
          <w:color w:val="auto"/>
        </w:rPr>
        <w:t>money market deposits, certificates of deposit, time deposits and eurodollar time deposits with maturities of two years or less from the date of acquisition, bankers’ acceptances, in each case with maturities not exceeding two years, and overnight bank deposits, in each case with any commercial bank having capital and surplus in excess of $250,000,000 in the case of domestic banks or $100,000,000 (or the equivalent Dollar amount) in the case of foreign banks;</w:t>
      </w:r>
    </w:p>
    <w:p>
      <w:pPr>
        <w:spacing w:after="0" w:line="83" w:lineRule="exact"/>
        <w:rPr>
          <w:rFonts w:ascii="Arial" w:cs="Arial" w:eastAsia="Arial" w:hAnsi="Arial"/>
          <w:sz w:val="20"/>
          <w:szCs w:val="20"/>
          <w:color w:val="auto"/>
        </w:rPr>
      </w:pPr>
    </w:p>
    <w:p>
      <w:pPr>
        <w:ind w:left="380" w:firstLine="2"/>
        <w:spacing w:after="0" w:line="260" w:lineRule="auto"/>
        <w:tabs>
          <w:tab w:leader="none" w:pos="793"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repurchase obligations for underlying securities of the types described in clauses (2) and (3) above and clause (6) below entered into with any financial institution meeting the qualifications specified in clause (3) above;</w:t>
      </w:r>
    </w:p>
    <w:p>
      <w:pPr>
        <w:spacing w:after="0" w:line="68" w:lineRule="exact"/>
        <w:rPr>
          <w:rFonts w:ascii="Arial" w:cs="Arial" w:eastAsia="Arial" w:hAnsi="Arial"/>
          <w:sz w:val="20"/>
          <w:szCs w:val="20"/>
          <w:color w:val="auto"/>
        </w:rPr>
      </w:pPr>
    </w:p>
    <w:p>
      <w:pPr>
        <w:jc w:val="both"/>
        <w:ind w:left="380" w:firstLine="2"/>
        <w:spacing w:after="0" w:line="250" w:lineRule="auto"/>
        <w:tabs>
          <w:tab w:leader="none" w:pos="788"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commercial paper or variable or fixed rate notes issued by a corporation or other Person (other than an Affiliate of the Borrower) rated at least “A-2” or “P-2” or the equivalent thereof by Moody’s or S&amp;P (or reasonably equivalent ratings of another internationally recognized ratings agency) and in each case maturing within two years after the date of acquisition;</w:t>
      </w:r>
    </w:p>
    <w:p>
      <w:pPr>
        <w:spacing w:after="0" w:line="77" w:lineRule="exact"/>
        <w:rPr>
          <w:rFonts w:ascii="Arial" w:cs="Arial" w:eastAsia="Arial" w:hAnsi="Arial"/>
          <w:sz w:val="20"/>
          <w:szCs w:val="20"/>
          <w:color w:val="auto"/>
        </w:rPr>
      </w:pPr>
    </w:p>
    <w:p>
      <w:pPr>
        <w:jc w:val="both"/>
        <w:ind w:left="380" w:firstLine="2"/>
        <w:spacing w:after="0" w:line="246" w:lineRule="auto"/>
        <w:tabs>
          <w:tab w:leader="none" w:pos="812"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readily marketable direct obligations issued by any state, commonwealth or territory of the United States of America or any political subdivision or taxing authority thereof having an Investment Grade Rating from either Moody’s or S&amp;P (or reasonably equivalent ratings of another internationally recognized ratings agency) in each case with maturities not exceeding two years from the date of acquisition;</w:t>
      </w:r>
    </w:p>
    <w:p>
      <w:pPr>
        <w:spacing w:after="0" w:line="83" w:lineRule="exact"/>
        <w:rPr>
          <w:rFonts w:ascii="Arial" w:cs="Arial" w:eastAsia="Arial" w:hAnsi="Arial"/>
          <w:sz w:val="20"/>
          <w:szCs w:val="20"/>
          <w:color w:val="auto"/>
        </w:rPr>
      </w:pPr>
    </w:p>
    <w:p>
      <w:pPr>
        <w:jc w:val="both"/>
        <w:ind w:left="380" w:firstLine="2"/>
        <w:spacing w:after="0" w:line="263" w:lineRule="auto"/>
        <w:tabs>
          <w:tab w:leader="none" w:pos="815"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Indebtedness issued by Persons with a rating of “A” or higher from S&amp;P or “A-2” or higher from Moody’s (or reasonably equivalent ratings of another internationally recognized ratings agency) in each case with maturities not exceeding two years from the date of acquisition, and marketable short-term money market and similar securities having a rating of at least “A-2” or “P-2” from either S&amp;P or Moody’s (or reasonably equivalent ratings of another internationally recognized ratings agency);</w:t>
      </w:r>
    </w:p>
    <w:p>
      <w:pPr>
        <w:spacing w:after="0" w:line="68" w:lineRule="exact"/>
        <w:rPr>
          <w:rFonts w:ascii="Arial" w:cs="Arial" w:eastAsia="Arial" w:hAnsi="Arial"/>
          <w:sz w:val="19"/>
          <w:szCs w:val="19"/>
          <w:color w:val="auto"/>
        </w:rPr>
      </w:pPr>
    </w:p>
    <w:p>
      <w:pPr>
        <w:ind w:left="380" w:firstLine="2"/>
        <w:spacing w:after="0" w:line="260" w:lineRule="auto"/>
        <w:tabs>
          <w:tab w:leader="none" w:pos="785"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investment funds investing at least 90% of their assets in securities of the types described in clauses (1) through (7) above and (9) and (10) below;</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8" w:name="page69"/>
    <w:bookmarkEnd w:id="68"/>
    <w:p>
      <w:pPr>
        <w:jc w:val="both"/>
        <w:ind w:left="380" w:firstLine="2"/>
        <w:spacing w:after="0" w:line="250" w:lineRule="auto"/>
        <w:tabs>
          <w:tab w:leader="none" w:pos="792"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Investments with average maturities of 12 months or less from the date of acquisition in money market funds rated AAA (or the equivalent thereof) or better by S&amp;P or Aaa3 (or the equivalent thereof) or better by Moody’s (or reasonably equivalent ratings of another internationally recognized ratings agency); and</w:t>
      </w:r>
    </w:p>
    <w:p>
      <w:pPr>
        <w:spacing w:after="0" w:line="77" w:lineRule="exact"/>
        <w:rPr>
          <w:rFonts w:ascii="Arial" w:cs="Arial" w:eastAsia="Arial" w:hAnsi="Arial"/>
          <w:sz w:val="20"/>
          <w:szCs w:val="20"/>
          <w:color w:val="auto"/>
        </w:rPr>
      </w:pPr>
    </w:p>
    <w:p>
      <w:pPr>
        <w:jc w:val="both"/>
        <w:ind w:left="380" w:firstLine="2"/>
        <w:spacing w:after="0" w:line="246" w:lineRule="auto"/>
        <w:tabs>
          <w:tab w:leader="none" w:pos="768"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 the case of Investments by any Restricted Subsidiary that is a Foreign Subsidiary, (x) such local currencies in those countries in which such Foreign Subsidiary transacts business from time to time in the ordinary course of business and (y) Investments of comparable tenor and credit quality to those described in the foregoing clauses (1) through (9) customarily utilized in countries in which such Foreign Subsidiary operates for short-term cash management purposes.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Notwithstanding the foregoing, Cash Equivalents shall include amounts denominated in currencies other than those set forth in clause</w:t>
      </w:r>
    </w:p>
    <w:p>
      <w:pPr>
        <w:spacing w:after="0" w:line="39" w:lineRule="exact"/>
        <w:rPr>
          <w:sz w:val="20"/>
          <w:szCs w:val="20"/>
          <w:color w:val="auto"/>
        </w:rPr>
      </w:pPr>
    </w:p>
    <w:p>
      <w:pPr>
        <w:ind w:left="380" w:firstLine="2"/>
        <w:spacing w:after="0" w:line="244" w:lineRule="auto"/>
        <w:tabs>
          <w:tab w:leader="none" w:pos="673"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amounts are converted into any currency listed in clause (1) as promptly as practicable and in any event within ten Business Days following the receipt of such amounts.</w:t>
      </w:r>
    </w:p>
    <w:p>
      <w:pPr>
        <w:spacing w:after="0" w:line="83" w:lineRule="exact"/>
        <w:rPr>
          <w:sz w:val="20"/>
          <w:szCs w:val="20"/>
          <w:color w:val="auto"/>
        </w:rPr>
      </w:pPr>
    </w:p>
    <w:p>
      <w:pPr>
        <w:jc w:val="both"/>
        <w:ind w:firstLine="81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Agreement</w:t>
      </w:r>
      <w:r>
        <w:rPr>
          <w:rFonts w:ascii="Arial" w:cs="Arial" w:eastAsia="Arial" w:hAnsi="Arial"/>
          <w:sz w:val="20"/>
          <w:szCs w:val="20"/>
          <w:color w:val="auto"/>
        </w:rPr>
        <w:t>” means any agreement or arrangement to provide Cash Management Services to Holdings, the Borrower or any Restricted Subsidiary.</w:t>
      </w:r>
    </w:p>
    <w:p>
      <w:pPr>
        <w:spacing w:after="0" w:line="177" w:lineRule="exact"/>
        <w:rPr>
          <w:sz w:val="20"/>
          <w:szCs w:val="20"/>
          <w:color w:val="auto"/>
        </w:rPr>
      </w:pPr>
    </w:p>
    <w:p>
      <w:pPr>
        <w:jc w:val="both"/>
        <w:ind w:firstLine="8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Management Bank</w:t>
      </w:r>
      <w:r>
        <w:rPr>
          <w:rFonts w:ascii="Arial" w:cs="Arial" w:eastAsia="Arial" w:hAnsi="Arial"/>
          <w:sz w:val="18"/>
          <w:szCs w:val="18"/>
          <w:color w:val="auto"/>
        </w:rPr>
        <w:t>” means any Person that (a) at the time it enters into a Cash Management Agreement, is a Lender or an Agent or an Affiliate of a Lender or an Agent, (b) in the case of any Cash Management Agreement in effect on or prior to the Closing Date, is, as of the Closing Date or within 45 days thereafter, a Lender or an Agent or an Affiliate of a Lender or an Agent and a party to a Cash Management Agreement or (c) within 45 days after the time it enters into the applicable Cash Management Agreement, becomes a Lender or an Affiliate of a Lender or an Agent, in each case, in its capacity as a party to such Cash Management Agreement.</w:t>
      </w:r>
    </w:p>
    <w:p>
      <w:pPr>
        <w:spacing w:after="0" w:line="165" w:lineRule="exact"/>
        <w:rPr>
          <w:sz w:val="20"/>
          <w:szCs w:val="20"/>
          <w:color w:val="auto"/>
        </w:rPr>
      </w:pPr>
    </w:p>
    <w:p>
      <w:pPr>
        <w:jc w:val="both"/>
        <w:ind w:firstLine="807"/>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Services</w:t>
      </w:r>
      <w:r>
        <w:rPr>
          <w:rFonts w:ascii="Arial" w:cs="Arial" w:eastAsia="Arial" w:hAnsi="Arial"/>
          <w:sz w:val="20"/>
          <w:szCs w:val="20"/>
          <w:color w:val="auto"/>
        </w:rPr>
        <w:t>” means any of the following to the extent not constituting a line of credit (other than an overnight draft facility that is not in default); automated clearing house transactions, treasury and/or cash management services, including, without limitation, treasury, depository, overdraft, credit, purchasing or debit card, non</w:t>
      </w:r>
      <w:r>
        <w:rPr>
          <w:rFonts w:ascii="MS PGothic" w:cs="MS PGothic" w:eastAsia="MS PGothic" w:hAnsi="MS PGothic"/>
          <w:sz w:val="20"/>
          <w:szCs w:val="20"/>
          <w:color w:val="auto"/>
        </w:rPr>
        <w:t>‑</w:t>
      </w:r>
      <w:r>
        <w:rPr>
          <w:rFonts w:ascii="Arial" w:cs="Arial" w:eastAsia="Arial" w:hAnsi="Arial"/>
          <w:sz w:val="20"/>
          <w:szCs w:val="20"/>
          <w:color w:val="auto"/>
        </w:rPr>
        <w:t>card e-payable services, electronic funds transfer, treasury management services (including controlled disbursement services, overdraft automatic clearing house fund transfer services, return items and interstate depository network services), other demand deposit or operating account relationships, foreign exchange facilities, and merchant services.</w:t>
      </w:r>
    </w:p>
    <w:p>
      <w:pPr>
        <w:spacing w:after="0" w:line="196" w:lineRule="exact"/>
        <w:rPr>
          <w:sz w:val="20"/>
          <w:szCs w:val="20"/>
          <w:color w:val="auto"/>
        </w:rPr>
      </w:pPr>
    </w:p>
    <w:p>
      <w:pPr>
        <w:jc w:val="both"/>
        <w:ind w:firstLine="81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Casualty Event</w:t>
      </w:r>
      <w:r>
        <w:rPr>
          <w:rFonts w:ascii="Arial" w:cs="Arial" w:eastAsia="Arial" w:hAnsi="Arial"/>
          <w:sz w:val="20"/>
          <w:szCs w:val="20"/>
          <w:color w:val="auto"/>
        </w:rPr>
        <w:t>” means any event that gives rise to the receipt by the Borrower or any Restricted Subsidiary of any casualty insurance proceeds or condemnation awards or that gives rise to a taking by a Governmental Authority in respect of any equipment, fixed assets or real property (including any improvements thereon) to replace, restore or repair, or compensate for the loss of, such equipment, fixed assets or real property.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CERCLA</w:t>
      </w:r>
      <w:r>
        <w:rPr>
          <w:rFonts w:ascii="Arial" w:cs="Arial" w:eastAsia="Arial" w:hAnsi="Arial"/>
          <w:sz w:val="20"/>
          <w:szCs w:val="20"/>
          <w:color w:val="auto"/>
        </w:rPr>
        <w:t>” means the Comprehensive Environmental Response, Compensation and Liability Act of 1980.</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CERCLIS</w:t>
      </w:r>
      <w:r>
        <w:rPr>
          <w:rFonts w:ascii="Arial" w:cs="Arial" w:eastAsia="Arial" w:hAnsi="Arial"/>
          <w:sz w:val="20"/>
          <w:szCs w:val="20"/>
          <w:color w:val="auto"/>
        </w:rPr>
        <w:t>” means the Comprehensive Environmental Response, Compensation and Liability Information System maintained by the U.S. Environmental Protection Agency.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CFC</w:t>
      </w:r>
      <w:r>
        <w:rPr>
          <w:rFonts w:ascii="Arial" w:cs="Arial" w:eastAsia="Arial" w:hAnsi="Arial"/>
          <w:sz w:val="20"/>
          <w:szCs w:val="20"/>
          <w:color w:val="auto"/>
        </w:rPr>
        <w:t>” means a “controlled foreign corporation” within the meaning of Section 957(a) of the Code.</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CFC Holdco</w:t>
      </w:r>
      <w:r>
        <w:rPr>
          <w:rFonts w:ascii="Arial" w:cs="Arial" w:eastAsia="Arial" w:hAnsi="Arial"/>
          <w:sz w:val="20"/>
          <w:szCs w:val="20"/>
          <w:color w:val="auto"/>
        </w:rPr>
        <w:t>” means (A) any Subsidiary of the Borrower, substantially all of the assets of which consist of Equity Interests and/or Indebtedness in one or more Subsidiaries of the Borrower that are CFCs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20"/>
          <w:szCs w:val="20"/>
          <w:color w:val="auto"/>
        </w:rPr>
        <w:t>and/or (B) any Subsidiary, substantially all of the assets of which consist of Equity Interests and/or Indebtedness in one or more other Subsidiaries described in clause (A).</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 any “person” or “group” (within the meaning of Rule 13d-5 of the Exchange Act), other than the Permitted Holders, shall “beneficially own” (within the meaning of Rule 13d-3 under the Exchange Act), directly or indirectly, shares representing more than 35% of the aggregate ordinary voting power represented by the issued and outstanding equity interests of Holdings,</w:t>
      </w:r>
    </w:p>
    <w:p>
      <w:pPr>
        <w:spacing w:after="0" w:line="1" w:lineRule="exact"/>
        <w:rPr>
          <w:sz w:val="20"/>
          <w:szCs w:val="20"/>
          <w:color w:val="auto"/>
        </w:rPr>
      </w:pPr>
    </w:p>
    <w:p>
      <w:pPr>
        <w:jc w:val="both"/>
        <w:ind w:firstLine="8"/>
        <w:spacing w:after="0" w:line="260" w:lineRule="auto"/>
        <w:tabs>
          <w:tab w:leader="none" w:pos="283"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change in control (or similar event, however denominated) with respect to Holdings or the Borrower shall occur under and as defined in any Senior Notes Indenture (or any document governing any refinancing or replacement thereof), or (c) Holdings shall cease to beneficially own, directly or indirectly, 100% of the issued and outstanding Equity Interests of the Borrower.</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means April 4, 2019.</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Preferred Equity</w:t>
      </w:r>
      <w:r>
        <w:rPr>
          <w:rFonts w:ascii="Arial" w:cs="Arial" w:eastAsia="Arial" w:hAnsi="Arial"/>
          <w:sz w:val="20"/>
          <w:szCs w:val="20"/>
          <w:color w:val="auto"/>
        </w:rPr>
        <w:t>” has the meaning specified in the definition of “Transactions”.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Preferred Equity Purchaser</w:t>
      </w:r>
      <w:r>
        <w:rPr>
          <w:rFonts w:ascii="Arial" w:cs="Arial" w:eastAsia="Arial" w:hAnsi="Arial"/>
          <w:sz w:val="20"/>
          <w:szCs w:val="20"/>
          <w:color w:val="auto"/>
        </w:rPr>
        <w:t>” means Carlyle Partners VII S1 Holdings, L.P. and its Affiliates.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Senior Notes</w:t>
      </w:r>
      <w:r>
        <w:rPr>
          <w:rFonts w:ascii="Arial" w:cs="Arial" w:eastAsia="Arial" w:hAnsi="Arial"/>
          <w:sz w:val="18"/>
          <w:szCs w:val="18"/>
          <w:color w:val="auto"/>
        </w:rPr>
        <w:t>” means, collectively, the Closing Date Senior Secured Notes and the Closing Date Senior Unsecured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Senior Secured Notes</w:t>
      </w:r>
      <w:r>
        <w:rPr>
          <w:rFonts w:ascii="Arial" w:cs="Arial" w:eastAsia="Arial" w:hAnsi="Arial"/>
          <w:sz w:val="18"/>
          <w:szCs w:val="18"/>
          <w:color w:val="auto"/>
        </w:rPr>
        <w:t>” means the Borrower’s (i) $1,250,000,000 in aggregate principal amount outstanding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5.50% Senior Secured Notes due 2024 and (ii) $1,500,000,000 in aggregate principal amount outstanding of 6.00% Senior Secured Notes due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2026.</w:t>
      </w:r>
    </w:p>
    <w:p>
      <w:pPr>
        <w:spacing w:after="0" w:line="200" w:lineRule="exact"/>
        <w:rPr>
          <w:sz w:val="20"/>
          <w:szCs w:val="20"/>
          <w:color w:val="auto"/>
        </w:rPr>
      </w:pPr>
    </w:p>
    <w:p>
      <w:pPr>
        <w:ind w:right="120"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Senior Secured Notes Indenture</w:t>
      </w:r>
      <w:r>
        <w:rPr>
          <w:rFonts w:ascii="Arial" w:cs="Arial" w:eastAsia="Arial" w:hAnsi="Arial"/>
          <w:sz w:val="20"/>
          <w:szCs w:val="20"/>
          <w:color w:val="auto"/>
        </w:rPr>
        <w:t>” means the indenture, dated February 19, 2019, between the Borrower (as successor to CommScope Finance LLC by merger), Wilmington Trust, National Association, as trustee and as Notes Collateral Agent, governing the Closing Date Senior Secured Notes as amended, restated, supplemented, waived, renewed or otherwise modified from time to time, and as replaced (whether or not upon termination, and whether with the original holders or otherwise), restructured, repaid, refunded, refinanced or otherwise modified from time to time.</w:t>
      </w:r>
    </w:p>
    <w:p>
      <w:pPr>
        <w:spacing w:after="0" w:line="194" w:lineRule="exact"/>
        <w:rPr>
          <w:sz w:val="20"/>
          <w:szCs w:val="20"/>
          <w:color w:val="auto"/>
        </w:rPr>
      </w:pPr>
    </w:p>
    <w:p>
      <w:pPr>
        <w:ind w:right="54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Senior Unsecured Notes</w:t>
      </w:r>
      <w:r>
        <w:rPr>
          <w:rFonts w:ascii="Arial" w:cs="Arial" w:eastAsia="Arial" w:hAnsi="Arial"/>
          <w:sz w:val="20"/>
          <w:szCs w:val="20"/>
          <w:color w:val="auto"/>
        </w:rPr>
        <w:t>” means the Borrower’s $1,000,000,000 in aggregate principal amount outstanding of 8.25% Senior Notes due 2027.</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U.S. Internal Revenue Code of 1986, as amended from time to time.</w:t>
      </w:r>
    </w:p>
    <w:p>
      <w:pPr>
        <w:spacing w:after="0" w:line="21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CME Term SOFR Administrator</w:t>
      </w:r>
      <w:r>
        <w:rPr>
          <w:rFonts w:ascii="Arial" w:cs="Arial" w:eastAsia="Arial" w:hAnsi="Arial"/>
          <w:sz w:val="20"/>
          <w:szCs w:val="20"/>
          <w:color w:val="auto"/>
        </w:rPr>
        <w:t>” means CME Group Benchmark Administration Limited as administrator of the forward-looking term Secured Overnight Financing Rate (SOFR) (or a successor administrator).</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 means all the assets and properties (whether real, personal or otherwise) with respect to which any security interests or Lien have been granted (or purported to be granted) pursuant to any Collateral Document, including all Security Agreement Collateral and all Mortgaged Properties.</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 Agent</w:t>
      </w:r>
      <w:r>
        <w:rPr>
          <w:rFonts w:ascii="Arial" w:cs="Arial" w:eastAsia="Arial" w:hAnsi="Arial"/>
          <w:sz w:val="20"/>
          <w:szCs w:val="20"/>
          <w:color w:val="auto"/>
        </w:rPr>
        <w:t>” means JPMCB in its capacity as collateral agent under any of the Loan Documents, or any successor collateral agent permitted by the terms hereof.</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 Documents</w:t>
      </w:r>
      <w:r>
        <w:rPr>
          <w:rFonts w:ascii="Arial" w:cs="Arial" w:eastAsia="Arial" w:hAnsi="Arial"/>
          <w:sz w:val="20"/>
          <w:szCs w:val="20"/>
          <w:color w:val="auto"/>
        </w:rPr>
        <w:t>” means, collectively, the Security Agreement, the Intellectual Property Security Agreements, the Mortgages, each of the mortgages, collateral assignments, Security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0" w:name="page71"/>
    <w:bookmarkEnd w:id="70"/>
    <w:p>
      <w:pPr>
        <w:jc w:val="both"/>
        <w:spacing w:after="0" w:line="250" w:lineRule="auto"/>
        <w:rPr>
          <w:sz w:val="20"/>
          <w:szCs w:val="20"/>
          <w:color w:val="auto"/>
        </w:rPr>
      </w:pPr>
      <w:r>
        <w:rPr>
          <w:rFonts w:ascii="Arial" w:cs="Arial" w:eastAsia="Arial" w:hAnsi="Arial"/>
          <w:sz w:val="20"/>
          <w:szCs w:val="20"/>
          <w:color w:val="auto"/>
        </w:rPr>
        <w:t xml:space="preserve">Supplements, IP Security Agreement Supplements, security agreements, pledge agreements or other similar agreements delivered to the Collateral Agent pursuant to </w:t>
      </w:r>
      <w:r>
        <w:rPr>
          <w:rFonts w:ascii="Arial" w:cs="Arial" w:eastAsia="Arial" w:hAnsi="Arial"/>
          <w:sz w:val="20"/>
          <w:szCs w:val="20"/>
          <w:u w:val="single" w:color="auto"/>
          <w:color w:val="auto"/>
        </w:rPr>
        <w:t>Sections 6.12</w:t>
      </w:r>
      <w:r>
        <w:rPr>
          <w:rFonts w:ascii="Arial" w:cs="Arial" w:eastAsia="Arial" w:hAnsi="Arial"/>
          <w:sz w:val="20"/>
          <w:szCs w:val="20"/>
          <w:color w:val="auto"/>
        </w:rPr>
        <w:t xml:space="preserve">, </w:t>
      </w:r>
      <w:r>
        <w:rPr>
          <w:rFonts w:ascii="Arial" w:cs="Arial" w:eastAsia="Arial" w:hAnsi="Arial"/>
          <w:sz w:val="20"/>
          <w:szCs w:val="20"/>
          <w:u w:val="single" w:color="auto"/>
          <w:color w:val="auto"/>
        </w:rPr>
        <w:t>6.14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6.17</w:t>
      </w:r>
      <w:r>
        <w:rPr>
          <w:rFonts w:ascii="Arial" w:cs="Arial" w:eastAsia="Arial" w:hAnsi="Arial"/>
          <w:sz w:val="20"/>
          <w:szCs w:val="20"/>
          <w:color w:val="auto"/>
        </w:rPr>
        <w:t xml:space="preserve"> and each of the other agreements, instruments or documents that creates or purports to create a Lien in favor of the Collateral Agent for the benefit of the Secured Parties.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Co-Manager</w:t>
      </w:r>
      <w:r>
        <w:rPr>
          <w:rFonts w:ascii="Arial" w:cs="Arial" w:eastAsia="Arial" w:hAnsi="Arial"/>
          <w:sz w:val="20"/>
          <w:szCs w:val="20"/>
          <w:color w:val="auto"/>
        </w:rPr>
        <w:t>” means each entity listed as Co-Manager on the cover page hereto.</w:t>
      </w:r>
    </w:p>
    <w:p>
      <w:pPr>
        <w:spacing w:after="0" w:line="216"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Commitment</w:t>
      </w:r>
      <w:r>
        <w:rPr>
          <w:rFonts w:ascii="Arial" w:cs="Arial" w:eastAsia="Arial" w:hAnsi="Arial"/>
          <w:sz w:val="19"/>
          <w:szCs w:val="19"/>
          <w:color w:val="auto"/>
        </w:rPr>
        <w:t>” means, as to any Lender at any time, (i) its Initial Term Commitment, (ii) its Term Commitment Increase, (iii) its New Term Commitment or (iv) its Specified Refinancing Term Commitment. The amount of each Lender’s Initial Term Commitment is as set forth in the definition thereof and the amount of each Lender’s other Commitments shall be as set forth in the Assignment and Assumption, or in the amendment or agreement relating to the respective Term Commitment Increase, New Term Commitment or Specified Refinancing Term Commitment pursuant to which such Lender shall have assumed its Commitment, as the case may be, as such amounts may be adjusted from time to time in accordance with this Agreement.</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Committed Loan Notice</w:t>
      </w:r>
      <w:r>
        <w:rPr>
          <w:rFonts w:ascii="Arial" w:cs="Arial" w:eastAsia="Arial" w:hAnsi="Arial"/>
          <w:sz w:val="20"/>
          <w:szCs w:val="20"/>
          <w:color w:val="auto"/>
        </w:rPr>
        <w:t xml:space="preserve">” means a notice of a Borrowing or a continuation of, or conversion into, Base Rate Loans or Term Benchmark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Competitor</w:t>
      </w:r>
      <w:r>
        <w:rPr>
          <w:rFonts w:ascii="Arial" w:cs="Arial" w:eastAsia="Arial" w:hAnsi="Arial"/>
          <w:sz w:val="20"/>
          <w:szCs w:val="20"/>
          <w:color w:val="auto"/>
        </w:rPr>
        <w:t>” means any Person that competes with the business of Holdings, the Borrower and their respective direct and indirect Subsidiaries from time to time.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or such other form as may be agreed between the Borrower and the Administrative Agent.</w:t>
      </w:r>
    </w:p>
    <w:p>
      <w:pPr>
        <w:spacing w:after="0" w:line="177" w:lineRule="exact"/>
        <w:rPr>
          <w:sz w:val="20"/>
          <w:szCs w:val="20"/>
          <w:color w:val="auto"/>
        </w:rPr>
      </w:pPr>
    </w:p>
    <w:p>
      <w:pPr>
        <w:jc w:val="both"/>
        <w:ind w:firstLine="813"/>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Cash Interest Expense</w:t>
      </w:r>
      <w:r>
        <w:rPr>
          <w:rFonts w:ascii="Arial" w:cs="Arial" w:eastAsia="Arial" w:hAnsi="Arial"/>
          <w:sz w:val="18"/>
          <w:szCs w:val="18"/>
          <w:color w:val="auto"/>
        </w:rPr>
        <w:t>” means, with respect to any Person for any period, without duplication, the cash interest expense (including that attributable to any Capitalized Lease Obligation), net of cash interest income, with respect to Indebtedness of such Person and its Restricted Subsidiaries (calculated on a consolidated basis in accordance with GAAP) for such period including commissions, discounts and other fees and charges owed with respect to letters of credit and bankers’ acceptance financing and net cash costs under hedging agreements (other than in connection with the early termination thereof), excluding, in each case:</w:t>
      </w:r>
    </w:p>
    <w:p>
      <w:pPr>
        <w:spacing w:after="0" w:line="165" w:lineRule="exact"/>
        <w:rPr>
          <w:sz w:val="20"/>
          <w:szCs w:val="20"/>
          <w:color w:val="auto"/>
        </w:rPr>
      </w:pPr>
    </w:p>
    <w:p>
      <w:pPr>
        <w:ind w:firstLine="1505"/>
        <w:spacing w:after="0" w:line="287" w:lineRule="auto"/>
        <w:tabs>
          <w:tab w:leader="none" w:pos="2026" w:val="left"/>
        </w:tabs>
        <w:numPr>
          <w:ilvl w:val="0"/>
          <w:numId w:val="41"/>
        </w:numPr>
        <w:rPr>
          <w:rFonts w:ascii="Arial" w:cs="Arial" w:eastAsia="Arial" w:hAnsi="Arial"/>
          <w:sz w:val="19"/>
          <w:szCs w:val="19"/>
          <w:color w:val="auto"/>
        </w:rPr>
      </w:pPr>
      <w:r>
        <w:rPr>
          <w:rFonts w:ascii="Arial" w:cs="Arial" w:eastAsia="Arial" w:hAnsi="Arial"/>
          <w:sz w:val="19"/>
          <w:szCs w:val="19"/>
          <w:color w:val="auto"/>
        </w:rPr>
        <w:t>amortization of deferred financing costs, debt issuance costs, commissions, fees and expenses and any other amounts of non-cash interest (including as a result of the effects of acquisition method accounting or pushdown accounting),</w:t>
      </w:r>
    </w:p>
    <w:p>
      <w:pPr>
        <w:spacing w:after="0" w:line="152" w:lineRule="exact"/>
        <w:rPr>
          <w:rFonts w:ascii="Arial" w:cs="Arial" w:eastAsia="Arial" w:hAnsi="Arial"/>
          <w:sz w:val="19"/>
          <w:szCs w:val="19"/>
          <w:color w:val="auto"/>
        </w:rPr>
      </w:pPr>
    </w:p>
    <w:p>
      <w:pPr>
        <w:ind w:firstLine="1505"/>
        <w:spacing w:after="0" w:line="260" w:lineRule="auto"/>
        <w:tabs>
          <w:tab w:leader="none" w:pos="2046"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interest expense attributable to the movement of the mark-to-market valuation of obligations under Swap Obligations or other derivative instruments,</w:t>
      </w:r>
    </w:p>
    <w:p>
      <w:pPr>
        <w:spacing w:after="0" w:line="176" w:lineRule="exact"/>
        <w:rPr>
          <w:rFonts w:ascii="Arial" w:cs="Arial" w:eastAsia="Arial" w:hAnsi="Arial"/>
          <w:sz w:val="20"/>
          <w:szCs w:val="20"/>
          <w:color w:val="auto"/>
        </w:rPr>
      </w:pPr>
    </w:p>
    <w:p>
      <w:pPr>
        <w:ind w:left="1860" w:hanging="355"/>
        <w:spacing w:after="0"/>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associated with incurring or terminating Swap Contracts and cash costs associated with breakage in respect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Swap Contracts,</w:t>
      </w:r>
    </w:p>
    <w:p>
      <w:pPr>
        <w:spacing w:after="0" w:line="199" w:lineRule="exact"/>
        <w:rPr>
          <w:rFonts w:ascii="Arial" w:cs="Arial" w:eastAsia="Arial" w:hAnsi="Arial"/>
          <w:sz w:val="18"/>
          <w:szCs w:val="18"/>
          <w:color w:val="auto"/>
        </w:rPr>
      </w:pPr>
    </w:p>
    <w:p>
      <w:pPr>
        <w:ind w:firstLine="1505"/>
        <w:spacing w:after="0" w:line="260" w:lineRule="auto"/>
        <w:tabs>
          <w:tab w:leader="none" w:pos="1865"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commissions, discounts, yield, make-whole premium and other fees and charges (including any interest expense) incurred in connection with any Qualified Receivables Factoring or Qualified Receivables Financing,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1" w:name="page72"/>
    <w:bookmarkEnd w:id="71"/>
    <w:p>
      <w:pPr>
        <w:ind w:left="1980" w:hanging="475"/>
        <w:spacing w:after="0"/>
        <w:tabs>
          <w:tab w:leader="none" w:pos="19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“additional interest” owing pursuant to a registration rights agreement with respect to any securities,</w:t>
      </w:r>
    </w:p>
    <w:p>
      <w:pPr>
        <w:spacing w:after="0" w:line="215" w:lineRule="exact"/>
        <w:rPr>
          <w:rFonts w:ascii="Arial" w:cs="Arial" w:eastAsia="Arial" w:hAnsi="Arial"/>
          <w:sz w:val="20"/>
          <w:szCs w:val="20"/>
          <w:color w:val="auto"/>
        </w:rPr>
      </w:pPr>
    </w:p>
    <w:p>
      <w:pPr>
        <w:ind w:firstLine="1505"/>
        <w:spacing w:after="0" w:line="260" w:lineRule="auto"/>
        <w:tabs>
          <w:tab w:leader="none" w:pos="1866"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payments with respect to make-whole premiums or other breakage costs of any Indebtedness, including any Indebtedness issued in connection with the Transactions,</w:t>
      </w:r>
    </w:p>
    <w:p>
      <w:pPr>
        <w:spacing w:after="0" w:line="176" w:lineRule="exact"/>
        <w:rPr>
          <w:rFonts w:ascii="Arial" w:cs="Arial" w:eastAsia="Arial" w:hAnsi="Arial"/>
          <w:sz w:val="20"/>
          <w:szCs w:val="20"/>
          <w:color w:val="auto"/>
        </w:rPr>
      </w:pPr>
    </w:p>
    <w:p>
      <w:pPr>
        <w:ind w:left="1900" w:hanging="395"/>
        <w:spacing w:after="0"/>
        <w:tabs>
          <w:tab w:leader="none" w:pos="19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penalties and interest relating to Taxes,</w:t>
      </w:r>
    </w:p>
    <w:p>
      <w:pPr>
        <w:spacing w:after="0" w:line="215" w:lineRule="exact"/>
        <w:rPr>
          <w:rFonts w:ascii="Arial" w:cs="Arial" w:eastAsia="Arial" w:hAnsi="Arial"/>
          <w:sz w:val="20"/>
          <w:szCs w:val="20"/>
          <w:color w:val="auto"/>
        </w:rPr>
      </w:pPr>
    </w:p>
    <w:p>
      <w:pPr>
        <w:ind w:left="1960" w:hanging="455"/>
        <w:spacing w:after="0"/>
        <w:tabs>
          <w:tab w:leader="none" w:pos="19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accretion or accrual of discounted liabilities not constituting Indebtedness,</w:t>
      </w:r>
    </w:p>
    <w:p>
      <w:pPr>
        <w:spacing w:after="0" w:line="215" w:lineRule="exact"/>
        <w:rPr>
          <w:rFonts w:ascii="Arial" w:cs="Arial" w:eastAsia="Arial" w:hAnsi="Arial"/>
          <w:sz w:val="20"/>
          <w:szCs w:val="20"/>
          <w:color w:val="auto"/>
        </w:rPr>
      </w:pPr>
    </w:p>
    <w:p>
      <w:pPr>
        <w:ind w:left="1840" w:hanging="335"/>
        <w:spacing w:after="0"/>
        <w:tabs>
          <w:tab w:leader="none" w:pos="18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interest expense attributable to Holdings or any parent thereof resulting from push-down accounting,</w:t>
      </w:r>
    </w:p>
    <w:p>
      <w:pPr>
        <w:spacing w:after="0" w:line="215" w:lineRule="exact"/>
        <w:rPr>
          <w:rFonts w:ascii="Arial" w:cs="Arial" w:eastAsia="Arial" w:hAnsi="Arial"/>
          <w:sz w:val="20"/>
          <w:szCs w:val="20"/>
          <w:color w:val="auto"/>
        </w:rPr>
      </w:pPr>
    </w:p>
    <w:p>
      <w:pPr>
        <w:ind w:left="2000" w:hanging="495"/>
        <w:spacing w:after="0"/>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expense resulting from the discounting of Indebtedness in connection with the application of recapitalization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purchase accounting,</w:t>
      </w:r>
    </w:p>
    <w:p>
      <w:pPr>
        <w:spacing w:after="0" w:line="199" w:lineRule="exact"/>
        <w:rPr>
          <w:rFonts w:ascii="Arial" w:cs="Arial" w:eastAsia="Arial" w:hAnsi="Arial"/>
          <w:sz w:val="18"/>
          <w:szCs w:val="18"/>
          <w:color w:val="auto"/>
        </w:rPr>
      </w:pPr>
    </w:p>
    <w:p>
      <w:pPr>
        <w:jc w:val="both"/>
        <w:ind w:firstLine="1505"/>
        <w:spacing w:after="0" w:line="250" w:lineRule="auto"/>
        <w:tabs>
          <w:tab w:leader="none" w:pos="1874"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interest expense attributable to the exercise of appraisal rights and the settlement of any claims or actions (whether actual, contingent or potential) with respect thereto in connection with the Transactions, any acquisition or Investment permitted by this Agreement, and</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1909"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annual agency fees paid to any trustees, administrative agents and collateral agents with respect to any secured or unsecured loans, debt facilities, debentures, bonds, commercial paper facilities or other forms of Indebtedness (including any security or collateral trust arrangements related thereto), including any Senior Notes;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when determining Consolidated Cash Interest Expense in respect of any four-quarter period ending prior to the first anniversary of the Closing Date, Consolidated Cash Interest Expense will be calculated by multiplying the aggregate Consolidated Cash Interest Expense accrued since the Closing Date by 365 and then dividing such product by the number of days from and including the Closing Date to and including the last day of such period and (b) in the case of any Person that became a Restricted Subsidiary of such Person after the commencement of such four-quarter period, the interest expense of such Person paid in cash prior to the date on which it became a Restricted Subsidiary of such Person will be disregarded. For purposes of this definition, interest on Capitalized Lease Obligations will be deemed to accrue at the interest rate reasonably determined by such Person to be the rate of interest implicit in such Capitalized Lease Obligations in accordance with GAAP.</w:t>
      </w:r>
    </w:p>
    <w:p>
      <w:pPr>
        <w:spacing w:after="0" w:line="197" w:lineRule="exact"/>
        <w:rPr>
          <w:sz w:val="20"/>
          <w:szCs w:val="20"/>
          <w:color w:val="auto"/>
        </w:rPr>
      </w:pPr>
    </w:p>
    <w:p>
      <w:pPr>
        <w:jc w:val="both"/>
        <w:ind w:firstLine="802"/>
        <w:spacing w:after="0" w:line="23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Current Assets</w:t>
      </w:r>
      <w:r>
        <w:rPr>
          <w:rFonts w:ascii="Arial" w:cs="Arial" w:eastAsia="Arial" w:hAnsi="Arial"/>
          <w:sz w:val="16"/>
          <w:szCs w:val="16"/>
          <w:color w:val="auto"/>
        </w:rPr>
        <w:t>” means, with respect to any Person and its Restricted Subsidiaries on a consolidated basis, all assets of such Person and its Restricted Subsidiaries on a consolidated basis that, in accordance with GAAP, would be classified as current assets on the balance sheet of a company conducting a business the same as or similar to that of such Person and its Restricted Subsidiaries on a consolidated basis, after deducting appropriate and adequate reserves therefrom in each case in which a reserve is proper in accordance GAAP, but excluding (i) cash, (ii) Cash Equivalents, (iii) Swap Contracts to the extent that the mark-to-market Swap Termination Value would be reflected as an asset on the consolidated balance sheet of such Person, (iv) deferred financing fees, (v) amounts related to current or deferred taxes (but excluding assets held for sale, loans (permitted) to third parties, pension assets, deferred bank fees and derivative financial instruments) (so long as the items described in clauses (iv) and (v) are non</w:t>
      </w:r>
      <w:r>
        <w:rPr>
          <w:rFonts w:ascii="MS PGothic" w:cs="MS PGothic" w:eastAsia="MS PGothic" w:hAnsi="MS PGothic"/>
          <w:sz w:val="16"/>
          <w:szCs w:val="16"/>
          <w:color w:val="auto"/>
        </w:rPr>
        <w:t>‑</w:t>
      </w:r>
      <w:r>
        <w:rPr>
          <w:rFonts w:ascii="Arial" w:cs="Arial" w:eastAsia="Arial" w:hAnsi="Arial"/>
          <w:sz w:val="16"/>
          <w:szCs w:val="16"/>
          <w:color w:val="auto"/>
        </w:rPr>
        <w:t>cash items); (vi) in the event that a Qualified Receivables Factoring or Qualified Receivables Financing is accounted for off balance sheet, (x) gross accounts receivable comprising part of the receivables and other related assets subject to such Qualified Receivables Factoring or Qualified Receivables Financing, as applicable, minus</w:t>
      </w:r>
    </w:p>
    <w:p>
      <w:pPr>
        <w:spacing w:after="0" w:line="179"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collection by such Person against the amounts sold pursuant to clause (x); and (vii)</w:t>
      </w:r>
    </w:p>
    <w:p>
      <w:pPr>
        <w:spacing w:after="0" w:line="183" w:lineRule="exact"/>
        <w:rPr>
          <w:rFonts w:ascii="Arial" w:cs="Arial" w:eastAsia="Arial" w:hAnsi="Arial"/>
          <w:sz w:val="20"/>
          <w:szCs w:val="20"/>
          <w:color w:val="auto"/>
        </w:rPr>
      </w:pPr>
    </w:p>
    <w:p>
      <w:pPr>
        <w:ind w:left="5480"/>
        <w:spacing w:after="0"/>
        <w:rPr>
          <w:rFonts w:ascii="Arial" w:cs="Arial" w:eastAsia="Arial" w:hAnsi="Arial"/>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20"/>
          <w:szCs w:val="20"/>
          <w:color w:val="auto"/>
        </w:rPr>
        <w:t>the effects of adjustments pursuant to GAAP resulting from the application of recapitalization accounting or purchase accounting, as the case may be, in relation to the Transactions or any consummated acquisition.</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Current Liabilities</w:t>
      </w:r>
      <w:r>
        <w:rPr>
          <w:rFonts w:ascii="Arial" w:cs="Arial" w:eastAsia="Arial" w:hAnsi="Arial"/>
          <w:sz w:val="18"/>
          <w:szCs w:val="18"/>
          <w:color w:val="auto"/>
        </w:rPr>
        <w:t>” means, with respect to any Person and its Restricted Subsidiaries on a consolidated basis, all liabilities in accordance with GAAP that would be classified as current liabilities on the consolidated balance sheet of such Person, but excluding (a) the current portion of Indebtedness (including the Swap Termination Value of any Swap Contracts) to the extent reflected as a liability on the consolidated balance sheet of such Person, (b) the current portion of interest, (c) accruals for current or deferred taxes based on income or profits, (d) accruals of any costs or expenses related to restructuring reserves or severance, (e) deferred revenue, (f) escrow account balances, (g) the current portion of pension liabilities, (h) liabilities in respect of unpaid earn-outs, (i) amounts related to derivative financial instruments and assets held for sale, (j) any letter of credit obligations or revolving loans under any revolving credit facility, (k) the current portion of other long-term liabilities and (l) the effects of adjustments pursuant to GAAP resulting from the application of recapitalization accounting or purchase accounting, as the case may be, in relation to the Transactions or any consummated acquisition.</w:t>
      </w:r>
    </w:p>
    <w:p>
      <w:pPr>
        <w:spacing w:after="0" w:line="170" w:lineRule="exact"/>
        <w:rPr>
          <w:sz w:val="20"/>
          <w:szCs w:val="20"/>
          <w:color w:val="auto"/>
        </w:rPr>
      </w:pPr>
    </w:p>
    <w:p>
      <w:pPr>
        <w:jc w:val="both"/>
        <w:ind w:firstLine="7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EBITDA</w:t>
      </w:r>
      <w:r>
        <w:rPr>
          <w:rFonts w:ascii="Arial" w:cs="Arial" w:eastAsia="Arial" w:hAnsi="Arial"/>
          <w:sz w:val="20"/>
          <w:szCs w:val="20"/>
          <w:color w:val="auto"/>
        </w:rPr>
        <w:t>” means, with respect to any Person and its Restricted Subsidiaries on a consolidated basis for any period, the Consolidated Net Income of such Person for such period:</w:t>
      </w:r>
    </w:p>
    <w:p>
      <w:pPr>
        <w:spacing w:after="0" w:line="177" w:lineRule="exact"/>
        <w:rPr>
          <w:sz w:val="20"/>
          <w:szCs w:val="20"/>
          <w:color w:val="auto"/>
        </w:rPr>
      </w:pPr>
    </w:p>
    <w:p>
      <w:pPr>
        <w:ind w:firstLine="1505"/>
        <w:spacing w:after="0" w:line="260" w:lineRule="auto"/>
        <w:tabs>
          <w:tab w:leader="none" w:pos="2002" w:val="left"/>
        </w:tabs>
        <w:numPr>
          <w:ilvl w:val="0"/>
          <w:numId w:val="44"/>
        </w:numPr>
        <w:rPr>
          <w:rFonts w:ascii="Arial" w:cs="Arial" w:eastAsia="Arial" w:hAnsi="Arial"/>
          <w:sz w:val="20"/>
          <w:szCs w:val="20"/>
          <w:color w:val="auto"/>
        </w:rPr>
      </w:pPr>
      <w:r>
        <w:rPr>
          <w:rFonts w:ascii="Arial" w:cs="Arial" w:eastAsia="Arial" w:hAnsi="Arial"/>
          <w:sz w:val="20"/>
          <w:szCs w:val="20"/>
          <w:i w:val="1"/>
          <w:iCs w:val="1"/>
          <w:color w:val="auto"/>
        </w:rPr>
        <w:t>increased</w:t>
      </w:r>
      <w:r>
        <w:rPr>
          <w:rFonts w:ascii="Arial" w:cs="Arial" w:eastAsia="Arial" w:hAnsi="Arial"/>
          <w:sz w:val="20"/>
          <w:szCs w:val="20"/>
          <w:color w:val="auto"/>
        </w:rPr>
        <w:t>, in each case (other than with respect to clauses (k), (l) and (n) below) to the extent deducted and not</w:t>
      </w:r>
      <w:r>
        <w:rPr>
          <w:rFonts w:ascii="Arial" w:cs="Arial" w:eastAsia="Arial" w:hAnsi="Arial"/>
          <w:sz w:val="20"/>
          <w:szCs w:val="20"/>
          <w:i w:val="1"/>
          <w:iCs w:val="1"/>
          <w:color w:val="auto"/>
        </w:rPr>
        <w:t xml:space="preserve"> </w:t>
      </w:r>
      <w:r>
        <w:rPr>
          <w:rFonts w:ascii="Arial" w:cs="Arial" w:eastAsia="Arial" w:hAnsi="Arial"/>
          <w:sz w:val="20"/>
          <w:szCs w:val="20"/>
          <w:color w:val="auto"/>
        </w:rPr>
        <w:t>added back or excluded in calculating such Consolidated Net Income (and in all cases without duplication), by:</w:t>
      </w:r>
    </w:p>
    <w:p>
      <w:pPr>
        <w:spacing w:after="0" w:line="176" w:lineRule="exact"/>
        <w:rPr>
          <w:rFonts w:ascii="Arial" w:cs="Arial" w:eastAsia="Arial" w:hAnsi="Arial"/>
          <w:sz w:val="20"/>
          <w:szCs w:val="20"/>
          <w:color w:val="auto"/>
        </w:rPr>
      </w:pPr>
    </w:p>
    <w:p>
      <w:pPr>
        <w:jc w:val="both"/>
        <w:ind w:firstLine="2254"/>
        <w:spacing w:after="0" w:line="257" w:lineRule="auto"/>
        <w:tabs>
          <w:tab w:leader="none" w:pos="2777"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provision for taxes based on income, profits or capital, including federal, state, franchise, excise, property and similar taxes and foreign withholding taxes paid or accrued, including giving effect to any penalties and interest with respect thereto, and state taxes in lieu of business fees (including business license fees) and payroll tax credits, income tax credits and similar tax credits and including an amount equal to the amount of tax distributions actually made to the holders of Equity Interests of such Person or its Restricted Subsidiaries or any direct or indirect parent of such Person or its Restricted Subsidiaries in respect of such period (in each case, to the extent attributable to the operations of such Person and its Subsidiaries), which shall be included as though such amounts had been paid as income taxes directly by such Person or its Restricted Subsidiaries; </w:t>
      </w:r>
      <w:r>
        <w:rPr>
          <w:rFonts w:ascii="Arial" w:cs="Arial" w:eastAsia="Arial" w:hAnsi="Arial"/>
          <w:sz w:val="19"/>
          <w:szCs w:val="19"/>
          <w:i w:val="1"/>
          <w:iCs w:val="1"/>
          <w:color w:val="auto"/>
        </w:rPr>
        <w:t>plus</w:t>
      </w:r>
    </w:p>
    <w:p>
      <w:pPr>
        <w:spacing w:after="0" w:line="184" w:lineRule="exact"/>
        <w:rPr>
          <w:rFonts w:ascii="Arial" w:cs="Arial" w:eastAsia="Arial" w:hAnsi="Arial"/>
          <w:sz w:val="19"/>
          <w:szCs w:val="19"/>
          <w:color w:val="auto"/>
        </w:rPr>
      </w:pPr>
    </w:p>
    <w:p>
      <w:pPr>
        <w:ind w:left="2780" w:hanging="526"/>
        <w:spacing w:after="0"/>
        <w:tabs>
          <w:tab w:leader="none" w:pos="27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Consolidated Interest Expense;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ind w:firstLine="2254"/>
        <w:spacing w:after="0" w:line="260" w:lineRule="auto"/>
        <w:tabs>
          <w:tab w:leader="none" w:pos="2792"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all depreciation and amortization charges and expenses, including amortization or expense recorded for upfront payments related to any contract signing and signing bonus and incentive payments;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2780" w:hanging="526"/>
        <w:spacing w:after="0"/>
        <w:tabs>
          <w:tab w:leader="none" w:pos="27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[reserved];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ind w:left="2780" w:hanging="526"/>
        <w:spacing w:after="0"/>
        <w:tabs>
          <w:tab w:leader="none" w:pos="27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[reserved];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ind w:firstLine="2254"/>
        <w:spacing w:after="0" w:line="260" w:lineRule="auto"/>
        <w:tabs>
          <w:tab w:leader="none" w:pos="2783"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earn-out obligations incurred in connection with any acquisition or other Investment and paid or accrued during the applicable period, including any mark to market adjustments;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jc w:val="both"/>
        <w:ind w:firstLine="2254"/>
        <w:spacing w:after="0" w:line="291" w:lineRule="auto"/>
        <w:tabs>
          <w:tab w:leader="none" w:pos="277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payments, charges, costs, expenses, accruals or reserves in connection with the rollover, acceleration or payout of equity interests held by any future, present or former director, officer, employee, manager, consultant or independent contractor of the Borrower or any of its Restricted Subsidiaries and all losses, charges and expenses related to payments made to holders of options,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3" w:name="page74"/>
    <w:bookmarkEnd w:id="73"/>
    <w:p>
      <w:pPr>
        <w:jc w:val="both"/>
        <w:spacing w:after="0" w:line="246" w:lineRule="auto"/>
        <w:rPr>
          <w:sz w:val="20"/>
          <w:szCs w:val="20"/>
          <w:color w:val="auto"/>
        </w:rPr>
      </w:pPr>
      <w:r>
        <w:rPr>
          <w:rFonts w:ascii="Arial" w:cs="Arial" w:eastAsia="Arial" w:hAnsi="Arial"/>
          <w:sz w:val="20"/>
          <w:szCs w:val="20"/>
          <w:color w:val="auto"/>
        </w:rPr>
        <w:t xml:space="preserve">cash-settled appreciation rights or other derivative equity interests in the common equity of such Person or any direct or indirect parent of the Borrower in connection with, or as a result of, any distribution being made to equityholders of such Person or any of its direct or indirect parents, which payments are being made to compensate such holders as though they were equityholders at the time of, and entitled to share in, such distribution; </w:t>
      </w:r>
      <w:r>
        <w:rPr>
          <w:rFonts w:ascii="Arial" w:cs="Arial" w:eastAsia="Arial" w:hAnsi="Arial"/>
          <w:sz w:val="20"/>
          <w:szCs w:val="20"/>
          <w:i w:val="1"/>
          <w:iCs w:val="1"/>
          <w:color w:val="auto"/>
        </w:rPr>
        <w:t>plus</w:t>
      </w:r>
    </w:p>
    <w:p>
      <w:pPr>
        <w:spacing w:after="0" w:line="191" w:lineRule="exact"/>
        <w:rPr>
          <w:sz w:val="20"/>
          <w:szCs w:val="20"/>
          <w:color w:val="auto"/>
        </w:rPr>
      </w:pPr>
    </w:p>
    <w:p>
      <w:pPr>
        <w:jc w:val="both"/>
        <w:ind w:firstLine="2254"/>
        <w:spacing w:after="0" w:line="233" w:lineRule="exact"/>
        <w:tabs>
          <w:tab w:leader="none" w:pos="27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losses, charges and expenses, including any write-offs or write-downs;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non</w:t>
      </w:r>
      <w:r>
        <w:rPr>
          <w:rFonts w:ascii="MS PGothic" w:cs="MS PGothic" w:eastAsia="MS PGothic" w:hAnsi="MS PGothic"/>
          <w:sz w:val="18"/>
          <w:szCs w:val="18"/>
          <w:color w:val="auto"/>
        </w:rPr>
        <w:t>‑</w:t>
      </w:r>
      <w:r>
        <w:rPr>
          <w:rFonts w:ascii="Arial" w:cs="Arial" w:eastAsia="Arial" w:hAnsi="Arial"/>
          <w:sz w:val="18"/>
          <w:szCs w:val="18"/>
          <w:color w:val="auto"/>
        </w:rPr>
        <w:t>cash loss, charge or expense represents an accrual or reserve for potential cash items in any future four-fiscal quarter period, (i) such Person may determine not to add back such non</w:t>
      </w:r>
      <w:r>
        <w:rPr>
          <w:rFonts w:ascii="MS PGothic" w:cs="MS PGothic" w:eastAsia="MS PGothic" w:hAnsi="MS PGothic"/>
          <w:sz w:val="18"/>
          <w:szCs w:val="18"/>
          <w:color w:val="auto"/>
        </w:rPr>
        <w:t>‑</w:t>
      </w:r>
      <w:r>
        <w:rPr>
          <w:rFonts w:ascii="Arial" w:cs="Arial" w:eastAsia="Arial" w:hAnsi="Arial"/>
          <w:sz w:val="18"/>
          <w:szCs w:val="18"/>
          <w:color w:val="auto"/>
        </w:rPr>
        <w:t>cash loss, charge or expense in the period for which Consolidated EBITDA is being calculated and (ii) to the extent such Person does decide to add back such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loss, charge or expense, the cash payment in respect thereof in such future four-fiscal quarter period will be subtracted from Consolidated EBITDA for such future four-fiscal quarter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2780" w:hanging="526"/>
        <w:spacing w:after="0"/>
        <w:tabs>
          <w:tab w:leader="none" w:pos="2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[reserved];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jc w:val="both"/>
        <w:ind w:firstLine="2254"/>
        <w:spacing w:after="0" w:line="257" w:lineRule="auto"/>
        <w:tabs>
          <w:tab w:leader="none" w:pos="2779"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restructuring charges, accruals or reserves and business optimization expense, including any restructuring costs and integration costs incurred in connection with the Transactions and any other acquisitions, start-up costs (including entry into new market/channels and new service offerings), costs related to the closure, relocation, reconfiguration and/or consolidation of facilities and costs to relocate employees, integration and transaction costs, retention charges, severance, contract termination costs, recruiting and signing bonuses and expenses, future lease commitments, systems establishment costs, systems, facilities or equipment conversion costs, excess pension charges and consulting fees, expenses attributable to the implementation of costs savings initiatives, costs associated with tax projects/audits, expenses relating to any decommissioning or reconfiguration of fixed assets for alternative uses and costs consisting of professional consulting or other fees relating to any of the foregoing; </w:t>
      </w:r>
      <w:r>
        <w:rPr>
          <w:rFonts w:ascii="Arial" w:cs="Arial" w:eastAsia="Arial" w:hAnsi="Arial"/>
          <w:sz w:val="19"/>
          <w:szCs w:val="19"/>
          <w:i w:val="1"/>
          <w:iCs w:val="1"/>
          <w:color w:val="auto"/>
        </w:rPr>
        <w:t>plus</w:t>
      </w:r>
    </w:p>
    <w:p>
      <w:pPr>
        <w:spacing w:after="0" w:line="180" w:lineRule="exact"/>
        <w:rPr>
          <w:rFonts w:ascii="Arial" w:cs="Arial" w:eastAsia="Arial" w:hAnsi="Arial"/>
          <w:sz w:val="19"/>
          <w:szCs w:val="19"/>
          <w:color w:val="auto"/>
        </w:rPr>
      </w:pPr>
    </w:p>
    <w:p>
      <w:pPr>
        <w:ind w:left="2780" w:hanging="526"/>
        <w:spacing w:after="0"/>
        <w:tabs>
          <w:tab w:leader="none" w:pos="2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Pro Forma Cost Savings; </w:t>
      </w:r>
      <w:r>
        <w:rPr>
          <w:rFonts w:ascii="Arial" w:cs="Arial" w:eastAsia="Arial" w:hAnsi="Arial"/>
          <w:sz w:val="20"/>
          <w:szCs w:val="20"/>
          <w:i w:val="1"/>
          <w:iCs w:val="1"/>
          <w:color w:val="auto"/>
        </w:rPr>
        <w:t>plus</w:t>
      </w:r>
    </w:p>
    <w:p>
      <w:pPr>
        <w:spacing w:after="0" w:line="215" w:lineRule="exact"/>
        <w:rPr>
          <w:rFonts w:ascii="Arial" w:cs="Arial" w:eastAsia="Arial" w:hAnsi="Arial"/>
          <w:sz w:val="20"/>
          <w:szCs w:val="20"/>
          <w:color w:val="auto"/>
        </w:rPr>
      </w:pPr>
    </w:p>
    <w:p>
      <w:pPr>
        <w:jc w:val="both"/>
        <w:ind w:firstLine="2254"/>
        <w:spacing w:after="0" w:line="246" w:lineRule="auto"/>
        <w:tabs>
          <w:tab w:leader="none" w:pos="2786"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all adjustments identified in the confidential information memorandum dated January 2019 to the extent such adjustments, without duplication, continue to be applicable to the Reference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adjustments that consist of reductions in costs and other operating improvements or synergies shall be calculated in accordance with, and satisfy the requirements specified in, the definition of “Pro Forma Basis”; </w:t>
      </w:r>
      <w:r>
        <w:rPr>
          <w:rFonts w:ascii="Arial" w:cs="Arial" w:eastAsia="Arial" w:hAnsi="Arial"/>
          <w:sz w:val="20"/>
          <w:szCs w:val="20"/>
          <w:i w:val="1"/>
          <w:iCs w:val="1"/>
          <w:color w:val="auto"/>
        </w:rPr>
        <w:t>plus</w:t>
      </w:r>
    </w:p>
    <w:p>
      <w:pPr>
        <w:spacing w:after="0" w:line="191" w:lineRule="exact"/>
        <w:rPr>
          <w:rFonts w:ascii="Arial" w:cs="Arial" w:eastAsia="Arial" w:hAnsi="Arial"/>
          <w:sz w:val="20"/>
          <w:szCs w:val="20"/>
          <w:color w:val="auto"/>
        </w:rPr>
      </w:pPr>
    </w:p>
    <w:p>
      <w:pPr>
        <w:ind w:firstLine="2254"/>
        <w:spacing w:after="0" w:line="260" w:lineRule="auto"/>
        <w:tabs>
          <w:tab w:leader="none" w:pos="2786"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the amount of loss or discount on sale of receivables and related assets to the Receivables Subsidiary in connection with a Receivables Financing;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jc w:val="both"/>
        <w:ind w:firstLine="2254"/>
        <w:spacing w:after="0" w:line="282" w:lineRule="auto"/>
        <w:tabs>
          <w:tab w:leader="none" w:pos="28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with respect to any joint venture of such Person or any Restricted Subsidiary thereof that is not a Restricted Subsidiary, an amount equal to the proportion of those items described in clauses (a), (b) and (c) above relating to such joint venture corresponding to such Person’s and the Restricted Subsidiaries’ proportionate share of such joint venture’s Consolidated Net Income (determined as if such joint venture were a Restricted Subsidiary) solely to the extent Consolidated Net Income was reduced thereby; </w:t>
      </w:r>
      <w:r>
        <w:rPr>
          <w:rFonts w:ascii="Arial" w:cs="Arial" w:eastAsia="Arial" w:hAnsi="Arial"/>
          <w:sz w:val="18"/>
          <w:szCs w:val="18"/>
          <w:i w:val="1"/>
          <w:iCs w:val="1"/>
          <w:color w:val="auto"/>
        </w:rPr>
        <w:t>plus</w:t>
      </w:r>
    </w:p>
    <w:p>
      <w:pPr>
        <w:spacing w:after="0" w:line="161" w:lineRule="exact"/>
        <w:rPr>
          <w:rFonts w:ascii="Arial" w:cs="Arial" w:eastAsia="Arial" w:hAnsi="Arial"/>
          <w:sz w:val="18"/>
          <w:szCs w:val="18"/>
          <w:color w:val="auto"/>
        </w:rPr>
      </w:pPr>
    </w:p>
    <w:p>
      <w:pPr>
        <w:jc w:val="both"/>
        <w:ind w:firstLine="2254"/>
        <w:spacing w:after="0" w:line="250" w:lineRule="auto"/>
        <w:tabs>
          <w:tab w:leader="none" w:pos="2852"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charges (including interest expense) consisting of income attributable to minority interests and noncontrolling interests of third parties in any non-Wholly Owned Restricted Subsidiary, excluding cash distributions in respect thereof, and the amount of any reductions in arriving at Consolidated Net Income resulting from the application of GAAP;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4" w:name="page75"/>
    <w:bookmarkEnd w:id="74"/>
    <w:p>
      <w:pPr>
        <w:jc w:val="both"/>
        <w:ind w:firstLine="1505"/>
        <w:spacing w:after="0" w:line="233" w:lineRule="exact"/>
        <w:tabs>
          <w:tab w:leader="none" w:pos="202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decreased </w:t>
      </w:r>
      <w:r>
        <w:rPr>
          <w:rFonts w:ascii="Arial" w:cs="Arial" w:eastAsia="Arial" w:hAnsi="Arial"/>
          <w:sz w:val="18"/>
          <w:szCs w:val="18"/>
          <w:color w:val="auto"/>
        </w:rPr>
        <w:t>(without duplication and to the extent increasing Consolidated Net Income for such period) by (i)</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gains or income, excluding any non</w:t>
      </w:r>
      <w:r>
        <w:rPr>
          <w:rFonts w:ascii="MS PGothic" w:cs="MS PGothic" w:eastAsia="MS PGothic" w:hAnsi="MS PGothic"/>
          <w:sz w:val="18"/>
          <w:szCs w:val="18"/>
          <w:color w:val="auto"/>
        </w:rPr>
        <w:t>‑</w:t>
      </w:r>
      <w:r>
        <w:rPr>
          <w:rFonts w:ascii="Arial" w:cs="Arial" w:eastAsia="Arial" w:hAnsi="Arial"/>
          <w:sz w:val="18"/>
          <w:szCs w:val="18"/>
          <w:color w:val="auto"/>
        </w:rPr>
        <w:t>cash gains that represent the reversal of any accrual of, or cash reserve for, anticipated cash charges that were deducted (and not added back) in the calculation of Consolidated EBITDA for any prior period ending after the Closing Date and (ii) the amount of any minority interest income consisting of a Subsidiary loss attributable to minority equity interest of third parties in any non</w:t>
      </w:r>
      <w:r>
        <w:rPr>
          <w:rFonts w:ascii="MS PGothic" w:cs="MS PGothic" w:eastAsia="MS PGothic" w:hAnsi="MS PGothic"/>
          <w:sz w:val="18"/>
          <w:szCs w:val="18"/>
          <w:color w:val="auto"/>
        </w:rPr>
        <w:t>‑</w:t>
      </w:r>
      <w:r>
        <w:rPr>
          <w:rFonts w:ascii="Arial" w:cs="Arial" w:eastAsia="Arial" w:hAnsi="Arial"/>
          <w:sz w:val="18"/>
          <w:szCs w:val="18"/>
          <w:color w:val="auto"/>
        </w:rPr>
        <w:t>Wholly Owned Subsidiary (to the extent not deducted from Consolidated Net Income for such period);</w:t>
      </w:r>
    </w:p>
    <w:p>
      <w:pPr>
        <w:spacing w:after="0" w:line="199" w:lineRule="exact"/>
        <w:rPr>
          <w:rFonts w:ascii="Arial" w:cs="Arial" w:eastAsia="Arial" w:hAnsi="Arial"/>
          <w:sz w:val="18"/>
          <w:szCs w:val="18"/>
          <w:color w:val="auto"/>
        </w:rPr>
      </w:pPr>
    </w:p>
    <w:p>
      <w:pPr>
        <w:jc w:val="both"/>
        <w:ind w:firstLine="1505"/>
        <w:spacing w:after="0" w:line="243" w:lineRule="auto"/>
        <w:tabs>
          <w:tab w:leader="none" w:pos="1982" w:val="left"/>
        </w:tabs>
        <w:numPr>
          <w:ilvl w:val="0"/>
          <w:numId w:val="46"/>
        </w:numPr>
        <w:rPr>
          <w:rFonts w:ascii="Arial" w:cs="Arial" w:eastAsia="Arial" w:hAnsi="Arial"/>
          <w:sz w:val="20"/>
          <w:szCs w:val="20"/>
          <w:color w:val="auto"/>
        </w:rPr>
      </w:pPr>
      <w:r>
        <w:rPr>
          <w:rFonts w:ascii="Arial" w:cs="Arial" w:eastAsia="Arial" w:hAnsi="Arial"/>
          <w:sz w:val="20"/>
          <w:szCs w:val="20"/>
          <w:i w:val="1"/>
          <w:iCs w:val="1"/>
          <w:color w:val="auto"/>
        </w:rPr>
        <w:t xml:space="preserve">increased </w:t>
      </w:r>
      <w:r>
        <w:rPr>
          <w:rFonts w:ascii="Arial" w:cs="Arial" w:eastAsia="Arial" w:hAnsi="Arial"/>
          <w:sz w:val="20"/>
          <w:szCs w:val="20"/>
          <w:color w:val="auto"/>
        </w:rPr>
        <w:t>(with respect to losses) or</w:t>
      </w:r>
      <w:r>
        <w:rPr>
          <w:rFonts w:ascii="Arial" w:cs="Arial" w:eastAsia="Arial" w:hAnsi="Arial"/>
          <w:sz w:val="20"/>
          <w:szCs w:val="20"/>
          <w:i w:val="1"/>
          <w:iCs w:val="1"/>
          <w:color w:val="auto"/>
        </w:rPr>
        <w:t xml:space="preserve"> decreased </w:t>
      </w:r>
      <w:r>
        <w:rPr>
          <w:rFonts w:ascii="Arial" w:cs="Arial" w:eastAsia="Arial" w:hAnsi="Arial"/>
          <w:sz w:val="20"/>
          <w:szCs w:val="20"/>
          <w:color w:val="auto"/>
        </w:rPr>
        <w:t>(with respect to gains) by, without duplication, any net realized gains</w:t>
      </w:r>
      <w:r>
        <w:rPr>
          <w:rFonts w:ascii="Arial" w:cs="Arial" w:eastAsia="Arial" w:hAnsi="Arial"/>
          <w:sz w:val="20"/>
          <w:szCs w:val="20"/>
          <w:i w:val="1"/>
          <w:iCs w:val="1"/>
          <w:color w:val="auto"/>
        </w:rPr>
        <w:t xml:space="preserve"> </w:t>
      </w:r>
      <w:r>
        <w:rPr>
          <w:rFonts w:ascii="Arial" w:cs="Arial" w:eastAsia="Arial" w:hAnsi="Arial"/>
          <w:sz w:val="20"/>
          <w:szCs w:val="20"/>
          <w:color w:val="auto"/>
        </w:rPr>
        <w:t>and losses relating to (i) amounts denominated in foreign currencies resulting from the application of Financial Accounting Standards Board’s Accounting Standards Codification 830 (including net realized gains and losses from exchange rate fluctuations on intercompany balances and balance sheet items, net of realized gains or losses from related Swap Contracts (entered into in the ordinary course of business or consistent with past practice)) or (ii) any other amounts denominated in or otherwise trued-up to provide similar accounting as if it were denominated in foreign currencies; and</w:t>
      </w:r>
    </w:p>
    <w:p>
      <w:pPr>
        <w:spacing w:after="0" w:line="195" w:lineRule="exact"/>
        <w:rPr>
          <w:rFonts w:ascii="Arial" w:cs="Arial" w:eastAsia="Arial" w:hAnsi="Arial"/>
          <w:sz w:val="20"/>
          <w:szCs w:val="20"/>
          <w:color w:val="auto"/>
        </w:rPr>
      </w:pPr>
    </w:p>
    <w:p>
      <w:pPr>
        <w:ind w:firstLine="1505"/>
        <w:spacing w:after="0" w:line="316" w:lineRule="auto"/>
        <w:tabs>
          <w:tab w:leader="none" w:pos="200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increased </w:t>
      </w:r>
      <w:r>
        <w:rPr>
          <w:rFonts w:ascii="Arial" w:cs="Arial" w:eastAsia="Arial" w:hAnsi="Arial"/>
          <w:sz w:val="18"/>
          <w:szCs w:val="18"/>
          <w:color w:val="auto"/>
        </w:rPr>
        <w:t>(with respect to losses) or</w:t>
      </w:r>
      <w:r>
        <w:rPr>
          <w:rFonts w:ascii="Arial" w:cs="Arial" w:eastAsia="Arial" w:hAnsi="Arial"/>
          <w:sz w:val="18"/>
          <w:szCs w:val="18"/>
          <w:i w:val="1"/>
          <w:iCs w:val="1"/>
          <w:color w:val="auto"/>
        </w:rPr>
        <w:t xml:space="preserve"> decreased </w:t>
      </w:r>
      <w:r>
        <w:rPr>
          <w:rFonts w:ascii="Arial" w:cs="Arial" w:eastAsia="Arial" w:hAnsi="Arial"/>
          <w:sz w:val="18"/>
          <w:szCs w:val="18"/>
          <w:color w:val="auto"/>
        </w:rPr>
        <w:t>(with respect to gains) by, without duplication, any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Swap Contracts (excluding Swap Contracts entered into in the ordinary course of business or consistent with past practice);</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the Borrower may, in its sole discretion, elect to not make any adjustment for any item pursuant to the foregoing clauses (1) through (4) above if any such item individually is less than $2,000,000 in any fiscal quarter.</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Notwithstanding the foregoing, Consolidated EBITDA for the fiscal quarters ended March 31, 2018, June 30, 2018, September 30, 2018 and December 31, 2018 (excluding Pro Forma Cost Savings) shall be $431,870,000, $491,795,000, $438,753,000 and $405,388,000, respectively.</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First Lien Net Leverage Ratio</w:t>
      </w:r>
      <w:r>
        <w:rPr>
          <w:rFonts w:ascii="Arial" w:cs="Arial" w:eastAsia="Arial" w:hAnsi="Arial"/>
          <w:sz w:val="20"/>
          <w:szCs w:val="20"/>
          <w:color w:val="auto"/>
        </w:rPr>
        <w:t>” means, as of any date of determination, with respect to the Borrower and its Restricted Subsidiaries on a consolidated basis, the ratio of (a) Consolidated Funded First Lien Indebtedness (less the amount of unrestricted cash and unrestricted Cash Equivalents of the Borrower and its Restricted Subsidiaries as of such date) of the Borrower and its Restricted Subsidiaries on such date to (b) Consolidated EBITDA of the Borrower and its Restricted Subsidiaries for the most recent Test Period, in each case on a Pro Forma Basis.</w:t>
      </w:r>
    </w:p>
    <w:p>
      <w:pPr>
        <w:spacing w:after="0" w:line="19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Funded First Lien Indebtedness</w:t>
      </w:r>
      <w:r>
        <w:rPr>
          <w:rFonts w:ascii="Arial" w:cs="Arial" w:eastAsia="Arial" w:hAnsi="Arial"/>
          <w:sz w:val="20"/>
          <w:szCs w:val="20"/>
          <w:color w:val="auto"/>
        </w:rPr>
        <w:t>” means Consolidated Funded Indebtedness that is secured by a Lien on the Collateral on an equivalent priority basis (but, in each case, without regard to the control of remedies) with the Liens on the Collateral securing the Obligations and Consolidated Funded Indebtedness under the ABL Credit Agreement. For the avoidance of doubt, Consolidated Funded First Lien Indebtedness shall not include Capitalized Lease Obligations other than those that are secured on an equal priority basis with the Liens on the Collateral securing the Obligations.</w:t>
      </w:r>
    </w:p>
    <w:p>
      <w:pPr>
        <w:spacing w:after="0" w:line="19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Funded Indebtedness</w:t>
      </w:r>
      <w:r>
        <w:rPr>
          <w:rFonts w:ascii="Arial" w:cs="Arial" w:eastAsia="Arial" w:hAnsi="Arial"/>
          <w:sz w:val="18"/>
          <w:szCs w:val="18"/>
          <w:color w:val="auto"/>
        </w:rPr>
        <w:t>” means all Indebtedness of the type described in clauses (a)(i), (a)(ii) (but excluding surety bonds, performance bonds or other similar instruments), (a)(iv) (but solely in respect of the amount of outstanding Indebtedness of the type described in (a)(iv) that in the aggregate is in excess of $20,000,000) and clause (b) (in respect of Indebtedness of the type described in clauses (a)(i), (a)(ii) (but excluding Indebtedness constituting surety bonds, performance bonds or other similar instruments) and (a)(iv) (but solely in respect of the amount of Indebtedness of the type described in (a)(iv) that in the aggregate is in excess of $20,000,000)) of the definition of “Indebtedness”, of a Person and its Restricted Subsidiaries on a consolidated basis, in an amount that would be reflected on a balance sheet prepared as of such date on a consolidated basis in accordance with GAAP (but (x) excluding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5" w:name="page76"/>
    <w:bookmarkEnd w:id="75"/>
    <w:p>
      <w:pPr>
        <w:jc w:val="both"/>
        <w:spacing w:after="0" w:line="276" w:lineRule="auto"/>
        <w:rPr>
          <w:sz w:val="20"/>
          <w:szCs w:val="20"/>
          <w:color w:val="auto"/>
        </w:rPr>
      </w:pPr>
      <w:r>
        <w:rPr>
          <w:rFonts w:ascii="Arial" w:cs="Arial" w:eastAsia="Arial" w:hAnsi="Arial"/>
          <w:sz w:val="18"/>
          <w:szCs w:val="18"/>
          <w:color w:val="auto"/>
        </w:rPr>
        <w:t>effects of any discounting of Indebtedness resulting from the application of purchase accounting in connection with the Transactions or any acquisition, and (y) any Indebtedness that is issued at a discount to its initial principal amount shall be calculated based on the entire stated principal amount thereof, without giving effect to any discounts or upfront payments), excluding obligations in respect of letters of credit, bank guarantees and guarantees on first demand, in each case, except to the extent of unreimbursed amounts thereunder. For the avoidance of doubt, it is understood that obligations (i) under Swap Contracts, Cash Management Services, and any Receivables Financing or Factoring Transaction or (ii) owed by Unrestricted Subsidiaries, do not constitute Consolidated Funded Indebtedness.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Funded Senior Secured Indebtedness</w:t>
      </w:r>
      <w:r>
        <w:rPr>
          <w:rFonts w:ascii="Arial" w:cs="Arial" w:eastAsia="Arial" w:hAnsi="Arial"/>
          <w:sz w:val="20"/>
          <w:szCs w:val="20"/>
          <w:color w:val="auto"/>
        </w:rPr>
        <w:t>” means Consolidated Funded Indebtedness that is secured by a Lien on the Collateral; provided that such Consolidated Funded Indebtedness is not expressly subordinated in right of payment to the Obligations pursuant to a written agreement.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Interest Expense</w:t>
      </w:r>
      <w:r>
        <w:rPr>
          <w:rFonts w:ascii="Arial" w:cs="Arial" w:eastAsia="Arial" w:hAnsi="Arial"/>
          <w:sz w:val="20"/>
          <w:szCs w:val="20"/>
          <w:color w:val="auto"/>
        </w:rPr>
        <w:t>” means, with respect to any Person for any period, the sum, without duplication, of:</w:t>
      </w:r>
    </w:p>
    <w:p>
      <w:pPr>
        <w:spacing w:after="0" w:line="216" w:lineRule="exact"/>
        <w:rPr>
          <w:sz w:val="20"/>
          <w:szCs w:val="20"/>
          <w:color w:val="auto"/>
        </w:rPr>
      </w:pPr>
    </w:p>
    <w:p>
      <w:pPr>
        <w:jc w:val="both"/>
        <w:ind w:left="380" w:firstLine="2"/>
        <w:spacing w:after="0" w:line="271" w:lineRule="auto"/>
        <w:tabs>
          <w:tab w:leader="none" w:pos="7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aggregate interest expense of such Person and its Restricted Subsidiaries for such period, calculated on a consolidated basis in accordance with GAAP, to the extent such expense was deducted (and not added back) in computing Consolidated Net Income (including pay in kind interest payments, amortization of original issue discount, the interest component of Capitalized Lease Obligations and net payments and receipts (if any) pursuant to interest rate Swap Contracts (other than in connection with the early termination thereof) but excluding any non-cash interest expense attributable to the movement in the mark-to-market valuation of Indebtedness, Swap Contracts or other derivative instruments, all amortization and write-offs of deferred financing fees, debt issuance costs, commissions, discounts, fees and expenses and expensing of any bridge, commitment or other financing fees, costs of surety bonds, charges owed with respect to letters of credit, bankers’ acceptances or similar facilities, all discounts, commissions, fees and other charges associated with any Receivables Financing or Factoring Transaction, and any expense resulting from the discounting of Indebtedness in connection with the application of recapitalization or purchase accounting); </w:t>
      </w:r>
      <w:r>
        <w:rPr>
          <w:rFonts w:ascii="Arial" w:cs="Arial" w:eastAsia="Arial" w:hAnsi="Arial"/>
          <w:sz w:val="18"/>
          <w:szCs w:val="18"/>
          <w:i w:val="1"/>
          <w:iCs w:val="1"/>
          <w:color w:val="auto"/>
        </w:rPr>
        <w:t>plus</w:t>
      </w:r>
    </w:p>
    <w:p>
      <w:pPr>
        <w:spacing w:after="0" w:line="65" w:lineRule="exact"/>
        <w:rPr>
          <w:rFonts w:ascii="Arial" w:cs="Arial" w:eastAsia="Arial" w:hAnsi="Arial"/>
          <w:sz w:val="18"/>
          <w:szCs w:val="18"/>
          <w:color w:val="auto"/>
        </w:rPr>
      </w:pPr>
    </w:p>
    <w:p>
      <w:pPr>
        <w:ind w:left="2020" w:hanging="515"/>
        <w:spacing w:after="0"/>
        <w:tabs>
          <w:tab w:leader="none" w:pos="2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consolidated capitalized interest of such Person and its Restricted Subsidiaries for such period, whether paid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accrued; </w:t>
      </w:r>
      <w:r>
        <w:rPr>
          <w:rFonts w:ascii="Arial" w:cs="Arial" w:eastAsia="Arial" w:hAnsi="Arial"/>
          <w:sz w:val="20"/>
          <w:szCs w:val="20"/>
          <w:i w:val="1"/>
          <w:iCs w:val="1"/>
          <w:color w:val="auto"/>
        </w:rPr>
        <w:t>less</w:t>
      </w:r>
    </w:p>
    <w:p>
      <w:pPr>
        <w:spacing w:after="0" w:line="200"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 xml:space="preserve">interest income of the referent Person and its Restricted Subsidiaries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when determining Consolidated Interest Expense in respect of any four-quarter period ending prior to the first anniversary of the Closing Date, Consolidated Interest Expense will be calculated by multiplying the aggregate Consolidated Interest Expense accrued since the Closing Date by 365 and then dividing such product by the number of days from and including the Closing Date to and including the last day of such period and (b) in the case of any Person that became a Restricted Subsidiary of such Person after the commencement of such four-quarter period, the interest expense of such Person paid in cash prior to the date on which it became a Restricted Subsidiary of such Person will be disregarded. For purposes of this definition, interest on Capitalized Lease Obligations will be deemed to accrue at the interest rate reasonably determined by such Person to be the rate of interest implicit in such Capitalized Lease Obligations in accordance with GAAP.</w:t>
      </w:r>
    </w:p>
    <w:p>
      <w:pPr>
        <w:spacing w:after="0" w:line="168" w:lineRule="exact"/>
        <w:rPr>
          <w:sz w:val="20"/>
          <w:szCs w:val="20"/>
          <w:color w:val="auto"/>
        </w:rPr>
      </w:pPr>
    </w:p>
    <w:p>
      <w:pPr>
        <w:jc w:val="both"/>
        <w:ind w:firstLine="80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Net Income</w:t>
      </w:r>
      <w:r>
        <w:rPr>
          <w:rFonts w:ascii="Arial" w:cs="Arial" w:eastAsia="Arial" w:hAnsi="Arial"/>
          <w:sz w:val="20"/>
          <w:szCs w:val="20"/>
          <w:color w:val="auto"/>
        </w:rPr>
        <w:t xml:space="preserve">” means, with respect to any Person for any period, the aggregate of the net income (or loss) of such Person and its Restricted Subsidiaries for such period, calculated on a consolidated basis in accordance with GAAP and before any reduction in respect of Preferred Stock dividends;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(without duplication):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6" w:name="page77"/>
    <w:bookmarkEnd w:id="76"/>
    <w:p>
      <w:pPr>
        <w:jc w:val="both"/>
        <w:ind w:firstLine="1505"/>
        <w:spacing w:after="0" w:line="272" w:lineRule="auto"/>
        <w:tabs>
          <w:tab w:leader="none" w:pos="19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net after-tax extraordinary, nonrecurring, exceptional or unusual gains, losses, income, expenses and charges in each case as determined in good faith by such Person, and in any event including, without limitation, all restructuring, severance, relocation, retention and completion bonuses or payments, consolidation, integration or other similar charges and expenses, contract termination costs, system establishment charges, conversion costs, start-up or closure or transition costs, expenses related to any reconstruction, decommissioning, recommissioning or reconfiguration of fixed assets for alternative uses, fees, expenses or charges relating to curtailments, settlements or modifications to pension and post-retirement employee benefit plans in connection with the Transactions or any acquisition or Permitted Investment, expenses associated with strategic initiatives, facilities shutdown and opening costs, and any fees, expenses, charges or change in control payments related to the Transactions or any acquisition or Permitted Investment (including any transition-related expenses (including retention or transaction-related bonuses or payments) incurred before, on or after the Closing Date), will be excluded;</w:t>
      </w:r>
    </w:p>
    <w:p>
      <w:pPr>
        <w:spacing w:after="0" w:line="170" w:lineRule="exact"/>
        <w:rPr>
          <w:rFonts w:ascii="Arial" w:cs="Arial" w:eastAsia="Arial" w:hAnsi="Arial"/>
          <w:sz w:val="18"/>
          <w:szCs w:val="18"/>
          <w:color w:val="auto"/>
        </w:rPr>
      </w:pPr>
    </w:p>
    <w:p>
      <w:pPr>
        <w:jc w:val="both"/>
        <w:ind w:firstLine="1505"/>
        <w:spacing w:after="0" w:line="269" w:lineRule="auto"/>
        <w:tabs>
          <w:tab w:leader="none" w:pos="2022"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(i) charges and expenses relating to the Transactions, (ii) transaction fees, costs and expenses incurred in connection with any contemplated equity issuances, investments, acquisitions, dispositions, recapitalizations, mergers, amalgamations, Divisions, option buyouts and the Incurrence, modification or repayment of Indebtedness permitted to be Incurred under this Agreement (including any Refinancing Indebtedness in respect thereof) and the ABL Credit Agreement or any amendments, waivers or other modifications under the agreements relating to such Indebtedness or similar transactions (in each case, whether or not consummated), and</w:t>
      </w:r>
    </w:p>
    <w:p>
      <w:pPr>
        <w:spacing w:after="0" w:line="3" w:lineRule="exact"/>
        <w:rPr>
          <w:rFonts w:ascii="Arial" w:cs="Arial" w:eastAsia="Arial" w:hAnsi="Arial"/>
          <w:sz w:val="18"/>
          <w:szCs w:val="18"/>
          <w:color w:val="auto"/>
        </w:rPr>
      </w:pPr>
    </w:p>
    <w:p>
      <w:pPr>
        <w:ind w:firstLine="8"/>
        <w:spacing w:after="0" w:line="232" w:lineRule="exact"/>
        <w:tabs>
          <w:tab w:leader="none" w:pos="351" w:val="left"/>
        </w:tabs>
        <w:numPr>
          <w:ilvl w:val="0"/>
          <w:numId w:val="49"/>
        </w:numPr>
        <w:rPr>
          <w:rFonts w:ascii="Arial" w:cs="Arial" w:eastAsia="Arial" w:hAnsi="Arial"/>
          <w:sz w:val="20"/>
          <w:szCs w:val="20"/>
          <w:color w:val="auto"/>
        </w:rPr>
      </w:pPr>
      <w:r>
        <w:rPr>
          <w:rFonts w:ascii="Arial" w:cs="Arial" w:eastAsia="Arial" w:hAnsi="Arial"/>
          <w:sz w:val="20"/>
          <w:szCs w:val="20"/>
          <w:color w:val="auto"/>
        </w:rPr>
        <w:t>without duplication of any of the foregoing, non</w:t>
      </w:r>
      <w:r>
        <w:rPr>
          <w:rFonts w:ascii="MS PGothic" w:cs="MS PGothic" w:eastAsia="MS PGothic" w:hAnsi="MS PGothic"/>
          <w:sz w:val="20"/>
          <w:szCs w:val="20"/>
          <w:color w:val="auto"/>
        </w:rPr>
        <w:t>‑</w:t>
      </w:r>
      <w:r>
        <w:rPr>
          <w:rFonts w:ascii="Arial" w:cs="Arial" w:eastAsia="Arial" w:hAnsi="Arial"/>
          <w:sz w:val="20"/>
          <w:szCs w:val="20"/>
          <w:color w:val="auto"/>
        </w:rPr>
        <w:t>operating or non</w:t>
      </w:r>
      <w:r>
        <w:rPr>
          <w:rFonts w:ascii="MS PGothic" w:cs="MS PGothic" w:eastAsia="MS PGothic" w:hAnsi="MS PGothic"/>
          <w:sz w:val="20"/>
          <w:szCs w:val="20"/>
          <w:color w:val="auto"/>
        </w:rPr>
        <w:t>‑</w:t>
      </w:r>
      <w:r>
        <w:rPr>
          <w:rFonts w:ascii="Arial" w:cs="Arial" w:eastAsia="Arial" w:hAnsi="Arial"/>
          <w:sz w:val="20"/>
          <w:szCs w:val="20"/>
          <w:color w:val="auto"/>
        </w:rPr>
        <w:t>recurring professional fees, costs and expenses for such period will be excluded;</w:t>
      </w:r>
    </w:p>
    <w:p>
      <w:pPr>
        <w:spacing w:after="0" w:line="195" w:lineRule="exact"/>
        <w:rPr>
          <w:rFonts w:ascii="Arial" w:cs="Arial" w:eastAsia="Arial" w:hAnsi="Arial"/>
          <w:sz w:val="20"/>
          <w:szCs w:val="20"/>
          <w:color w:val="auto"/>
        </w:rPr>
      </w:pPr>
    </w:p>
    <w:p>
      <w:pPr>
        <w:jc w:val="both"/>
        <w:ind w:firstLine="1505"/>
        <w:spacing w:after="0" w:line="250" w:lineRule="auto"/>
        <w:tabs>
          <w:tab w:leader="none" w:pos="2004"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net after-tax income, loss, expense or charge from abandoned, closed or discontinued operations and any net after-tax gain or loss on the disposal of abandoned, closed or discontinued operations (and all related expenses) other than in the ordinary course of business (as determined in good faith by such Person) will be excluded;</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1994"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net after-tax gain, loss, expense or charge attributable to business dispositions and asset dispositions, including the sale or other disposition of any Equity Interests of any Person, other than in the ordinary course of business (as determined in good faith by such Person), will be excluded;</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1987"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net after-tax income, loss, expense or charge attributable to the early extinguishment, conversion or cancellation of Indebtedness, Swap Contracts or other derivative instruments (including deferred financing costs written off and premiums paid) will be excluded;</w:t>
      </w:r>
    </w:p>
    <w:p>
      <w:pPr>
        <w:spacing w:after="0" w:line="185" w:lineRule="exact"/>
        <w:rPr>
          <w:rFonts w:ascii="Arial" w:cs="Arial" w:eastAsia="Arial" w:hAnsi="Arial"/>
          <w:sz w:val="20"/>
          <w:szCs w:val="20"/>
          <w:color w:val="auto"/>
        </w:rPr>
      </w:pPr>
    </w:p>
    <w:p>
      <w:pPr>
        <w:ind w:firstLine="1505"/>
        <w:spacing w:after="0" w:line="240" w:lineRule="exact"/>
        <w:tabs>
          <w:tab w:leader="none" w:pos="2007"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non</w:t>
      </w:r>
      <w:r>
        <w:rPr>
          <w:rFonts w:ascii="MS PGothic" w:cs="MS PGothic" w:eastAsia="MS PGothic" w:hAnsi="MS PGothic"/>
          <w:sz w:val="20"/>
          <w:szCs w:val="20"/>
          <w:color w:val="auto"/>
        </w:rPr>
        <w:t>‑</w:t>
      </w:r>
      <w:r>
        <w:rPr>
          <w:rFonts w:ascii="Arial" w:cs="Arial" w:eastAsia="Arial" w:hAnsi="Arial"/>
          <w:sz w:val="20"/>
          <w:szCs w:val="20"/>
          <w:color w:val="auto"/>
        </w:rPr>
        <w:t>cash gains, losses, expenses or charges attributable to the movement in the mark-to-market valuation of Indebtedness, Swap Contracts or other derivative instruments will be excluded;</w:t>
      </w:r>
    </w:p>
    <w:p>
      <w:pPr>
        <w:spacing w:after="0" w:line="195" w:lineRule="exact"/>
        <w:rPr>
          <w:rFonts w:ascii="Arial" w:cs="Arial" w:eastAsia="Arial" w:hAnsi="Arial"/>
          <w:sz w:val="20"/>
          <w:szCs w:val="20"/>
          <w:color w:val="auto"/>
        </w:rPr>
      </w:pPr>
    </w:p>
    <w:p>
      <w:pPr>
        <w:jc w:val="both"/>
        <w:ind w:firstLine="1505"/>
        <w:spacing w:after="0" w:line="236" w:lineRule="exact"/>
        <w:tabs>
          <w:tab w:leader="none" w:pos="1991"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non</w:t>
      </w:r>
      <w:r>
        <w:rPr>
          <w:rFonts w:ascii="MS PGothic" w:cs="MS PGothic" w:eastAsia="MS PGothic" w:hAnsi="MS PGothic"/>
          <w:sz w:val="20"/>
          <w:szCs w:val="20"/>
          <w:color w:val="auto"/>
        </w:rPr>
        <w:t>‑</w:t>
      </w:r>
      <w:r>
        <w:rPr>
          <w:rFonts w:ascii="Arial" w:cs="Arial" w:eastAsia="Arial" w:hAnsi="Arial"/>
          <w:sz w:val="20"/>
          <w:szCs w:val="20"/>
          <w:color w:val="auto"/>
        </w:rPr>
        <w:t>cash or unrealized currency translation or foreign currency transaction gains and losses related to changes in currency exchange rates (including, without limitation, remeasurements of Indebtedness and any net loss or gain resulting from (i) Swap Contracts for currency exchange risk and (ii) intercompany Indebtedness), will be excluded;</w:t>
      </w:r>
    </w:p>
    <w:p>
      <w:pPr>
        <w:spacing w:after="0" w:line="197" w:lineRule="exact"/>
        <w:rPr>
          <w:rFonts w:ascii="Arial" w:cs="Arial" w:eastAsia="Arial" w:hAnsi="Arial"/>
          <w:sz w:val="20"/>
          <w:szCs w:val="20"/>
          <w:color w:val="auto"/>
        </w:rPr>
      </w:pPr>
    </w:p>
    <w:p>
      <w:pPr>
        <w:jc w:val="both"/>
        <w:ind w:firstLine="1505"/>
        <w:spacing w:after="0" w:line="276" w:lineRule="auto"/>
        <w:tabs>
          <w:tab w:leader="none" w:pos="2001" w:val="left"/>
        </w:tabs>
        <w:numPr>
          <w:ilvl w:val="1"/>
          <w:numId w:val="49"/>
        </w:numPr>
        <w:rPr>
          <w:rFonts w:ascii="Arial" w:cs="Arial" w:eastAsia="Arial" w:hAnsi="Arial"/>
          <w:sz w:val="18"/>
          <w:szCs w:val="18"/>
          <w:color w:val="auto"/>
        </w:rPr>
      </w:pPr>
      <w:r>
        <w:rPr>
          <w:rFonts w:ascii="Arial" w:cs="Arial" w:eastAsia="Arial" w:hAnsi="Arial"/>
          <w:sz w:val="18"/>
          <w:szCs w:val="18"/>
          <w:color w:val="auto"/>
        </w:rPr>
        <w:t>(i) the net income for such period of any Person that is not the referent Person or a Restricted Subsidiary of the referent Person or that is accounted for by the equity method of accounting, will be included only to the extent of the amount of dividends or distributions or other payments that are paid in or converted into cash with respect to such equity ownership to the referent Person or a Restricted Subsidiary thereof in respect of such period; and (ii) without duplication, the net income for such period will include any ordinary course dividends or distributions or other payments paid in cash (or converted into cash) with respect to such equity ownership received from any such Person during such period in excess of the amounts included in subclause (i) above;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7" w:name="page78"/>
    <w:bookmarkEnd w:id="77"/>
    <w:p>
      <w:pPr>
        <w:ind w:firstLine="1505"/>
        <w:spacing w:after="0" w:line="260" w:lineRule="auto"/>
        <w:tabs>
          <w:tab w:leader="none" w:pos="1983"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cumulative effect of a change in accounting principles and changes as a result of the adoption or modification of accounting policies will be excluded;</w:t>
      </w:r>
    </w:p>
    <w:p>
      <w:pPr>
        <w:spacing w:after="0" w:line="176" w:lineRule="exact"/>
        <w:rPr>
          <w:rFonts w:ascii="Arial" w:cs="Arial" w:eastAsia="Arial" w:hAnsi="Arial"/>
          <w:sz w:val="20"/>
          <w:szCs w:val="20"/>
          <w:color w:val="auto"/>
        </w:rPr>
      </w:pPr>
    </w:p>
    <w:p>
      <w:pPr>
        <w:jc w:val="both"/>
        <w:ind w:firstLine="1505"/>
        <w:spacing w:after="0" w:line="278" w:lineRule="auto"/>
        <w:tabs>
          <w:tab w:leader="none" w:pos="19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any acquisition consummated before or after the Closing Date (including in the inventory, property and equipment, software, goodwill, intangible assets, in-process research and development, deferred revenue and debt line items), and the amortization, write-down or write-off of any amounts thereof, net of taxes, will be excluded;</w:t>
      </w:r>
    </w:p>
    <w:p>
      <w:pPr>
        <w:spacing w:after="0" w:line="164" w:lineRule="exact"/>
        <w:rPr>
          <w:rFonts w:ascii="Arial" w:cs="Arial" w:eastAsia="Arial" w:hAnsi="Arial"/>
          <w:sz w:val="18"/>
          <w:szCs w:val="18"/>
          <w:color w:val="auto"/>
        </w:rPr>
      </w:pPr>
    </w:p>
    <w:p>
      <w:pPr>
        <w:ind w:firstLine="1505"/>
        <w:spacing w:after="0" w:line="240" w:lineRule="exact"/>
        <w:tabs>
          <w:tab w:leader="none" w:pos="1995" w:val="left"/>
        </w:tabs>
        <w:numPr>
          <w:ilvl w:val="0"/>
          <w:numId w:val="50"/>
        </w:numPr>
        <w:rPr>
          <w:rFonts w:ascii="Arial" w:cs="Arial" w:eastAsia="Arial" w:hAnsi="Arial"/>
          <w:sz w:val="20"/>
          <w:szCs w:val="20"/>
          <w:color w:val="auto"/>
        </w:rPr>
      </w:pPr>
      <w:r>
        <w:rPr>
          <w:rFonts w:ascii="Arial" w:cs="Arial" w:eastAsia="Arial" w:hAnsi="Arial"/>
          <w:sz w:val="20"/>
          <w:szCs w:val="20"/>
          <w:color w:val="auto"/>
        </w:rPr>
        <w:t>all non</w:t>
      </w:r>
      <w:r>
        <w:rPr>
          <w:rFonts w:ascii="MS PGothic" w:cs="MS PGothic" w:eastAsia="MS PGothic" w:hAnsi="MS PGothic"/>
          <w:sz w:val="20"/>
          <w:szCs w:val="20"/>
          <w:color w:val="auto"/>
        </w:rPr>
        <w:t>‑</w:t>
      </w:r>
      <w:r>
        <w:rPr>
          <w:rFonts w:ascii="Arial" w:cs="Arial" w:eastAsia="Arial" w:hAnsi="Arial"/>
          <w:sz w:val="20"/>
          <w:szCs w:val="20"/>
          <w:color w:val="auto"/>
        </w:rPr>
        <w:t>cash impairment charges and asset write-ups, write-downs and write-offs, in each case pursuant to GAAP, and the amortization of intangibles arising from the application of GAAP will be excluded;</w:t>
      </w:r>
    </w:p>
    <w:p>
      <w:pPr>
        <w:spacing w:after="0" w:line="195" w:lineRule="exact"/>
        <w:rPr>
          <w:rFonts w:ascii="Arial" w:cs="Arial" w:eastAsia="Arial" w:hAnsi="Arial"/>
          <w:sz w:val="20"/>
          <w:szCs w:val="20"/>
          <w:color w:val="auto"/>
        </w:rPr>
      </w:pPr>
    </w:p>
    <w:p>
      <w:pPr>
        <w:jc w:val="both"/>
        <w:ind w:firstLine="1505"/>
        <w:spacing w:after="0" w:line="237" w:lineRule="exact"/>
        <w:tabs>
          <w:tab w:leader="none" w:pos="20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non</w:t>
      </w:r>
      <w:r>
        <w:rPr>
          <w:rFonts w:ascii="MS PGothic" w:cs="MS PGothic" w:eastAsia="MS PGothic" w:hAnsi="MS PGothic"/>
          <w:sz w:val="18"/>
          <w:szCs w:val="18"/>
          <w:color w:val="auto"/>
        </w:rPr>
        <w:t>‑</w:t>
      </w:r>
      <w:r>
        <w:rPr>
          <w:rFonts w:ascii="Arial" w:cs="Arial" w:eastAsia="Arial" w:hAnsi="Arial"/>
          <w:sz w:val="18"/>
          <w:szCs w:val="18"/>
          <w:color w:val="auto"/>
        </w:rPr>
        <w:t>cash expenses realized in connection with or resulting from equity or equity-linked compensation plans, employee benefit plans or agreements or post-employment benefit plans or agreements, or grants or sales of stock, stock appreciation or similar rights, stock options, restricted stock, preferred stock, stock appreciation or other similar rights will be excluded;</w:t>
      </w:r>
    </w:p>
    <w:p>
      <w:pPr>
        <w:spacing w:after="0" w:line="195" w:lineRule="exact"/>
        <w:rPr>
          <w:rFonts w:ascii="Arial" w:cs="Arial" w:eastAsia="Arial" w:hAnsi="Arial"/>
          <w:sz w:val="18"/>
          <w:szCs w:val="18"/>
          <w:color w:val="auto"/>
        </w:rPr>
      </w:pPr>
    </w:p>
    <w:p>
      <w:pPr>
        <w:jc w:val="both"/>
        <w:ind w:firstLine="1505"/>
        <w:spacing w:after="0" w:line="250" w:lineRule="auto"/>
        <w:tabs>
          <w:tab w:leader="none" w:pos="1858"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costs or expenses incurred in connection with the payment of dividend equivalent rights to holders of equity-based incentive awards pursuant to any management equity plan, stock option plan or any other management or employee benefit plan or agreement or post-employment benefit plan or agreement will be excluded;</w:t>
      </w:r>
    </w:p>
    <w:p>
      <w:pPr>
        <w:spacing w:after="0" w:line="185" w:lineRule="exact"/>
        <w:rPr>
          <w:rFonts w:ascii="Arial" w:cs="Arial" w:eastAsia="Arial" w:hAnsi="Arial"/>
          <w:sz w:val="20"/>
          <w:szCs w:val="20"/>
          <w:color w:val="auto"/>
        </w:rPr>
      </w:pPr>
    </w:p>
    <w:p>
      <w:pPr>
        <w:ind w:firstLine="1505"/>
        <w:spacing w:after="0" w:line="260" w:lineRule="auto"/>
        <w:tabs>
          <w:tab w:leader="none" w:pos="1983" w:val="left"/>
        </w:tabs>
        <w:numPr>
          <w:ilvl w:val="0"/>
          <w:numId w:val="50"/>
        </w:numPr>
        <w:rPr>
          <w:rFonts w:ascii="Arial" w:cs="Arial" w:eastAsia="Arial" w:hAnsi="Arial"/>
          <w:sz w:val="20"/>
          <w:szCs w:val="20"/>
          <w:color w:val="auto"/>
        </w:rPr>
      </w:pPr>
      <w:r>
        <w:rPr>
          <w:rFonts w:ascii="Arial" w:cs="Arial" w:eastAsia="Arial" w:hAnsi="Arial"/>
          <w:sz w:val="20"/>
          <w:szCs w:val="20"/>
          <w:color w:val="auto"/>
        </w:rPr>
        <w:t>accruals and reserves for liabilities or expenses that are established or adjusted as a result of the Transactions within 12 months after the Closing Date will be excluded;</w:t>
      </w:r>
    </w:p>
    <w:p>
      <w:pPr>
        <w:spacing w:after="0" w:line="176" w:lineRule="exact"/>
        <w:rPr>
          <w:rFonts w:ascii="Arial" w:cs="Arial" w:eastAsia="Arial" w:hAnsi="Arial"/>
          <w:sz w:val="20"/>
          <w:szCs w:val="20"/>
          <w:color w:val="auto"/>
        </w:rPr>
      </w:pPr>
    </w:p>
    <w:p>
      <w:pPr>
        <w:jc w:val="both"/>
        <w:ind w:firstLine="1505"/>
        <w:spacing w:after="0" w:line="291" w:lineRule="auto"/>
        <w:tabs>
          <w:tab w:leader="none" w:pos="19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amortization and write-offs of deferred financing fees, debt issuance costs, commissions, fees and expenses, costs of surety bonds, charges owed with respect to letters of credit, bankers’ acceptances or similar facilities, and expensing of any bridge, commitment or other financing fees (including in connection with a transaction undertaken but not completed), will be excluded;</w:t>
      </w:r>
    </w:p>
    <w:p>
      <w:pPr>
        <w:spacing w:after="0" w:line="151" w:lineRule="exact"/>
        <w:rPr>
          <w:rFonts w:ascii="Arial" w:cs="Arial" w:eastAsia="Arial" w:hAnsi="Arial"/>
          <w:sz w:val="18"/>
          <w:szCs w:val="18"/>
          <w:color w:val="auto"/>
        </w:rPr>
      </w:pPr>
    </w:p>
    <w:p>
      <w:pPr>
        <w:ind w:firstLine="1505"/>
        <w:spacing w:after="0" w:line="260" w:lineRule="auto"/>
        <w:tabs>
          <w:tab w:leader="none" w:pos="2008" w:val="left"/>
        </w:tabs>
        <w:numPr>
          <w:ilvl w:val="0"/>
          <w:numId w:val="50"/>
        </w:numPr>
        <w:rPr>
          <w:rFonts w:ascii="Arial" w:cs="Arial" w:eastAsia="Arial" w:hAnsi="Arial"/>
          <w:sz w:val="20"/>
          <w:szCs w:val="20"/>
          <w:color w:val="auto"/>
        </w:rPr>
      </w:pPr>
      <w:r>
        <w:rPr>
          <w:rFonts w:ascii="Arial" w:cs="Arial" w:eastAsia="Arial" w:hAnsi="Arial"/>
          <w:sz w:val="20"/>
          <w:szCs w:val="20"/>
          <w:color w:val="auto"/>
        </w:rPr>
        <w:t>all discounts, commissions, fees and other charges (including interest expense) associated with any Receivables Financing or Factoring Transaction will be excluded;</w:t>
      </w:r>
    </w:p>
    <w:p>
      <w:pPr>
        <w:spacing w:after="0" w:line="176" w:lineRule="exact"/>
        <w:rPr>
          <w:rFonts w:ascii="Arial" w:cs="Arial" w:eastAsia="Arial" w:hAnsi="Arial"/>
          <w:sz w:val="20"/>
          <w:szCs w:val="20"/>
          <w:color w:val="auto"/>
        </w:rPr>
      </w:pPr>
    </w:p>
    <w:p>
      <w:pPr>
        <w:ind w:firstLine="1505"/>
        <w:spacing w:after="0" w:line="240" w:lineRule="exact"/>
        <w:tabs>
          <w:tab w:leader="none" w:pos="1993"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the non</w:t>
      </w:r>
      <w:r>
        <w:rPr>
          <w:rFonts w:ascii="MS PGothic" w:cs="MS PGothic" w:eastAsia="MS PGothic" w:hAnsi="MS PGothic"/>
          <w:sz w:val="20"/>
          <w:szCs w:val="20"/>
          <w:color w:val="auto"/>
        </w:rPr>
        <w:t>‑</w:t>
      </w:r>
      <w:r>
        <w:rPr>
          <w:rFonts w:ascii="Arial" w:cs="Arial" w:eastAsia="Arial" w:hAnsi="Arial"/>
          <w:sz w:val="20"/>
          <w:szCs w:val="20"/>
          <w:color w:val="auto"/>
        </w:rPr>
        <w:t>cash portion of “straight-line” rent expense will be excluded and (ii) the cash portion of “straight-line” rent expense that exceeds the amount expensed in respect of such rent expense will be included;</w:t>
      </w:r>
    </w:p>
    <w:p>
      <w:pPr>
        <w:spacing w:after="0" w:line="195" w:lineRule="exact"/>
        <w:rPr>
          <w:rFonts w:ascii="Arial" w:cs="Arial" w:eastAsia="Arial" w:hAnsi="Arial"/>
          <w:sz w:val="20"/>
          <w:szCs w:val="20"/>
          <w:color w:val="auto"/>
        </w:rPr>
      </w:pPr>
    </w:p>
    <w:p>
      <w:pPr>
        <w:jc w:val="both"/>
        <w:ind w:firstLine="1505"/>
        <w:spacing w:after="0" w:line="274" w:lineRule="auto"/>
        <w:tabs>
          <w:tab w:leader="none" w:pos="19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expenses and lost profits with respect to liability or casualty events or business interruption will be disregarded to the extent covered by insurance and actually reimbursed, or, so long as such Person has made a determination that there exists reasonable evidence that such amount will in fact be reimbursed by the insurer, but only to the extent that such amount (i) has not been denied by the applicable carrier in writing and (ii) is in fact reimbursed within 365 days of the date on which such liability was discovered or such casualty event or business interruption occurred (with a deduction for any amounts so added back that are not reimbursed within such 365-day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proceeds of such reimbursement when received will be excluded from the calculation of Consolidated Net Income to the extent the expense or lost profit reimbursed was previously disregarded pursuant to this clause (r);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8" w:name="page79"/>
    <w:bookmarkEnd w:id="78"/>
    <w:p>
      <w:pPr>
        <w:jc w:val="both"/>
        <w:ind w:firstLine="1505"/>
        <w:spacing w:after="0" w:line="244" w:lineRule="auto"/>
        <w:tabs>
          <w:tab w:leader="none" w:pos="1993" w:val="left"/>
        </w:tabs>
        <w:numPr>
          <w:ilvl w:val="0"/>
          <w:numId w:val="51"/>
        </w:numPr>
        <w:rPr>
          <w:rFonts w:ascii="Arial" w:cs="Arial" w:eastAsia="Arial" w:hAnsi="Arial"/>
          <w:sz w:val="20"/>
          <w:szCs w:val="20"/>
          <w:color w:val="auto"/>
        </w:rPr>
      </w:pPr>
      <w:r>
        <w:rPr>
          <w:rFonts w:ascii="Arial" w:cs="Arial" w:eastAsia="Arial" w:hAnsi="Arial"/>
          <w:sz w:val="20"/>
          <w:szCs w:val="20"/>
          <w:color w:val="auto"/>
        </w:rPr>
        <w:t>losses, charges and expenses that are covered by indemnification or other reimbursement provisions in connection with any asset disposition will be excluded to the extent actually reimbursed, or, so long as such Person has made a determination that a reasonable basis exists for indemnification or reimbursement, but only to the extent that such amount is in fact indemnified or reimbursed within 365 days of such determination (with a deduction in the applicable future period for any amount so added back to the extent not so indemnified or reimbursed within such 365 days);</w:t>
      </w:r>
    </w:p>
    <w:p>
      <w:pPr>
        <w:spacing w:after="0" w:line="194" w:lineRule="exact"/>
        <w:rPr>
          <w:rFonts w:ascii="Arial" w:cs="Arial" w:eastAsia="Arial" w:hAnsi="Arial"/>
          <w:sz w:val="20"/>
          <w:szCs w:val="20"/>
          <w:color w:val="auto"/>
        </w:rPr>
      </w:pPr>
    </w:p>
    <w:p>
      <w:pPr>
        <w:ind w:left="2020" w:hanging="515"/>
        <w:spacing w:after="0" w:line="207" w:lineRule="exact"/>
        <w:tabs>
          <w:tab w:leader="none" w:pos="2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charges or income relating to increases or decreases of deferred tax asset valuation allowances will be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excluded;</w:t>
      </w:r>
    </w:p>
    <w:p>
      <w:pPr>
        <w:spacing w:after="0" w:line="199" w:lineRule="exact"/>
        <w:rPr>
          <w:rFonts w:ascii="Arial" w:cs="Arial" w:eastAsia="Arial" w:hAnsi="Arial"/>
          <w:sz w:val="18"/>
          <w:szCs w:val="18"/>
          <w:color w:val="auto"/>
        </w:rPr>
      </w:pPr>
    </w:p>
    <w:p>
      <w:pPr>
        <w:jc w:val="both"/>
        <w:ind w:firstLine="1505"/>
        <w:spacing w:after="0" w:line="250" w:lineRule="auto"/>
        <w:tabs>
          <w:tab w:leader="none" w:pos="199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cash dividends or returns of capital from Investments (such return of capital not reducing the ownership interest in the underlying Investment), in each case received during such period, to the extent not otherwise included in Consolidated Net Income for that period or any prior period subsequent to the Closing Date will be included;</w:t>
      </w:r>
    </w:p>
    <w:p>
      <w:pPr>
        <w:spacing w:after="0" w:line="185" w:lineRule="exact"/>
        <w:rPr>
          <w:rFonts w:ascii="Arial" w:cs="Arial" w:eastAsia="Arial" w:hAnsi="Arial"/>
          <w:sz w:val="20"/>
          <w:szCs w:val="20"/>
          <w:color w:val="auto"/>
        </w:rPr>
      </w:pPr>
    </w:p>
    <w:p>
      <w:pPr>
        <w:jc w:val="both"/>
        <w:ind w:firstLine="1505"/>
        <w:spacing w:after="0" w:line="271" w:lineRule="auto"/>
        <w:tabs>
          <w:tab w:leader="none" w:pos="20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solely for the purpose of determining the amount available for Restricted Payments under clause (iii) of the first paragraph of Section 7.06, and without duplication of provisions under clause (iii) of the first paragraph of Section 7.06 with respect to cash dividends or returns on Investments, the net income (or loss) for such period of any Restricted Subsidiary (other than a Borrower or a Guarantor) will be excluded to the extent that the declaration or payment of dividends or similar distributions by that Restricted Subsidiary is not at the date of determination permitted without any prior governmental approval (which has not been obtained) or, directly or indirectly, by the operation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such Person will be increased by the amount of dividends or other distributions or other payments actually paid in cash (or to the extent converted into cash) to such Person or any of its Restricted Subsidiaries in respect of such period, to the extent not already included therein (subject, in the case of a dividend to another Restricted Subsidiary (other than a Guarantor), to the limitation contained in this clause (v));</w:t>
      </w:r>
    </w:p>
    <w:p>
      <w:pPr>
        <w:spacing w:after="0" w:line="169" w:lineRule="exact"/>
        <w:rPr>
          <w:rFonts w:ascii="Arial" w:cs="Arial" w:eastAsia="Arial" w:hAnsi="Arial"/>
          <w:sz w:val="18"/>
          <w:szCs w:val="18"/>
          <w:color w:val="auto"/>
        </w:rPr>
      </w:pPr>
    </w:p>
    <w:p>
      <w:pPr>
        <w:ind w:left="1820" w:hanging="315"/>
        <w:spacing w:after="0"/>
        <w:tabs>
          <w:tab w:leader="none" w:pos="18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505"/>
        <w:spacing w:after="0" w:line="234" w:lineRule="exact"/>
        <w:tabs>
          <w:tab w:leader="none" w:pos="1997"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(i) severance or relocation costs or expenses, (ii) one-time non</w:t>
      </w:r>
      <w:r>
        <w:rPr>
          <w:rFonts w:ascii="MS PGothic" w:cs="MS PGothic" w:eastAsia="MS PGothic" w:hAnsi="MS PGothic"/>
          <w:sz w:val="20"/>
          <w:szCs w:val="20"/>
          <w:color w:val="auto"/>
        </w:rPr>
        <w:t>‑</w:t>
      </w:r>
      <w:r>
        <w:rPr>
          <w:rFonts w:ascii="Arial" w:cs="Arial" w:eastAsia="Arial" w:hAnsi="Arial"/>
          <w:sz w:val="20"/>
          <w:szCs w:val="20"/>
          <w:color w:val="auto"/>
        </w:rPr>
        <w:t>cash compensation charges, (iii) the costs and expenses related to employment of terminated employees, or (iv) costs or expenses realized in connection with or resulting from stock appreciation or similar rights, stock options or other rights of officers, directors and employees, in each case of such Person or any of its Restricted Subsidiaries, shall be excluded; and</w:t>
      </w:r>
    </w:p>
    <w:p>
      <w:pPr>
        <w:spacing w:after="0" w:line="198" w:lineRule="exact"/>
        <w:rPr>
          <w:rFonts w:ascii="Arial" w:cs="Arial" w:eastAsia="Arial" w:hAnsi="Arial"/>
          <w:sz w:val="20"/>
          <w:szCs w:val="20"/>
          <w:color w:val="auto"/>
        </w:rPr>
      </w:pPr>
    </w:p>
    <w:p>
      <w:pPr>
        <w:ind w:firstLine="1505"/>
        <w:spacing w:after="0" w:line="240" w:lineRule="exact"/>
        <w:tabs>
          <w:tab w:leader="none" w:pos="19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non</w:t>
      </w:r>
      <w:r>
        <w:rPr>
          <w:rFonts w:ascii="MS PGothic" w:cs="MS PGothic" w:eastAsia="MS PGothic" w:hAnsi="MS PGothic"/>
          <w:sz w:val="18"/>
          <w:szCs w:val="18"/>
          <w:color w:val="auto"/>
        </w:rPr>
        <w:t>‑</w:t>
      </w:r>
      <w:r>
        <w:rPr>
          <w:rFonts w:ascii="Arial" w:cs="Arial" w:eastAsia="Arial" w:hAnsi="Arial"/>
          <w:sz w:val="18"/>
          <w:szCs w:val="18"/>
          <w:color w:val="auto"/>
        </w:rPr>
        <w:t>cash interest expense and non</w:t>
      </w:r>
      <w:r>
        <w:rPr>
          <w:rFonts w:ascii="MS PGothic" w:cs="MS PGothic" w:eastAsia="MS PGothic" w:hAnsi="MS PGothic"/>
          <w:sz w:val="18"/>
          <w:szCs w:val="18"/>
          <w:color w:val="auto"/>
        </w:rPr>
        <w:t>‑</w:t>
      </w:r>
      <w:r>
        <w:rPr>
          <w:rFonts w:ascii="Arial" w:cs="Arial" w:eastAsia="Arial" w:hAnsi="Arial"/>
          <w:sz w:val="18"/>
          <w:szCs w:val="18"/>
          <w:color w:val="auto"/>
        </w:rPr>
        <w:t>cash interest income, in each case to the extent there is no associated cash disbursement or receipt, as the case may be, before the Latest Maturity Date of any then outstanding Term Loan Tranche, shall be excluded;</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may, in its sole discretion, elect to not make any adjustment for any item pursuant to clauses (a) through (y) above if any such item individually is less than $2,000,000 in any fiscal quarter.</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For the purpose of Section 7.06 only, there shall be excluded from Consolidated Net Income any income arising from the sale or other disposition of Restricted Investments, from repurchases or redemptions of Restricted Investments, from repayments of loans or advances which constituted Restricted Investments or from any dividends, repayments of loans or advances or other transfers of assets from Unrestricted Subsidiaries, in each case to the extent such amounts increase the amount of Restricted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Payments permitted under such covenant pursuant to clauses (iii)(F) or (iii)(G) of the first paragraph thereof.</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Senior Secured Net Leverage Ratio</w:t>
      </w:r>
      <w:r>
        <w:rPr>
          <w:rFonts w:ascii="Arial" w:cs="Arial" w:eastAsia="Arial" w:hAnsi="Arial"/>
          <w:sz w:val="20"/>
          <w:szCs w:val="20"/>
          <w:color w:val="auto"/>
        </w:rPr>
        <w:t>” means, as of any date of determination, the ratio of (a) Consolidated Funded Senior Secured Indebtedness (less the amount of unrestricted cash and Cash Equivalents of the Borrower and its Restricted Subsidiaries), and in each case, calculated on a Pro Forma Basis to (b) Consolidated EBITDA of the Borrower for the most recent Test Period, calculated on a Pro Forma Basis.</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Assets</w:t>
      </w:r>
      <w:r>
        <w:rPr>
          <w:rFonts w:ascii="Arial" w:cs="Arial" w:eastAsia="Arial" w:hAnsi="Arial"/>
          <w:sz w:val="20"/>
          <w:szCs w:val="20"/>
          <w:color w:val="auto"/>
        </w:rPr>
        <w:t>” means, the consolidated total assets of the Borrower and its Restricted Subsidiaries as set forth on the consolidated balance sheet of the Borrower as of the most recent Test Period.</w:t>
      </w:r>
    </w:p>
    <w:p>
      <w:pPr>
        <w:spacing w:after="0" w:line="177" w:lineRule="exact"/>
        <w:rPr>
          <w:sz w:val="20"/>
          <w:szCs w:val="20"/>
          <w:color w:val="auto"/>
        </w:rPr>
      </w:pPr>
    </w:p>
    <w:p>
      <w:pPr>
        <w:ind w:right="420" w:firstLine="14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Leverage Ratio</w:t>
      </w:r>
      <w:r>
        <w:rPr>
          <w:rFonts w:ascii="Arial" w:cs="Arial" w:eastAsia="Arial" w:hAnsi="Arial"/>
          <w:sz w:val="20"/>
          <w:szCs w:val="20"/>
          <w:color w:val="auto"/>
        </w:rPr>
        <w:t>” means, as of any date of determination, the ratio of (a) Consolidated Funded Indebtedness of the Borrower as of such date, calculated on a Pro Forma Basis to (b) Consolidated EBITDA of the Borrower for the Test Period, calculated on a Pro Forma Basis.</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Net Leverage Ratio</w:t>
      </w:r>
      <w:r>
        <w:rPr>
          <w:rFonts w:ascii="Arial" w:cs="Arial" w:eastAsia="Arial" w:hAnsi="Arial"/>
          <w:sz w:val="20"/>
          <w:szCs w:val="20"/>
          <w:color w:val="auto"/>
        </w:rPr>
        <w:t>” means, as of any date of determination, the ratio of (a) Consolidated Funded Indebtedness of the Borrower as of such date (less the amount of unrestricted and Cash Equivalents of the Borrower and its Restricted Subsidiaries) and in each case, calculated on a Pro Forma Basis to (b) Consolidated EBITDA of the Borrower for the most recent Test Period, calculated on a Pro Forma Basis.</w:t>
      </w:r>
    </w:p>
    <w:p>
      <w:pPr>
        <w:spacing w:after="0" w:line="19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Contingent Obligations</w:t>
      </w:r>
      <w:r>
        <w:rPr>
          <w:rFonts w:ascii="Arial" w:cs="Arial" w:eastAsia="Arial" w:hAnsi="Arial"/>
          <w:sz w:val="18"/>
          <w:szCs w:val="18"/>
          <w:color w:val="auto"/>
        </w:rPr>
        <w:t>” means, with respect to any Person, any obligation of such Person Guaranteeing any leases, dividends or other obligations that do not constitute Indebtedness (“</w:t>
      </w:r>
      <w:r>
        <w:rPr>
          <w:rFonts w:ascii="Arial" w:cs="Arial" w:eastAsia="Arial" w:hAnsi="Arial"/>
          <w:sz w:val="18"/>
          <w:szCs w:val="18"/>
          <w:b w:val="1"/>
          <w:bCs w:val="1"/>
          <w:i w:val="1"/>
          <w:i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i w:val="1"/>
          <w:iCs w:val="1"/>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w:t>
      </w:r>
    </w:p>
    <w:p>
      <w:pPr>
        <w:spacing w:after="0" w:line="152" w:lineRule="exact"/>
        <w:rPr>
          <w:sz w:val="20"/>
          <w:szCs w:val="20"/>
          <w:color w:val="auto"/>
        </w:rPr>
      </w:pPr>
    </w:p>
    <w:p>
      <w:pPr>
        <w:ind w:left="780" w:hanging="398"/>
        <w:spacing w:after="0"/>
        <w:tabs>
          <w:tab w:leader="none" w:pos="7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to purchase any such primary obligation or any property constituting direct or indirect security therefor,</w:t>
      </w:r>
    </w:p>
    <w:p>
      <w:pPr>
        <w:spacing w:after="0" w:line="107" w:lineRule="exact"/>
        <w:rPr>
          <w:rFonts w:ascii="Arial" w:cs="Arial" w:eastAsia="Arial" w:hAnsi="Arial"/>
          <w:sz w:val="20"/>
          <w:szCs w:val="20"/>
          <w:color w:val="auto"/>
        </w:rPr>
      </w:pPr>
    </w:p>
    <w:p>
      <w:pPr>
        <w:ind w:left="780" w:hanging="398"/>
        <w:spacing w:after="0"/>
        <w:tabs>
          <w:tab w:leader="none" w:pos="7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to advance or supply funds:</w:t>
      </w:r>
    </w:p>
    <w:p>
      <w:pPr>
        <w:spacing w:after="0" w:line="107" w:lineRule="exact"/>
        <w:rPr>
          <w:rFonts w:ascii="Arial" w:cs="Arial" w:eastAsia="Arial" w:hAnsi="Arial"/>
          <w:sz w:val="20"/>
          <w:szCs w:val="20"/>
          <w:color w:val="auto"/>
        </w:rPr>
      </w:pPr>
    </w:p>
    <w:p>
      <w:pPr>
        <w:ind w:left="3280" w:hanging="277"/>
        <w:spacing w:after="0"/>
        <w:tabs>
          <w:tab w:leader="none" w:pos="32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for the purchase or payment of any such primary obligation; or</w:t>
      </w:r>
    </w:p>
    <w:p>
      <w:pPr>
        <w:spacing w:after="0" w:line="215" w:lineRule="exact"/>
        <w:rPr>
          <w:rFonts w:ascii="Arial" w:cs="Arial" w:eastAsia="Arial" w:hAnsi="Arial"/>
          <w:sz w:val="20"/>
          <w:szCs w:val="20"/>
          <w:color w:val="auto"/>
        </w:rPr>
      </w:pPr>
    </w:p>
    <w:p>
      <w:pPr>
        <w:ind w:left="2260" w:right="740" w:firstLine="743"/>
        <w:spacing w:after="0" w:line="260" w:lineRule="auto"/>
        <w:tabs>
          <w:tab w:leader="none" w:pos="3335" w:val="left"/>
        </w:tabs>
        <w:numPr>
          <w:ilvl w:val="1"/>
          <w:numId w:val="52"/>
        </w:numPr>
        <w:rPr>
          <w:rFonts w:ascii="Arial" w:cs="Arial" w:eastAsia="Arial" w:hAnsi="Arial"/>
          <w:sz w:val="20"/>
          <w:szCs w:val="20"/>
          <w:color w:val="auto"/>
        </w:rPr>
      </w:pPr>
      <w:r>
        <w:rPr>
          <w:rFonts w:ascii="Arial" w:cs="Arial" w:eastAsia="Arial" w:hAnsi="Arial"/>
          <w:sz w:val="20"/>
          <w:szCs w:val="20"/>
          <w:color w:val="auto"/>
        </w:rPr>
        <w:t>to maintain working capital or equity capital of the primary obligor or otherwise to maintain the net worth or solvency of the primary obligor; or</w:t>
      </w:r>
    </w:p>
    <w:p>
      <w:pPr>
        <w:spacing w:after="0" w:line="176" w:lineRule="exact"/>
        <w:rPr>
          <w:rFonts w:ascii="Arial" w:cs="Arial" w:eastAsia="Arial" w:hAnsi="Arial"/>
          <w:sz w:val="20"/>
          <w:szCs w:val="20"/>
          <w:color w:val="auto"/>
        </w:rPr>
      </w:pPr>
    </w:p>
    <w:p>
      <w:pPr>
        <w:ind w:left="380" w:firstLine="2"/>
        <w:spacing w:after="0" w:line="260" w:lineRule="auto"/>
        <w:tabs>
          <w:tab w:leader="none" w:pos="791" w:val="left"/>
        </w:tabs>
        <w:numPr>
          <w:ilvl w:val="0"/>
          <w:numId w:val="52"/>
        </w:numPr>
        <w:rPr>
          <w:rFonts w:ascii="Arial" w:cs="Arial" w:eastAsia="Arial" w:hAnsi="Arial"/>
          <w:sz w:val="20"/>
          <w:szCs w:val="20"/>
          <w:color w:val="auto"/>
        </w:rPr>
      </w:pPr>
      <w:r>
        <w:rPr>
          <w:rFonts w:ascii="Arial" w:cs="Arial" w:eastAsia="Arial" w:hAnsi="Arial"/>
          <w:sz w:val="20"/>
          <w:szCs w:val="20"/>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6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Contractual Obligation</w:t>
      </w:r>
      <w:r>
        <w:rPr>
          <w:rFonts w:ascii="Arial" w:cs="Arial" w:eastAsia="Arial" w:hAnsi="Arial"/>
          <w:sz w:val="20"/>
          <w:szCs w:val="20"/>
          <w:color w:val="auto"/>
        </w:rPr>
        <w:t xml:space="preserve"> ”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 Indebtedness</w:t>
      </w:r>
      <w:r>
        <w:rPr>
          <w:rFonts w:ascii="Arial" w:cs="Arial" w:eastAsia="Arial" w:hAnsi="Arial"/>
          <w:sz w:val="19"/>
          <w:szCs w:val="19"/>
          <w:color w:val="auto"/>
        </w:rPr>
        <w:t xml:space="preserve">” means Indebtedness of the Borrower or any Restricted Subsidiary in an aggregate principal amount not greater than the aggregate amount of cash contributions (other than Excluded Contributions) made to the capital of the Borrower or any Restricted Subsidiary (other than, in the case of such Restricted Subsidiary, contributions by the Borrower or any other Restricted Subsidiary to its capital) after the Closing Date and designated as a Cash Contribution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Contribution Indebtedness (a) is Incurred within 210 days after the making of such cash contributions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(b) is so designated as Contribution Indebtedness pursuant to an Officer’s Certificate on the Incurrence date thereof.</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has the meaning specified in the definition of “Affiliate.”</w:t>
      </w:r>
    </w:p>
    <w:p>
      <w:pPr>
        <w:spacing w:after="0" w:line="21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Credit Extension</w:t>
      </w:r>
      <w:r>
        <w:rPr>
          <w:rFonts w:ascii="Arial" w:cs="Arial" w:eastAsia="Arial" w:hAnsi="Arial"/>
          <w:sz w:val="20"/>
          <w:szCs w:val="20"/>
          <w:color w:val="auto"/>
        </w:rPr>
        <w:t>” means a Borrowing.</w:t>
      </w:r>
    </w:p>
    <w:p>
      <w:pPr>
        <w:spacing w:after="0" w:line="23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Daily Simple SOFR</w:t>
      </w:r>
      <w:r>
        <w:rPr>
          <w:rFonts w:ascii="Arial" w:cs="Arial" w:eastAsia="Arial" w:hAnsi="Arial"/>
          <w:sz w:val="19"/>
          <w:szCs w:val="19"/>
          <w:color w:val="auto"/>
        </w:rPr>
        <w:t>” means, for any day (a “</w:t>
      </w:r>
      <w:r>
        <w:rPr>
          <w:rFonts w:ascii="Arial" w:cs="Arial" w:eastAsia="Arial" w:hAnsi="Arial"/>
          <w:sz w:val="19"/>
          <w:szCs w:val="19"/>
          <w:b w:val="1"/>
          <w:bCs w:val="1"/>
          <w:i w:val="1"/>
          <w:iCs w:val="1"/>
          <w:color w:val="auto"/>
        </w:rPr>
        <w:t>SOFR Rate Day</w:t>
      </w:r>
      <w:r>
        <w:rPr>
          <w:rFonts w:ascii="Arial" w:cs="Arial" w:eastAsia="Arial" w:hAnsi="Arial"/>
          <w:sz w:val="19"/>
          <w:szCs w:val="19"/>
          <w:color w:val="auto"/>
        </w:rPr>
        <w:t>”), a rate per annum equal to SOFR for the day (such day “</w:t>
      </w:r>
      <w:r>
        <w:rPr>
          <w:rFonts w:ascii="Arial" w:cs="Arial" w:eastAsia="Arial" w:hAnsi="Arial"/>
          <w:sz w:val="19"/>
          <w:szCs w:val="19"/>
          <w:b w:val="1"/>
          <w:bCs w:val="1"/>
          <w:i w:val="1"/>
          <w:iCs w:val="1"/>
          <w:color w:val="auto"/>
        </w:rPr>
        <w:t>SOFR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Determination Date</w:t>
      </w:r>
      <w:r>
        <w:rPr>
          <w:rFonts w:ascii="Arial" w:cs="Arial" w:eastAsia="Arial" w:hAnsi="Arial"/>
          <w:sz w:val="19"/>
          <w:szCs w:val="19"/>
          <w:color w:val="auto"/>
        </w:rPr>
        <w:t>”) that is five (5) US Government Securities Business Days prior to (i) if such SOFR Rate Day is a US Government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Debt Fund Affiliate</w:t>
      </w:r>
      <w:r>
        <w:rPr>
          <w:rFonts w:ascii="Arial" w:cs="Arial" w:eastAsia="Arial" w:hAnsi="Arial"/>
          <w:sz w:val="20"/>
          <w:szCs w:val="20"/>
          <w:color w:val="auto"/>
        </w:rPr>
        <w:t>” means any Affiliate of Holdings (other than its Subsidiaries) that is a bona fide diversified debt fund primarily engaged in, or that advises funds or other investment vehicles that are engaged in, marking, purchasing, holding or otherwise investing in commercial loans, bonds and similar extensions of credit or securities in the ordinary course. Notwithstanding the foregoing, in no event shall a natural person be a Debt Fund Affiliate.</w:t>
      </w:r>
    </w:p>
    <w:p>
      <w:pPr>
        <w:spacing w:after="0" w:line="19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Declining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Rate</w:t>
      </w:r>
      <w:r>
        <w:rPr>
          <w:rFonts w:ascii="Arial" w:cs="Arial" w:eastAsia="Arial" w:hAnsi="Arial"/>
          <w:sz w:val="20"/>
          <w:szCs w:val="20"/>
          <w:color w:val="auto"/>
        </w:rPr>
        <w:t xml:space="preserve">” means an interest rate equal to (a) the Base Rate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the Applicable Rate, if any, applicable to Base Rate Loans under the applicable Facility </w:t>
      </w:r>
      <w:r>
        <w:rPr>
          <w:rFonts w:ascii="Arial" w:cs="Arial" w:eastAsia="Arial" w:hAnsi="Arial"/>
          <w:sz w:val="20"/>
          <w:szCs w:val="20"/>
          <w:i w:val="1"/>
          <w:iCs w:val="1"/>
          <w:color w:val="auto"/>
        </w:rPr>
        <w:t>plus</w:t>
      </w:r>
      <w:r>
        <w:rPr>
          <w:rFonts w:ascii="Arial" w:cs="Arial" w:eastAsia="Arial" w:hAnsi="Arial"/>
          <w:sz w:val="20"/>
          <w:szCs w:val="20"/>
          <w:color w:val="auto"/>
        </w:rPr>
        <w:t xml:space="preserve"> (c) 2.0%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Term Benchmark Loan, the Default Rate shall be an interest rate equal to the interest rate (including any Applicable Rate) otherwise applicable to such Loan </w:t>
      </w:r>
      <w:r>
        <w:rPr>
          <w:rFonts w:ascii="Arial" w:cs="Arial" w:eastAsia="Arial" w:hAnsi="Arial"/>
          <w:sz w:val="20"/>
          <w:szCs w:val="20"/>
          <w:i w:val="1"/>
          <w:iCs w:val="1"/>
          <w:color w:val="auto"/>
        </w:rPr>
        <w:t>plus</w:t>
      </w:r>
      <w:r>
        <w:rPr>
          <w:rFonts w:ascii="Arial" w:cs="Arial" w:eastAsia="Arial" w:hAnsi="Arial"/>
          <w:sz w:val="20"/>
          <w:szCs w:val="20"/>
          <w:color w:val="auto"/>
        </w:rPr>
        <w:t xml:space="preserve"> 2.0% </w:t>
      </w:r>
      <w:r>
        <w:rPr>
          <w:rFonts w:ascii="Arial" w:cs="Arial" w:eastAsia="Arial" w:hAnsi="Arial"/>
          <w:sz w:val="20"/>
          <w:szCs w:val="20"/>
          <w:i w:val="1"/>
          <w:iCs w:val="1"/>
          <w:color w:val="auto"/>
        </w:rPr>
        <w:t>per annum</w:t>
      </w:r>
      <w:r>
        <w:rPr>
          <w:rFonts w:ascii="Arial" w:cs="Arial" w:eastAsia="Arial" w:hAnsi="Arial"/>
          <w:sz w:val="20"/>
          <w:szCs w:val="20"/>
          <w:color w:val="auto"/>
        </w:rPr>
        <w:t>, in each case, to the fullest extent permitted by applicable Laws.</w:t>
      </w:r>
    </w:p>
    <w:p>
      <w:pPr>
        <w:spacing w:after="0" w:line="191" w:lineRule="exact"/>
        <w:rPr>
          <w:sz w:val="20"/>
          <w:szCs w:val="20"/>
          <w:color w:val="auto"/>
        </w:rPr>
      </w:pPr>
    </w:p>
    <w:p>
      <w:pPr>
        <w:jc w:val="both"/>
        <w:ind w:firstLine="81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Defaulting Lender</w:t>
      </w:r>
      <w:r>
        <w:rPr>
          <w:rFonts w:ascii="Arial" w:cs="Arial" w:eastAsia="Arial" w:hAnsi="Arial"/>
          <w:sz w:val="20"/>
          <w:szCs w:val="20"/>
          <w:color w:val="auto"/>
        </w:rPr>
        <w:t>” means, subject to Section 2.18(b), any Lender that (a) has failed to perform any of its funding obligations hereunder, including in respect of its Loans within three Business Days of the date required to be funded by it hereunder, (b) has notified the Borrower or the Administrative Agent that it does not intend to comply with its funding obligations or has made a public statement to that effect with respect to its funding obligations hereunder, (c) has failed, within three Business Days after reasonable request by the Administrative Agent, to confirm in a manner satisfactory to the Administrative Agent that it will comply with its funding obligations (provided that such Lender shall cease to be a Defaulting Lender pursuant to this clause (c) upon receipt of such confirmation by the Administrative Agent) or (d) has, or has a direct or indirect parent company that has, other than via an Undisclosed Administration, (i) become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1" w:name="page82"/>
    <w:bookmarkEnd w:id="81"/>
    <w:p>
      <w:pPr>
        <w:jc w:val="both"/>
        <w:spacing w:after="0" w:line="270" w:lineRule="auto"/>
        <w:rPr>
          <w:sz w:val="20"/>
          <w:szCs w:val="20"/>
          <w:color w:val="auto"/>
        </w:rPr>
      </w:pPr>
      <w:r>
        <w:rPr>
          <w:rFonts w:ascii="Arial" w:cs="Arial" w:eastAsia="Arial" w:hAnsi="Arial"/>
          <w:sz w:val="18"/>
          <w:szCs w:val="18"/>
          <w:color w:val="auto"/>
        </w:rPr>
        <w:t>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no Lender shall be a Defaulting Lender solely by virtue of (x) the ownership or acquisition by a Governmental Authority of any Equity Interest in that Lender or any direct or indirect parent company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(y) the occurrence of any of the events described in clause (d)(i), (d)(ii) or (d)(iii) of this definition which in each case has been dismissed or terminated prior to the date of this Agreement. Any determination by the Administrative Agent (or the Required Lenders to the extent that the Administrative Agent is a Defaulting Lender) that a Lender is a Defaulting Lender under any one or more of clauses (a) through (d) above shall be conclusive and binding absent manifest error, and such Lender shall be deemed to be a Defaulting Lender (subject to Section 2.18(b)) upon delivery of written notice of such determination to the Administrative Agent, the Borrower and each Lender, as applicable.</w:t>
      </w:r>
    </w:p>
    <w:p>
      <w:pPr>
        <w:spacing w:after="0" w:line="17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Non-cash Consideration</w:t>
      </w:r>
      <w:r>
        <w:rPr>
          <w:rFonts w:ascii="Arial" w:cs="Arial" w:eastAsia="Arial" w:hAnsi="Arial"/>
          <w:sz w:val="20"/>
          <w:szCs w:val="20"/>
          <w:color w:val="auto"/>
        </w:rPr>
        <w:t>” means the Fair Market Value of non-cash consideration received by the Borrower or one of its Restricted Subsidiaries in connection with an Asset Sale that is so designated as Designated Non-cash Consideration pursuant to an Officer’s Certificate, setting forth the basis of such valuation, less the amount of cash or Cash Equivalents received in connection with a subsequent sale of or collection on such Designated Non-cash Consideration.</w:t>
      </w:r>
    </w:p>
    <w:p>
      <w:pPr>
        <w:spacing w:after="0" w:line="19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Preferred Stock</w:t>
      </w:r>
      <w:r>
        <w:rPr>
          <w:rFonts w:ascii="Arial" w:cs="Arial" w:eastAsia="Arial" w:hAnsi="Arial"/>
          <w:sz w:val="20"/>
          <w:szCs w:val="20"/>
          <w:color w:val="auto"/>
        </w:rPr>
        <w:t>” means Preferred Stock of the Borrower or Holdings or any other direct or indirect parent of the Borrower, as applicable (other than Excluded Equity), that is issued after the Closing Date for cash and is so designated as Designated Preferred Stock, pursuant to an Officer’s Certificate, on the issuance date thereof, the cash proceeds of which are contributed to the capital of the Borrower (if issued by Holdings or any direct or indirect parent of the Borrower) and excluded from the calculation set forth in clause (iii) of the first paragraph of Section 7.06.</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Discounted Voluntary Prepayment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2.05(c)</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Disqualified Institution</w:t>
      </w:r>
      <w:r>
        <w:rPr>
          <w:rFonts w:ascii="Arial" w:cs="Arial" w:eastAsia="Arial" w:hAnsi="Arial"/>
          <w:sz w:val="18"/>
          <w:szCs w:val="18"/>
          <w:color w:val="auto"/>
        </w:rPr>
        <w:t>” means (a) each Person identified as a “Disqualified Institution” on a list delivered to the Administrative Agent by Holdings on or prior to November 8, 2018 (and, on and after the Closing Date, as such list may be updated by e-mail to JPMDQ_Contact@jpmorgan.com with the Administrative Agent’s consent (such consent not to be unreasonably withheld, conditioned or delayed)), (b) any Company Competitor identified on a list delivered to the Administrative Agent by the Borrower from time to time by e-mail to JPMDQ_Contact@jpmorgan.com and (c) as to any entity referenced in each of clauses (a) and (b) above (the “</w:t>
      </w:r>
      <w:r>
        <w:rPr>
          <w:rFonts w:ascii="Arial" w:cs="Arial" w:eastAsia="Arial" w:hAnsi="Arial"/>
          <w:sz w:val="18"/>
          <w:szCs w:val="18"/>
          <w:b w:val="1"/>
          <w:bCs w:val="1"/>
          <w:i w:val="1"/>
          <w:iCs w:val="1"/>
          <w:color w:val="auto"/>
        </w:rPr>
        <w:t>Primary Disqualified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Institution</w:t>
      </w:r>
      <w:r>
        <w:rPr>
          <w:rFonts w:ascii="Arial" w:cs="Arial" w:eastAsia="Arial" w:hAnsi="Arial"/>
          <w:sz w:val="18"/>
          <w:szCs w:val="18"/>
          <w:color w:val="auto"/>
        </w:rPr>
        <w:t>”), any of such Primary Disqualified Institution’s Affiliates identified in writing to the Administrative Agent from time to time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e-mail to JPMDQ_Contact@jpmorgan.com or otherwise readily identifiable as such by name, but excluding any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Primary Disqualified Institution does not, directly or indirectly, possess the power to direct or cause the direction of the investment policies of such entity; provided that any additional designation permitted by the foregoing shall not apply retroactively to any prior assignment or participation interest or to any trade to acquire such participation interest. Notwithstanding the foregoing, any list of Disqualified Institutions shall only be required to be available to any Lender or Participant or prospective Lender or Participant on the Platform or another similar electronic system upon written request by such Lender or Participant or prospective Lender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2" w:name="page83"/>
    <w:bookmarkEnd w:id="82"/>
    <w:p>
      <w:pPr>
        <w:jc w:val="both"/>
        <w:spacing w:after="0" w:line="256" w:lineRule="auto"/>
        <w:rPr>
          <w:sz w:val="20"/>
          <w:szCs w:val="20"/>
          <w:color w:val="auto"/>
        </w:rPr>
      </w:pPr>
      <w:r>
        <w:rPr>
          <w:rFonts w:ascii="Arial" w:cs="Arial" w:eastAsia="Arial" w:hAnsi="Arial"/>
          <w:sz w:val="19"/>
          <w:szCs w:val="19"/>
          <w:color w:val="auto"/>
        </w:rPr>
        <w:t xml:space="preserve">Participant and any Lender may provide the list of Disqualified Institutions to any prospective assignee or Participant on a confidential basis (it being understood that the identity of Disqualified Institutions will not be posted or distributed to any Person, other than a distribution by the Administrative Agent to a Lender upon written request and by a Lender to any prospective assignee or Participant on a confidential basis). For the purpose of clauses (a) and (b) in the previous sentence, such list shall be made available to the Administrative Agent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and any additions, deletions or other modifications to the list of Disqualified Institutions shall become effective within three Business Days after delivery to the Administrative Agent.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or the restrictions on any exercise of rights or remedies of, any Disqualified Institution.</w:t>
      </w:r>
    </w:p>
    <w:p>
      <w:pPr>
        <w:spacing w:after="0" w:line="18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Disqualified Stock</w:t>
      </w:r>
      <w:r>
        <w:rPr>
          <w:rFonts w:ascii="Arial" w:cs="Arial" w:eastAsia="Arial" w:hAnsi="Arial"/>
          <w:sz w:val="20"/>
          <w:szCs w:val="20"/>
          <w:color w:val="auto"/>
        </w:rPr>
        <w:t>” means, with respect to any Person, any Equity Interests of such Person that, by its terms (or by the terms of any security into which it is convertible or for which it is redeemable or exchangeable), in each case, at the option of the holder thereof or upon the happening of any event:</w:t>
      </w:r>
    </w:p>
    <w:p>
      <w:pPr>
        <w:spacing w:after="0" w:line="186" w:lineRule="exact"/>
        <w:rPr>
          <w:sz w:val="20"/>
          <w:szCs w:val="20"/>
          <w:color w:val="auto"/>
        </w:rPr>
      </w:pPr>
    </w:p>
    <w:p>
      <w:pPr>
        <w:jc w:val="both"/>
        <w:ind w:left="380" w:firstLine="2"/>
        <w:spacing w:after="0" w:line="278" w:lineRule="auto"/>
        <w:tabs>
          <w:tab w:leader="none" w:pos="7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matures or is mandatorily redeemable, pursuant to a sinking fund obligation or otherwise (other than as a result of a change of control or asset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relevant asset sale or change of control provisions, taken as a whole, are no more favorable in any material respect to holders of such Equity Interests than the asset sale and change of control provisions applicable to any Senior Notes and any purchase requirement triggered thereby may not become operative until compliance with the asset sale and change of control provisions applicable to any Senior Notes (including the purchase of any Senior Notes tendered pursuant thereto)),</w:t>
      </w:r>
    </w:p>
    <w:p>
      <w:pPr>
        <w:spacing w:after="0" w:line="56" w:lineRule="exact"/>
        <w:rPr>
          <w:rFonts w:ascii="Arial" w:cs="Arial" w:eastAsia="Arial" w:hAnsi="Arial"/>
          <w:sz w:val="18"/>
          <w:szCs w:val="18"/>
          <w:color w:val="auto"/>
        </w:rPr>
      </w:pPr>
    </w:p>
    <w:p>
      <w:pPr>
        <w:ind w:left="780" w:hanging="398"/>
        <w:spacing w:after="0"/>
        <w:tabs>
          <w:tab w:leader="none" w:pos="7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convertible or exchangeable for Indebtedness or Disqualified Stock, or</w:t>
      </w:r>
    </w:p>
    <w:p>
      <w:pPr>
        <w:spacing w:after="0" w:line="107" w:lineRule="exact"/>
        <w:rPr>
          <w:rFonts w:ascii="Arial" w:cs="Arial" w:eastAsia="Arial" w:hAnsi="Arial"/>
          <w:sz w:val="20"/>
          <w:szCs w:val="20"/>
          <w:color w:val="auto"/>
        </w:rPr>
      </w:pPr>
    </w:p>
    <w:p>
      <w:pPr>
        <w:ind w:left="780" w:hanging="398"/>
        <w:spacing w:after="0"/>
        <w:tabs>
          <w:tab w:leader="none" w:pos="7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redeemable at the option of the holder thereof, in whole or in part,</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in each case prior to 91 days after the Latest Maturity Date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only the portion of Equity Interests that so matures or is mandatorily redeemable, is so convertible or exchangeable or is so redeemable at the option of the holder thereof prior to such date shall be deemed to be Disqualified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Equity Interests are issued to any employee or to any plan for the benefit of employees of the Borrower or its Subsidiaries or a direct or indirect parent of the Borrower by any such plan to such employees, such Equity Interests shall not constitute Disqualified Stock solely because it may be required to be repurchased by the Borrower or its Subsidiaries or a direct or indirect parent of the Borrower in order to satisfy applicable statutory or regulatory obligations or as a result of such employee’s termination, death or disability;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class of Equity Interests of such Person that by its terms authorizes such Person to satisfy its obligations thereunder by delivery of Equity Interests that are not Disqualified Stock shall not be deemed to be Disqualified Stock.</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Dividing Person</w:t>
      </w:r>
      <w:r>
        <w:rPr>
          <w:rFonts w:ascii="Arial" w:cs="Arial" w:eastAsia="Arial" w:hAnsi="Arial"/>
          <w:sz w:val="20"/>
          <w:szCs w:val="20"/>
          <w:color w:val="auto"/>
        </w:rPr>
        <w:t>” has the meaning assigned to it in the definition of “</w:t>
      </w:r>
      <w:r>
        <w:rPr>
          <w:rFonts w:ascii="Arial" w:cs="Arial" w:eastAsia="Arial" w:hAnsi="Arial"/>
          <w:sz w:val="20"/>
          <w:szCs w:val="20"/>
          <w:b w:val="1"/>
          <w:bCs w:val="1"/>
          <w:i w:val="1"/>
          <w:iCs w:val="1"/>
          <w:color w:val="auto"/>
        </w:rPr>
        <w:t>Division</w:t>
      </w:r>
      <w:r>
        <w:rPr>
          <w:rFonts w:ascii="Arial" w:cs="Arial" w:eastAsia="Arial" w:hAnsi="Arial"/>
          <w:sz w:val="20"/>
          <w:szCs w:val="20"/>
          <w:color w:val="auto"/>
        </w:rPr>
        <w:t>”.</w:t>
      </w:r>
    </w:p>
    <w:p>
      <w:pPr>
        <w:spacing w:after="0" w:line="216" w:lineRule="exact"/>
        <w:rPr>
          <w:sz w:val="20"/>
          <w:szCs w:val="20"/>
          <w:color w:val="auto"/>
        </w:rPr>
      </w:pPr>
    </w:p>
    <w:p>
      <w:pPr>
        <w:jc w:val="both"/>
        <w:ind w:right="200"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Division</w:t>
      </w:r>
      <w:r>
        <w:rPr>
          <w:rFonts w:ascii="Arial" w:cs="Arial" w:eastAsia="Arial" w:hAnsi="Arial"/>
          <w:sz w:val="20"/>
          <w:szCs w:val="20"/>
          <w:color w:val="auto"/>
        </w:rPr>
        <w:t>” means the division of the assets, liabilities and/or obligations of a Person (the “</w:t>
      </w:r>
      <w:r>
        <w:rPr>
          <w:rFonts w:ascii="Arial" w:cs="Arial" w:eastAsia="Arial" w:hAnsi="Arial"/>
          <w:sz w:val="20"/>
          <w:szCs w:val="20"/>
          <w:b w:val="1"/>
          <w:bCs w:val="1"/>
          <w:i w:val="1"/>
          <w:iCs w:val="1"/>
          <w:color w:val="auto"/>
        </w:rPr>
        <w:t>Dividing Person</w:t>
      </w:r>
      <w:r>
        <w:rPr>
          <w:rFonts w:ascii="Arial" w:cs="Arial" w:eastAsia="Arial" w:hAnsi="Arial"/>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Division Successor</w:t>
      </w:r>
      <w:r>
        <w:rPr>
          <w:rFonts w:ascii="Arial" w:cs="Arial" w:eastAsia="Arial" w:hAnsi="Arial"/>
          <w:sz w:val="20"/>
          <w:szCs w:val="20"/>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3" w:name="page84"/>
    <w:bookmarkEnd w:id="83"/>
    <w:p>
      <w:pPr>
        <w:ind w:right="500"/>
        <w:spacing w:after="0" w:line="260" w:lineRule="auto"/>
        <w:rPr>
          <w:sz w:val="20"/>
          <w:szCs w:val="20"/>
          <w:color w:val="auto"/>
        </w:rPr>
      </w:pPr>
      <w:r>
        <w:rPr>
          <w:rFonts w:ascii="Arial" w:cs="Arial" w:eastAsia="Arial" w:hAnsi="Arial"/>
          <w:sz w:val="20"/>
          <w:szCs w:val="20"/>
          <w:color w:val="auto"/>
        </w:rPr>
        <w:t>retains any of its assets, liabilities and/or obligations after a Division shall be deemed a Division Successor upon the occurrence of such Division.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Documentation Agent</w:t>
      </w:r>
      <w:r>
        <w:rPr>
          <w:rFonts w:ascii="Arial" w:cs="Arial" w:eastAsia="Arial" w:hAnsi="Arial"/>
          <w:sz w:val="20"/>
          <w:szCs w:val="20"/>
          <w:color w:val="auto"/>
        </w:rPr>
        <w:t>” means each entity listed as Documentation Agent on the cover page hereto.</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w:t>
      </w:r>
      <w:r>
        <w:rPr>
          <w:rFonts w:ascii="Arial" w:cs="Arial" w:eastAsia="Arial" w:hAnsi="Arial"/>
          <w:sz w:val="20"/>
          <w:szCs w:val="20"/>
          <w:color w:val="auto"/>
        </w:rPr>
        <w:t>” and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means a Restricted Subsidiary that is not a Foreign Subsidiary.</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Dutch Auction</w:t>
      </w:r>
      <w:r>
        <w:rPr>
          <w:rFonts w:ascii="Arial" w:cs="Arial" w:eastAsia="Arial" w:hAnsi="Arial"/>
          <w:sz w:val="20"/>
          <w:szCs w:val="20"/>
          <w:color w:val="auto"/>
        </w:rPr>
        <w:t xml:space="preserve">” means an auction (an “ </w:t>
      </w:r>
      <w:r>
        <w:rPr>
          <w:rFonts w:ascii="Arial" w:cs="Arial" w:eastAsia="Arial" w:hAnsi="Arial"/>
          <w:sz w:val="20"/>
          <w:szCs w:val="20"/>
          <w:b w:val="1"/>
          <w:bCs w:val="1"/>
          <w:i w:val="1"/>
          <w:iCs w:val="1"/>
          <w:color w:val="auto"/>
        </w:rPr>
        <w:t>Auction</w:t>
      </w:r>
      <w:r>
        <w:rPr>
          <w:rFonts w:ascii="Arial" w:cs="Arial" w:eastAsia="Arial" w:hAnsi="Arial"/>
          <w:sz w:val="20"/>
          <w:szCs w:val="20"/>
          <w:color w:val="auto"/>
        </w:rPr>
        <w:t>”) conducted by a Purchasing Borrower Party in order to purchase Term Loans, New Term Loans and Specified Refinancing Term Loans in accordance with the following procedures or such other procedures as may be agreed to between the Administrative Agent and the Borrower:</w:t>
      </w:r>
    </w:p>
    <w:p>
      <w:pPr>
        <w:spacing w:after="0" w:line="186" w:lineRule="exact"/>
        <w:rPr>
          <w:sz w:val="20"/>
          <w:szCs w:val="20"/>
          <w:color w:val="auto"/>
        </w:rPr>
      </w:pPr>
    </w:p>
    <w:p>
      <w:pPr>
        <w:jc w:val="both"/>
        <w:ind w:left="380" w:firstLine="2"/>
        <w:spacing w:after="0" w:line="242" w:lineRule="auto"/>
        <w:tabs>
          <w:tab w:leader="none" w:pos="817" w:val="left"/>
        </w:tabs>
        <w:numPr>
          <w:ilvl w:val="0"/>
          <w:numId w:val="54"/>
        </w:numPr>
        <w:rPr>
          <w:rFonts w:ascii="Arial" w:cs="Arial" w:eastAsia="Arial" w:hAnsi="Arial"/>
          <w:sz w:val="20"/>
          <w:szCs w:val="20"/>
          <w:color w:val="auto"/>
        </w:rPr>
      </w:pPr>
      <w:r>
        <w:rPr>
          <w:rFonts w:ascii="Arial" w:cs="Arial" w:eastAsia="Arial" w:hAnsi="Arial"/>
          <w:sz w:val="20"/>
          <w:szCs w:val="20"/>
          <w:i w:val="1"/>
          <w:iCs w:val="1"/>
          <w:color w:val="auto"/>
        </w:rPr>
        <w:t>Notice Procedures</w:t>
      </w:r>
      <w:r>
        <w:rPr>
          <w:rFonts w:ascii="Arial" w:cs="Arial" w:eastAsia="Arial" w:hAnsi="Arial"/>
          <w:sz w:val="20"/>
          <w:szCs w:val="20"/>
          <w:color w:val="auto"/>
        </w:rPr>
        <w:t>. In connection with an Auction, the Borrower will provide notification to the Administrative Agent (for</w:t>
      </w:r>
      <w:r>
        <w:rPr>
          <w:rFonts w:ascii="Arial" w:cs="Arial" w:eastAsia="Arial" w:hAnsi="Arial"/>
          <w:sz w:val="20"/>
          <w:szCs w:val="20"/>
          <w:i w:val="1"/>
          <w:iCs w:val="1"/>
          <w:color w:val="auto"/>
        </w:rPr>
        <w:t xml:space="preserve"> </w:t>
      </w:r>
      <w:r>
        <w:rPr>
          <w:rFonts w:ascii="Arial" w:cs="Arial" w:eastAsia="Arial" w:hAnsi="Arial"/>
          <w:sz w:val="20"/>
          <w:szCs w:val="20"/>
          <w:color w:val="auto"/>
        </w:rPr>
        <w:t>distribution to the applicable Lenders) of the Term Loans, New Term Loans or Specified Refinancing Term Loans that will be the subject of the Auction (an “</w:t>
      </w:r>
      <w:r>
        <w:rPr>
          <w:rFonts w:ascii="Arial" w:cs="Arial" w:eastAsia="Arial" w:hAnsi="Arial"/>
          <w:sz w:val="20"/>
          <w:szCs w:val="20"/>
          <w:b w:val="1"/>
          <w:bCs w:val="1"/>
          <w:i w:val="1"/>
          <w:iCs w:val="1"/>
          <w:color w:val="auto"/>
        </w:rPr>
        <w:t>Auction Notice</w:t>
      </w:r>
      <w:r>
        <w:rPr>
          <w:rFonts w:ascii="Arial" w:cs="Arial" w:eastAsia="Arial" w:hAnsi="Arial"/>
          <w:sz w:val="20"/>
          <w:szCs w:val="20"/>
          <w:color w:val="auto"/>
        </w:rPr>
        <w:t>”). Each Auction Notice shall be in a form reasonably acceptable to the Administrative Agent and shall contain (i) the total cash value of the bid, in a minimum amount of $10,000,000 with minimum increments of $1,000,000 (the “</w:t>
      </w:r>
      <w:r>
        <w:rPr>
          <w:rFonts w:ascii="Arial" w:cs="Arial" w:eastAsia="Arial" w:hAnsi="Arial"/>
          <w:sz w:val="20"/>
          <w:szCs w:val="20"/>
          <w:b w:val="1"/>
          <w:bCs w:val="1"/>
          <w:i w:val="1"/>
          <w:iCs w:val="1"/>
          <w:color w:val="auto"/>
        </w:rPr>
        <w:t>Auction Amount</w:t>
      </w:r>
      <w:r>
        <w:rPr>
          <w:rFonts w:ascii="Arial" w:cs="Arial" w:eastAsia="Arial" w:hAnsi="Arial"/>
          <w:sz w:val="20"/>
          <w:szCs w:val="20"/>
          <w:color w:val="auto"/>
        </w:rPr>
        <w:t>”), (ii) the discount to par, which shall be a range (the “</w:t>
      </w:r>
      <w:r>
        <w:rPr>
          <w:rFonts w:ascii="Arial" w:cs="Arial" w:eastAsia="Arial" w:hAnsi="Arial"/>
          <w:sz w:val="20"/>
          <w:szCs w:val="20"/>
          <w:b w:val="1"/>
          <w:bCs w:val="1"/>
          <w:i w:val="1"/>
          <w:iCs w:val="1"/>
          <w:color w:val="auto"/>
        </w:rPr>
        <w:t>Discount Range</w:t>
      </w:r>
      <w:r>
        <w:rPr>
          <w:rFonts w:ascii="Arial" w:cs="Arial" w:eastAsia="Arial" w:hAnsi="Arial"/>
          <w:sz w:val="20"/>
          <w:szCs w:val="20"/>
          <w:color w:val="auto"/>
        </w:rPr>
        <w:t>”) of percentages of the par principal amount of the Term Loans, New Term Loans or Specified Refinancing Term Loans at issue that represents the range of purchase prices that could be paid in the Auction and (iii) the date by which Lenders are required to indicate their election to participate in such proposed Discounted Voluntary Prepayment.</w:t>
      </w:r>
    </w:p>
    <w:p>
      <w:pPr>
        <w:spacing w:after="0" w:line="88" w:lineRule="exact"/>
        <w:rPr>
          <w:rFonts w:ascii="Arial" w:cs="Arial" w:eastAsia="Arial" w:hAnsi="Arial"/>
          <w:sz w:val="20"/>
          <w:szCs w:val="20"/>
          <w:color w:val="auto"/>
        </w:rPr>
      </w:pPr>
    </w:p>
    <w:p>
      <w:pPr>
        <w:jc w:val="both"/>
        <w:ind w:left="380" w:firstLine="2"/>
        <w:spacing w:after="0" w:line="257" w:lineRule="auto"/>
        <w:tabs>
          <w:tab w:leader="none" w:pos="786"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Reply Procedures</w:t>
      </w:r>
      <w:r>
        <w:rPr>
          <w:rFonts w:ascii="Arial" w:cs="Arial" w:eastAsia="Arial" w:hAnsi="Arial"/>
          <w:sz w:val="19"/>
          <w:szCs w:val="19"/>
          <w:color w:val="auto"/>
        </w:rPr>
        <w:t>. In connection with any Auction, each applicable Lender may, in its sole discretion, participate in such Auction</w:t>
      </w:r>
      <w:r>
        <w:rPr>
          <w:rFonts w:ascii="Arial" w:cs="Arial" w:eastAsia="Arial" w:hAnsi="Arial"/>
          <w:sz w:val="19"/>
          <w:szCs w:val="19"/>
          <w:i w:val="1"/>
          <w:iCs w:val="1"/>
          <w:color w:val="auto"/>
        </w:rPr>
        <w:t xml:space="preserve"> </w:t>
      </w:r>
      <w:r>
        <w:rPr>
          <w:rFonts w:ascii="Arial" w:cs="Arial" w:eastAsia="Arial" w:hAnsi="Arial"/>
          <w:sz w:val="19"/>
          <w:szCs w:val="19"/>
          <w:color w:val="auto"/>
        </w:rPr>
        <w:t>and may provide the Administrative Agent with a notice of participation (the “</w:t>
      </w:r>
      <w:r>
        <w:rPr>
          <w:rFonts w:ascii="Arial" w:cs="Arial" w:eastAsia="Arial" w:hAnsi="Arial"/>
          <w:sz w:val="19"/>
          <w:szCs w:val="19"/>
          <w:b w:val="1"/>
          <w:bCs w:val="1"/>
          <w:i w:val="1"/>
          <w:iCs w:val="1"/>
          <w:color w:val="auto"/>
        </w:rPr>
        <w:t>Return Bid</w:t>
      </w:r>
      <w:r>
        <w:rPr>
          <w:rFonts w:ascii="Arial" w:cs="Arial" w:eastAsia="Arial" w:hAnsi="Arial"/>
          <w:sz w:val="19"/>
          <w:szCs w:val="19"/>
          <w:color w:val="auto"/>
        </w:rPr>
        <w:t>”) which shall be in a form reasonably acceptable to the Administrative Agent and shall specify (i) a discount to par that must be expressed as a price (the “</w:t>
      </w:r>
      <w:r>
        <w:rPr>
          <w:rFonts w:ascii="Arial" w:cs="Arial" w:eastAsia="Arial" w:hAnsi="Arial"/>
          <w:sz w:val="19"/>
          <w:szCs w:val="19"/>
          <w:b w:val="1"/>
          <w:bCs w:val="1"/>
          <w:i w:val="1"/>
          <w:iCs w:val="1"/>
          <w:color w:val="auto"/>
        </w:rPr>
        <w:t>Reply Discount</w:t>
      </w:r>
      <w:r>
        <w:rPr>
          <w:rFonts w:ascii="Arial" w:cs="Arial" w:eastAsia="Arial" w:hAnsi="Arial"/>
          <w:sz w:val="19"/>
          <w:szCs w:val="19"/>
          <w:color w:val="auto"/>
        </w:rPr>
        <w:t>”), which must be within the Discount Range, and (ii) a principal amount of the applicable Loans which must be in increments of $1,000,000 (the “</w:t>
      </w:r>
      <w:r>
        <w:rPr>
          <w:rFonts w:ascii="Arial" w:cs="Arial" w:eastAsia="Arial" w:hAnsi="Arial"/>
          <w:sz w:val="19"/>
          <w:szCs w:val="19"/>
          <w:b w:val="1"/>
          <w:bCs w:val="1"/>
          <w:i w:val="1"/>
          <w:iCs w:val="1"/>
          <w:color w:val="auto"/>
        </w:rPr>
        <w:t>Reply Amount</w:t>
      </w:r>
      <w:r>
        <w:rPr>
          <w:rFonts w:ascii="Arial" w:cs="Arial" w:eastAsia="Arial" w:hAnsi="Arial"/>
          <w:sz w:val="19"/>
          <w:szCs w:val="19"/>
          <w:color w:val="auto"/>
        </w:rPr>
        <w:t>”). A Lender may avoid the minimum increment amount condition solely when submitting a Reply Amount equal to the Lender’s entire remaining amount of the applicable Loans. Lenders may only submit one Return Bid per Auction. In addition to the Return Bid, the participating Lender must execute and deliver, to be held in escrow by the Administrative Agent, a form of assignment and acceptance in a form reasonably acceptable to the Administrative Agent.</w:t>
      </w:r>
    </w:p>
    <w:p>
      <w:pPr>
        <w:spacing w:after="0" w:line="72" w:lineRule="exact"/>
        <w:rPr>
          <w:rFonts w:ascii="Arial" w:cs="Arial" w:eastAsia="Arial" w:hAnsi="Arial"/>
          <w:sz w:val="19"/>
          <w:szCs w:val="19"/>
          <w:color w:val="auto"/>
        </w:rPr>
      </w:pPr>
    </w:p>
    <w:p>
      <w:pPr>
        <w:jc w:val="both"/>
        <w:ind w:left="380" w:firstLine="2"/>
        <w:spacing w:after="0" w:line="256" w:lineRule="auto"/>
        <w:tabs>
          <w:tab w:leader="none" w:pos="841"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Acceptance Procedures</w:t>
      </w:r>
      <w:r>
        <w:rPr>
          <w:rFonts w:ascii="Arial" w:cs="Arial" w:eastAsia="Arial" w:hAnsi="Arial"/>
          <w:sz w:val="19"/>
          <w:szCs w:val="19"/>
          <w:color w:val="auto"/>
        </w:rPr>
        <w:t>. Based on the Reply Discounts and Reply Amounts received by the Administrative Agent,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Agent, in consultation with the Borrower, will determine the applicable discount (the “</w:t>
      </w:r>
      <w:r>
        <w:rPr>
          <w:rFonts w:ascii="Arial" w:cs="Arial" w:eastAsia="Arial" w:hAnsi="Arial"/>
          <w:sz w:val="19"/>
          <w:szCs w:val="19"/>
          <w:b w:val="1"/>
          <w:bCs w:val="1"/>
          <w:i w:val="1"/>
          <w:iCs w:val="1"/>
          <w:color w:val="auto"/>
        </w:rPr>
        <w:t>Applicable Discount</w:t>
      </w:r>
      <w:r>
        <w:rPr>
          <w:rFonts w:ascii="Arial" w:cs="Arial" w:eastAsia="Arial" w:hAnsi="Arial"/>
          <w:sz w:val="19"/>
          <w:szCs w:val="19"/>
          <w:color w:val="auto"/>
        </w:rPr>
        <w:t xml:space="preserve">”) for the Auction, which will be the lowest Reply Discount for which Holdings or its Subsidiary, as applicable, can complete the Auction at the Auction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Reply Amounts are insufficient to allow Holdings or its Subsidiary, as applicable, to complete a purchase of the entire Auction Amount, Holdings or its Subsidiary shall either, at its election, (i) withdraw the Auction or (ii) complete the Auction at an Applicable Discount equal to the highest Reply Discount. Holdings or its Subsidiary, as applicable, shall purchase the applicable Loans (or the respective portions thereof) from each applicable Lender with a Reply Discount that is equal to or greater than the Applicable Discount (“</w:t>
      </w:r>
      <w:r>
        <w:rPr>
          <w:rFonts w:ascii="Arial" w:cs="Arial" w:eastAsia="Arial" w:hAnsi="Arial"/>
          <w:sz w:val="19"/>
          <w:szCs w:val="19"/>
          <w:b w:val="1"/>
          <w:bCs w:val="1"/>
          <w:i w:val="1"/>
          <w:iCs w:val="1"/>
          <w:color w:val="auto"/>
        </w:rPr>
        <w:t>Qualifying Bids</w:t>
      </w:r>
      <w:r>
        <w:rPr>
          <w:rFonts w:ascii="Arial" w:cs="Arial" w:eastAsia="Arial" w:hAnsi="Arial"/>
          <w:sz w:val="19"/>
          <w:szCs w:val="19"/>
          <w:color w:val="auto"/>
        </w:rPr>
        <w:t xml:space="preserve">”) at the Applicable Discount;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proceeds required to purchase all applicable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4" w:name="page85"/>
    <w:bookmarkEnd w:id="84"/>
    <w:p>
      <w:pPr>
        <w:jc w:val="both"/>
        <w:ind w:left="380"/>
        <w:spacing w:after="0" w:line="263" w:lineRule="auto"/>
        <w:rPr>
          <w:sz w:val="20"/>
          <w:szCs w:val="20"/>
          <w:color w:val="auto"/>
        </w:rPr>
      </w:pPr>
      <w:r>
        <w:rPr>
          <w:rFonts w:ascii="Arial" w:cs="Arial" w:eastAsia="Arial" w:hAnsi="Arial"/>
          <w:sz w:val="19"/>
          <w:szCs w:val="19"/>
          <w:color w:val="auto"/>
        </w:rPr>
        <w:t>Loans subject to Qualifying Bids would exceed the Auction Amount for such Auction, Holdings or its Subsidiary, as applicable, shall purchase such Loans at the Applicable Discount ratably based on the principal amounts of such Qualifying Bids (subject to rounding requirements specified by the Administrative Agent). Each participating Lender will receive notice of a Qualifying Bid as soon as reasonably practicable but in no case later than five Business Days from the date the Return Bid was due.</w:t>
      </w:r>
    </w:p>
    <w:p>
      <w:pPr>
        <w:spacing w:after="0" w:line="68" w:lineRule="exact"/>
        <w:rPr>
          <w:sz w:val="20"/>
          <w:szCs w:val="20"/>
          <w:color w:val="auto"/>
        </w:rPr>
      </w:pPr>
    </w:p>
    <w:p>
      <w:pPr>
        <w:jc w:val="both"/>
        <w:ind w:left="380" w:firstLine="2"/>
        <w:spacing w:after="0" w:line="259" w:lineRule="auto"/>
        <w:tabs>
          <w:tab w:leader="none" w:pos="781"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Subject to clause (C) above (including the right of the Borrower to withdraw any Auction), each Discounted Voluntary Prepayment shall be made without premium or penalty (but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upon irrevocable notice as described above. Upon receipt of any notice of Discounted Voluntary Prepayment, the Administrative Agent shall promptly notify each relevant Lender thereof. If any notice of Discounted Voluntary Prepayment is given, the amount specified in such notice shall be due and payable to the applicable Lenders, subject to the Applicable Discount on the applicable Loans, on the date specified therein together with accrued interest (on the par principal amount) to but not including such date on the amount prepaid.</w:t>
      </w:r>
    </w:p>
    <w:p>
      <w:pPr>
        <w:spacing w:after="0" w:line="70" w:lineRule="exact"/>
        <w:rPr>
          <w:rFonts w:ascii="Arial" w:cs="Arial" w:eastAsia="Arial" w:hAnsi="Arial"/>
          <w:sz w:val="19"/>
          <w:szCs w:val="19"/>
          <w:color w:val="auto"/>
        </w:rPr>
      </w:pPr>
    </w:p>
    <w:p>
      <w:pPr>
        <w:jc w:val="both"/>
        <w:ind w:left="380" w:firstLine="2"/>
        <w:spacing w:after="0" w:line="246" w:lineRule="auto"/>
        <w:tabs>
          <w:tab w:leader="none" w:pos="778"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Additional Procedures</w:t>
      </w:r>
      <w:r>
        <w:rPr>
          <w:rFonts w:ascii="Arial" w:cs="Arial" w:eastAsia="Arial" w:hAnsi="Arial"/>
          <w:sz w:val="20"/>
          <w:szCs w:val="20"/>
          <w:color w:val="auto"/>
        </w:rPr>
        <w:t>. Once initiated by an Auction Notice, Holdings or its Subsidiary, as applicable, may withdraw an Auction in</w:t>
      </w:r>
      <w:r>
        <w:rPr>
          <w:rFonts w:ascii="Arial" w:cs="Arial" w:eastAsia="Arial" w:hAnsi="Arial"/>
          <w:sz w:val="20"/>
          <w:szCs w:val="20"/>
          <w:i w:val="1"/>
          <w:iCs w:val="1"/>
          <w:color w:val="auto"/>
        </w:rPr>
        <w:t xml:space="preserve"> </w:t>
      </w:r>
      <w:r>
        <w:rPr>
          <w:rFonts w:ascii="Arial" w:cs="Arial" w:eastAsia="Arial" w:hAnsi="Arial"/>
          <w:sz w:val="20"/>
          <w:szCs w:val="20"/>
          <w:color w:val="auto"/>
        </w:rPr>
        <w:t>their sole and absolute discretion at any time. Furthermore, in connection with any Auction, upon submission by a Lender of a Qualifying Bid, such Lender will be obligated to sell the entirety or its allocable portion of the Reply Amount, as the case may be, at the Applicable Discount.</w:t>
      </w:r>
    </w:p>
    <w:p>
      <w:pPr>
        <w:spacing w:after="0" w:line="8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10.07(b)</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10.07(b)(iii)</w:t>
      </w:r>
      <w:r>
        <w:rPr>
          <w:rFonts w:ascii="Arial" w:cs="Arial" w:eastAsia="Arial" w:hAnsi="Arial"/>
          <w:sz w:val="20"/>
          <w:szCs w:val="20"/>
          <w:color w:val="auto"/>
        </w:rPr>
        <w:t>).</w:t>
      </w:r>
    </w:p>
    <w:p>
      <w:pPr>
        <w:spacing w:after="0" w:line="177" w:lineRule="exact"/>
        <w:rPr>
          <w:sz w:val="20"/>
          <w:szCs w:val="20"/>
          <w:color w:val="auto"/>
        </w:rPr>
      </w:pPr>
    </w:p>
    <w:p>
      <w:pPr>
        <w:jc w:val="both"/>
        <w:ind w:firstLine="81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w:t>
      </w:r>
      <w:r>
        <w:rPr>
          <w:rFonts w:ascii="Arial" w:cs="Arial" w:eastAsia="Arial" w:hAnsi="Arial"/>
          <w:sz w:val="20"/>
          <w:szCs w:val="20"/>
          <w:color w:val="auto"/>
        </w:rPr>
        <w:t xml:space="preserve"> ” means ambient air, indoor air, surface water, groundwater, drinking water, land surface and subsurface strata and natural resources such as wetlands, flora and fauna.</w:t>
      </w:r>
    </w:p>
    <w:p>
      <w:pPr>
        <w:spacing w:after="0" w:line="17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Claim</w:t>
      </w:r>
      <w:r>
        <w:rPr>
          <w:rFonts w:ascii="Arial" w:cs="Arial" w:eastAsia="Arial" w:hAnsi="Arial"/>
          <w:sz w:val="18"/>
          <w:szCs w:val="18"/>
          <w:color w:val="auto"/>
        </w:rPr>
        <w:t>” means any investigation, notice, notice of violation or of potential responsibility,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(iii) in connection with any actual or alleged damage, injury, threat or harm to health, safety or the Environment.</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means any and all current or future federal, state, local and foreign statutes, laws, including common law, regulations or ordinances, rules, judgments, orders, decrees, permits licenses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0"/>
          <w:szCs w:val="20"/>
          <w:color w:val="auto"/>
        </w:rPr>
        <w:t>or restrictions imposed by a Governmental Authority relating to pollution or protection of the Environment and protection of human health (to the extent relating to exposure to Hazardous Materials), including those relating to the generation, use, handling, storage, transportation, treatment or Release or threat of Release of Hazardous Materials.</w:t>
      </w:r>
    </w:p>
    <w:p>
      <w:pPr>
        <w:spacing w:after="0" w:line="18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Liability</w:t>
      </w:r>
      <w:r>
        <w:rPr>
          <w:rFonts w:ascii="Arial" w:cs="Arial" w:eastAsia="Arial" w:hAnsi="Arial"/>
          <w:sz w:val="20"/>
          <w:szCs w:val="20"/>
          <w:color w:val="auto"/>
        </w:rPr>
        <w:t>” means any liability, contingent or otherwise (including any liability for damages, costs of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or (e) any contract, agreement or other binding consensual arrangement pursuant to which liability is assumed or imposed with respect to any of the foregoing.</w:t>
      </w:r>
    </w:p>
    <w:p>
      <w:pPr>
        <w:spacing w:after="0" w:line="19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Interests</w:t>
      </w:r>
      <w:r>
        <w:rPr>
          <w:rFonts w:ascii="Arial" w:cs="Arial" w:eastAsia="Arial" w:hAnsi="Arial"/>
          <w:sz w:val="20"/>
          <w:szCs w:val="20"/>
          <w:color w:val="auto"/>
        </w:rPr>
        <w:t>” means Capital Stock and all warrants, options or other rights to acquire Capital Stock (but excluding any Capital Stock that arises only by reason of the happening of a contingency that is outside the control of the holder of such Capital Stock or any debt security that is convertible into, or exchangeable for, Capital Stock).</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Issuance</w:t>
      </w:r>
      <w:r>
        <w:rPr>
          <w:rFonts w:ascii="Arial" w:cs="Arial" w:eastAsia="Arial" w:hAnsi="Arial"/>
          <w:sz w:val="20"/>
          <w:szCs w:val="20"/>
          <w:color w:val="auto"/>
        </w:rPr>
        <w:t>” means any issuance by any Person to any other Person of (a) its Equity Interests for cash, (b) any of its Equity Interests pursuant to the exercise of options or warrants, (c) any of its Equity Interests pursuant to the conversion of any debt securities to equity or (d) any options or warrants relating to its Equity Interests.</w:t>
      </w:r>
    </w:p>
    <w:p>
      <w:pPr>
        <w:spacing w:after="0" w:line="186"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means the Employee Retirement Income Security Act of 1974, and the rules and regulations thereunder, each as amended or modified from time to time.</w:t>
      </w:r>
    </w:p>
    <w:p>
      <w:pPr>
        <w:spacing w:after="0" w:line="17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as applied to any Person, (i) any corporation which is a member of a controlled group of corporations within the meaning of Section 414(b) of the Code of which that Person is a member; (ii) any trade or business (whether or not incorporated) which is a member of a group of trades or businesses under common control within the meaning of Section 414(c) of the Code of which that Person is a member; and (iii) any member of an affiliated service group within the meaning of Section 414(m) or (o) of the Code of which that Person, any corporation described in clause (i) above or any trade or business described in clause (ii) above is a member.</w:t>
      </w:r>
    </w:p>
    <w:p>
      <w:pPr>
        <w:spacing w:after="0" w:line="16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means (a) a Reportable Event with respect to a Pension Plan; (b) a withdrawal by the Borrower, any Subsidiary or any ERISA Affiliate from a Pension Plan subject to Section 4063 of ERISA during a plan year in which it was a substantial employer (as defined in Section 4001(a)(2) of ERISA) or a cessation of operations that is treated as such a withdrawal under Section 4062(e) of ERISA;</w:t>
      </w:r>
    </w:p>
    <w:p>
      <w:pPr>
        <w:spacing w:after="0" w:line="1" w:lineRule="exact"/>
        <w:rPr>
          <w:sz w:val="20"/>
          <w:szCs w:val="20"/>
          <w:color w:val="auto"/>
        </w:rPr>
      </w:pPr>
    </w:p>
    <w:p>
      <w:pPr>
        <w:jc w:val="both"/>
        <w:ind w:firstLine="8"/>
        <w:spacing w:after="0" w:line="254" w:lineRule="auto"/>
        <w:tabs>
          <w:tab w:leader="none" w:pos="271"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complete or partial withdrawal by the Borrower, any Subsidiary or any ERISA Affiliate from a Multiemployer Plan or notification that a Multiemployer Plan is in “endangered” or “critical” status (within the meaning of Section 432 of the Internal Revenue Code or Section 305 of ERISA); (d) the filing of a notice of intent to terminate,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with respect to a Pension Plan, the failure to satisfy the minimum funding standard of Section 412 of the Code and Section 302 of ERISA, whether or not waived; (g) the failure to make by its due date a required contribution under Section 412(m) of the Code (or Section 430(j) of the Code, as amended by the Pension Protection Act of 2006) with respect to any Pension Plan or the failure to make any required contribution to a Multiemployer Plan; (h) the imposition of any liability under Title IV of ERISA, other than for PBGC premiums, upon the Borrower, any Subsidiary or any ERISA Affiliate or (i) the occurrence of a nonexempt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6" w:name="page87"/>
    <w:bookmarkEnd w:id="86"/>
    <w:p>
      <w:pPr>
        <w:spacing w:after="0" w:line="260" w:lineRule="auto"/>
        <w:rPr>
          <w:sz w:val="20"/>
          <w:szCs w:val="20"/>
          <w:color w:val="auto"/>
        </w:rPr>
      </w:pPr>
      <w:r>
        <w:rPr>
          <w:rFonts w:ascii="Arial" w:cs="Arial" w:eastAsia="Arial" w:hAnsi="Arial"/>
          <w:sz w:val="20"/>
          <w:szCs w:val="20"/>
          <w:color w:val="auto"/>
        </w:rPr>
        <w:t>prohibited transaction (within the meaning of Section 4975 of the Code or Section 406 of ERISA) which could result in liability to the Borrower or any Subsidiary.</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Excess Cash Flow</w:t>
      </w:r>
      <w:r>
        <w:rPr>
          <w:rFonts w:ascii="Arial" w:cs="Arial" w:eastAsia="Arial" w:hAnsi="Arial"/>
          <w:sz w:val="20"/>
          <w:szCs w:val="20"/>
          <w:color w:val="auto"/>
        </w:rPr>
        <w:t>” means, with respect to any Excess Cash Flow Period, an amount, not less than zero, equal to:</w:t>
      </w:r>
    </w:p>
    <w:p>
      <w:pPr>
        <w:spacing w:after="0" w:line="216" w:lineRule="exact"/>
        <w:rPr>
          <w:sz w:val="20"/>
          <w:szCs w:val="20"/>
          <w:color w:val="auto"/>
        </w:rPr>
      </w:pPr>
    </w:p>
    <w:p>
      <w:pPr>
        <w:ind w:left="2000" w:hanging="495"/>
        <w:spacing w:after="0"/>
        <w:tabs>
          <w:tab w:leader="none" w:pos="2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Consolidated Net Income of the Borrower and the Restricted Subsidiaries on a consolidated basis for such Excess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Cash Flow Period, </w:t>
      </w:r>
      <w:r>
        <w:rPr>
          <w:rFonts w:ascii="Arial" w:cs="Arial" w:eastAsia="Arial" w:hAnsi="Arial"/>
          <w:sz w:val="20"/>
          <w:szCs w:val="20"/>
          <w:i w:val="1"/>
          <w:iCs w:val="1"/>
          <w:color w:val="auto"/>
        </w:rPr>
        <w:t>minus</w:t>
      </w:r>
    </w:p>
    <w:p>
      <w:pPr>
        <w:spacing w:after="0" w:line="199" w:lineRule="exact"/>
        <w:rPr>
          <w:rFonts w:ascii="Arial" w:cs="Arial" w:eastAsia="Arial" w:hAnsi="Arial"/>
          <w:sz w:val="18"/>
          <w:szCs w:val="18"/>
          <w:color w:val="auto"/>
        </w:rPr>
      </w:pPr>
    </w:p>
    <w:p>
      <w:pPr>
        <w:ind w:left="1980" w:hanging="475"/>
        <w:spacing w:after="0"/>
        <w:tabs>
          <w:tab w:leader="none" w:pos="19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sum, without duplication (in each case, the Borrower and the Restricted Subsidiaries on a consolidated basis), of:</w:t>
      </w:r>
    </w:p>
    <w:p>
      <w:pPr>
        <w:spacing w:after="0" w:line="261" w:lineRule="exact"/>
        <w:rPr>
          <w:rFonts w:ascii="Arial" w:cs="Arial" w:eastAsia="Arial" w:hAnsi="Arial"/>
          <w:sz w:val="16"/>
          <w:szCs w:val="16"/>
          <w:color w:val="auto"/>
        </w:rPr>
      </w:pPr>
    </w:p>
    <w:p>
      <w:pPr>
        <w:jc w:val="both"/>
        <w:ind w:left="760" w:firstLine="1494"/>
        <w:spacing w:after="0" w:line="255" w:lineRule="auto"/>
        <w:tabs>
          <w:tab w:leader="none" w:pos="2769" w:val="left"/>
        </w:tabs>
        <w:numPr>
          <w:ilvl w:val="2"/>
          <w:numId w:val="57"/>
        </w:numPr>
        <w:rPr>
          <w:rFonts w:ascii="Arial" w:cs="Arial" w:eastAsia="Arial" w:hAnsi="Arial"/>
          <w:sz w:val="19"/>
          <w:szCs w:val="19"/>
          <w:color w:val="auto"/>
        </w:rPr>
      </w:pPr>
      <w:r>
        <w:rPr>
          <w:rFonts w:ascii="Arial" w:cs="Arial" w:eastAsia="Arial" w:hAnsi="Arial"/>
          <w:sz w:val="19"/>
          <w:szCs w:val="19"/>
          <w:color w:val="auto"/>
        </w:rPr>
        <w:t xml:space="preserve">repayments, prepayments, repurchases, redemptions and other cash payments made with respect to the principal of any Indebtedness (including principal representing capitalized interest) or the principal component of any Capitalized Lease Obligations of such Person or any of its Restricted Subsidiaries during such period (excluding (A) repayments and prepayments of Indebtedness deducted from the amount of Term Loans required to be prepaid pursuant to Sections 2.05(b)(i)(1) and 2.05(b)(i)(3) and (B) voluntary and mandatory prepayments of Term Loans), but including all premium, make-whole or penalty payments paid in cash (to the extent such payments are not expensed during such period or are not deducted in calculating Consolidated Net Income and such payments are not otherwise prohibited under this Agreement) and all repayments with respect to revolving Indebtedness to the extent accompanied by a corresponding reduction in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mandatory prepayment of Indebtedness (other than, for the avoidance of doubt, Term Loans), such prepayments shall only be deducted pursuant to this clause (i) to the extent not deducted in the computation of net proceeds in respect of the asset disposition or condemnation giving rise thereto; </w:t>
      </w:r>
      <w:r>
        <w:rPr>
          <w:rFonts w:ascii="Arial" w:cs="Arial" w:eastAsia="Arial" w:hAnsi="Arial"/>
          <w:sz w:val="19"/>
          <w:szCs w:val="19"/>
          <w:i w:val="1"/>
          <w:iCs w:val="1"/>
          <w:color w:val="auto"/>
        </w:rPr>
        <w:t>minus</w:t>
      </w:r>
    </w:p>
    <w:p>
      <w:pPr>
        <w:spacing w:after="0" w:line="186" w:lineRule="exact"/>
        <w:rPr>
          <w:rFonts w:ascii="Arial" w:cs="Arial" w:eastAsia="Arial" w:hAnsi="Arial"/>
          <w:sz w:val="19"/>
          <w:szCs w:val="19"/>
          <w:color w:val="auto"/>
        </w:rPr>
      </w:pPr>
    </w:p>
    <w:p>
      <w:pPr>
        <w:jc w:val="both"/>
        <w:ind w:left="760" w:firstLine="1494"/>
        <w:spacing w:after="0" w:line="270" w:lineRule="auto"/>
        <w:tabs>
          <w:tab w:leader="none" w:pos="2749"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cash payments made by such Person or any of its Restricted Subsidiaries during such period in respect of Restricted Payments (excluding Restricted Payments made pursuant to clause (iii)(B) of the first paragraph of Section 7.06 and pursuant to clauses (2), (3), (18), (21) and (22) of Section 7.06(b) (other than such Restricted Payments made to pay interest expense for any Indebtedness of Holdings or any direct or indirect parent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cash payments in respect of clause</w:t>
      </w:r>
    </w:p>
    <w:p>
      <w:pPr>
        <w:spacing w:after="0" w:line="2" w:lineRule="exact"/>
        <w:rPr>
          <w:rFonts w:ascii="Arial" w:cs="Arial" w:eastAsia="Arial" w:hAnsi="Arial"/>
          <w:sz w:val="18"/>
          <w:szCs w:val="18"/>
          <w:color w:val="auto"/>
        </w:rPr>
      </w:pPr>
    </w:p>
    <w:p>
      <w:pPr>
        <w:jc w:val="both"/>
        <w:ind w:left="760" w:hanging="3"/>
        <w:spacing w:after="0" w:line="241" w:lineRule="auto"/>
        <w:tabs>
          <w:tab w:leader="none" w:pos="11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will be included under this clause (ii) to the extent the applicable cash payments utilized for any Restricted Payment thereunder resulted in an increase to Consolidated Net Income during such Excess Cash Flow Period (and only to the extent of such increase)); </w:t>
      </w:r>
      <w:r>
        <w:rPr>
          <w:rFonts w:ascii="Arial" w:cs="Arial" w:eastAsia="Arial" w:hAnsi="Arial"/>
          <w:sz w:val="20"/>
          <w:szCs w:val="20"/>
          <w:i w:val="1"/>
          <w:iCs w:val="1"/>
          <w:color w:val="auto"/>
        </w:rPr>
        <w:t>minus</w:t>
      </w:r>
    </w:p>
    <w:p>
      <w:pPr>
        <w:spacing w:after="0" w:line="195" w:lineRule="exact"/>
        <w:rPr>
          <w:rFonts w:ascii="Arial" w:cs="Arial" w:eastAsia="Arial" w:hAnsi="Arial"/>
          <w:sz w:val="20"/>
          <w:szCs w:val="20"/>
          <w:color w:val="auto"/>
        </w:rPr>
      </w:pPr>
    </w:p>
    <w:p>
      <w:pPr>
        <w:jc w:val="both"/>
        <w:ind w:left="760" w:firstLine="1494"/>
        <w:spacing w:after="0" w:line="250" w:lineRule="auto"/>
        <w:tabs>
          <w:tab w:leader="none" w:pos="2622" w:val="left"/>
        </w:tabs>
        <w:numPr>
          <w:ilvl w:val="2"/>
          <w:numId w:val="58"/>
        </w:numPr>
        <w:rPr>
          <w:rFonts w:ascii="Arial" w:cs="Arial" w:eastAsia="Arial" w:hAnsi="Arial"/>
          <w:sz w:val="20"/>
          <w:szCs w:val="20"/>
          <w:color w:val="auto"/>
        </w:rPr>
      </w:pPr>
      <w:r>
        <w:rPr>
          <w:rFonts w:ascii="Arial" w:cs="Arial" w:eastAsia="Arial" w:hAnsi="Arial"/>
          <w:sz w:val="20"/>
          <w:szCs w:val="20"/>
          <w:color w:val="auto"/>
        </w:rPr>
        <w:t xml:space="preserve">cash payments made by such Person or any of its Restricted Subsidiaries during such period in respect of Taxes (including distributions to any direct or indirect parent in respect of Taxes), to the extent such payments exceed the amount of tax expense deducted in calculating such Consolidated Net Income; </w:t>
      </w:r>
      <w:r>
        <w:rPr>
          <w:rFonts w:ascii="Arial" w:cs="Arial" w:eastAsia="Arial" w:hAnsi="Arial"/>
          <w:sz w:val="20"/>
          <w:szCs w:val="20"/>
          <w:i w:val="1"/>
          <w:iCs w:val="1"/>
          <w:color w:val="auto"/>
        </w:rPr>
        <w:t>minus</w:t>
      </w:r>
    </w:p>
    <w:p>
      <w:pPr>
        <w:spacing w:after="0" w:line="185" w:lineRule="exact"/>
        <w:rPr>
          <w:rFonts w:ascii="Arial" w:cs="Arial" w:eastAsia="Arial" w:hAnsi="Arial"/>
          <w:sz w:val="20"/>
          <w:szCs w:val="20"/>
          <w:color w:val="auto"/>
        </w:rPr>
      </w:pPr>
    </w:p>
    <w:p>
      <w:pPr>
        <w:jc w:val="both"/>
        <w:ind w:left="760" w:firstLine="1494"/>
        <w:spacing w:after="0" w:line="263" w:lineRule="auto"/>
        <w:tabs>
          <w:tab w:leader="none" w:pos="2593" w:val="left"/>
        </w:tabs>
        <w:numPr>
          <w:ilvl w:val="2"/>
          <w:numId w:val="58"/>
        </w:numPr>
        <w:rPr>
          <w:rFonts w:ascii="Arial" w:cs="Arial" w:eastAsia="Arial" w:hAnsi="Arial"/>
          <w:sz w:val="19"/>
          <w:szCs w:val="19"/>
          <w:color w:val="auto"/>
        </w:rPr>
      </w:pPr>
      <w:r>
        <w:rPr>
          <w:rFonts w:ascii="Arial" w:cs="Arial" w:eastAsia="Arial" w:hAnsi="Arial"/>
          <w:sz w:val="19"/>
          <w:szCs w:val="19"/>
          <w:color w:val="auto"/>
        </w:rPr>
        <w:t>(A) cash payments made by such Person or any of its Restricted Subsidiaries during such period in respect of Investments (including, without limitation, any acquisitions and acquisitions of intellectual property but excluding Permitted Investments pursuant to clauses (1) and (2) of the definition thereof) made pursuant to Section 7.06 (other than any of the foregoing reducing mandatory prepayments of the Term Loans pursuant to Section 2.05(b)(i)(B)(5)) or capital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7" w:name="page88"/>
    <w:bookmarkEnd w:id="87"/>
    <w:p>
      <w:pPr>
        <w:jc w:val="both"/>
        <w:spacing w:after="0" w:line="274" w:lineRule="auto"/>
        <w:rPr>
          <w:sz w:val="20"/>
          <w:szCs w:val="20"/>
          <w:color w:val="auto"/>
        </w:rPr>
      </w:pPr>
      <w:r>
        <w:rPr>
          <w:rFonts w:ascii="Arial" w:cs="Arial" w:eastAsia="Arial" w:hAnsi="Arial"/>
          <w:sz w:val="18"/>
          <w:szCs w:val="18"/>
          <w:color w:val="auto"/>
        </w:rPr>
        <w:t xml:space="preserve">expenditures and (B) cash payments that such Person or any Restricted Subsidiaries has committed to make or is required to make in respect of Investments (including, without limitation, any acquisitions and acquisitions of intellectual property but excluding Permitted Investments pursuant to clauses (1) and (2) of the definition thereof) made pursuant to Section 7.06 or capital expenditures to be consummated (other than committed Investments or capital expenditures reducing mandatory prepayments of the Term Loans pursuant to Section 2.05(b)(i)(B)(6)) within 180 days after the end of such period pursuant to binding obligations entered into prior to or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amounts described in clause (B) will not reduce Excess Cash Flow in subsequent periods, and, to the extent not paid, will increase Excess Cash Flow in the subsequent period;</w:t>
      </w:r>
    </w:p>
    <w:p>
      <w:pPr>
        <w:spacing w:after="0" w:line="168" w:lineRule="exact"/>
        <w:rPr>
          <w:sz w:val="20"/>
          <w:szCs w:val="20"/>
          <w:color w:val="auto"/>
        </w:rPr>
      </w:pPr>
    </w:p>
    <w:p>
      <w:pPr>
        <w:jc w:val="both"/>
        <w:ind w:firstLine="1494"/>
        <w:spacing w:after="0" w:line="244" w:lineRule="auto"/>
        <w:tabs>
          <w:tab w:leader="none" w:pos="1994"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all cash payments and other cash expenditures made by such Person or any of its Restricted Subsidiaries during such period (other than capital expenditures reducing mandatory prepayments of the Term Loans pursuant to Section 2.05(b) (i)(B)(4)) (A) with respect to items that were excluded in the calculation of such Consolidated Net Income pursuant to clauses (a) through (y) of the definition of “Consolidated Net Income” or (B) that were not expensed during such period in accordance with GAAP; </w:t>
      </w:r>
      <w:r>
        <w:rPr>
          <w:rFonts w:ascii="Arial" w:cs="Arial" w:eastAsia="Arial" w:hAnsi="Arial"/>
          <w:sz w:val="20"/>
          <w:szCs w:val="20"/>
          <w:i w:val="1"/>
          <w:iCs w:val="1"/>
          <w:color w:val="auto"/>
        </w:rPr>
        <w:t>minus</w:t>
      </w:r>
    </w:p>
    <w:p>
      <w:pPr>
        <w:spacing w:after="0" w:line="194" w:lineRule="exact"/>
        <w:rPr>
          <w:rFonts w:ascii="Arial" w:cs="Arial" w:eastAsia="Arial" w:hAnsi="Arial"/>
          <w:sz w:val="20"/>
          <w:szCs w:val="20"/>
          <w:color w:val="auto"/>
        </w:rPr>
      </w:pPr>
    </w:p>
    <w:p>
      <w:pPr>
        <w:jc w:val="both"/>
        <w:ind w:firstLine="1494"/>
        <w:spacing w:after="0" w:line="236" w:lineRule="exact"/>
        <w:tabs>
          <w:tab w:leader="none" w:pos="1858"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non</w:t>
      </w:r>
      <w:r>
        <w:rPr>
          <w:rFonts w:ascii="MS PGothic" w:cs="MS PGothic" w:eastAsia="MS PGothic" w:hAnsi="MS PGothic"/>
          <w:sz w:val="20"/>
          <w:szCs w:val="20"/>
          <w:color w:val="auto"/>
        </w:rPr>
        <w:t>‑</w:t>
      </w:r>
      <w:r>
        <w:rPr>
          <w:rFonts w:ascii="Arial" w:cs="Arial" w:eastAsia="Arial" w:hAnsi="Arial"/>
          <w:sz w:val="20"/>
          <w:szCs w:val="20"/>
          <w:color w:val="auto"/>
        </w:rPr>
        <w:t xml:space="preserve">cash credits or gains included in calculating such Consolidated Net Income (including insured or indemnified losses referred to in clauses (r) and (s) of the definition of “Consolidated Net Income” to the extent not reimbursed in cash during such period); </w:t>
      </w:r>
      <w:r>
        <w:rPr>
          <w:rFonts w:ascii="Arial" w:cs="Arial" w:eastAsia="Arial" w:hAnsi="Arial"/>
          <w:sz w:val="20"/>
          <w:szCs w:val="20"/>
          <w:i w:val="1"/>
          <w:iCs w:val="1"/>
          <w:color w:val="auto"/>
        </w:rPr>
        <w:t>minus</w:t>
      </w:r>
    </w:p>
    <w:p>
      <w:pPr>
        <w:spacing w:after="0" w:line="197" w:lineRule="exact"/>
        <w:rPr>
          <w:rFonts w:ascii="Arial" w:cs="Arial" w:eastAsia="Arial" w:hAnsi="Arial"/>
          <w:sz w:val="20"/>
          <w:szCs w:val="20"/>
          <w:color w:val="auto"/>
        </w:rPr>
      </w:pPr>
    </w:p>
    <w:p>
      <w:pPr>
        <w:jc w:val="both"/>
        <w:ind w:firstLine="1494"/>
        <w:spacing w:after="0" w:line="276" w:lineRule="auto"/>
        <w:tabs>
          <w:tab w:leader="none" w:pos="19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 amount equal to the sum of (A) the increase in the Working Capital of such Person during such period (measured as the excess, if any, of Working Capital at the end of such Excess Cash Flow Period minus Working Capital at the beginning of such Excess Cash Flow Period), if any,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increase in long-term accounts receivable of such Person and its Restricted Subsidiaries, if any (other than any such increases contemplated by clauses (A) and (B) of this clause (vii) that are (x) directly attributable to acquisitions and/or dispositions of a Person or business unit by the Borrower and its Restricted Subsidiaries during such period or (y) as a result of the reclassification of items from short-term to long-term or vice versa); </w:t>
      </w:r>
      <w:r>
        <w:rPr>
          <w:rFonts w:ascii="Arial" w:cs="Arial" w:eastAsia="Arial" w:hAnsi="Arial"/>
          <w:sz w:val="18"/>
          <w:szCs w:val="18"/>
          <w:i w:val="1"/>
          <w:iCs w:val="1"/>
          <w:color w:val="auto"/>
        </w:rPr>
        <w:t>minus</w:t>
      </w:r>
    </w:p>
    <w:p>
      <w:pPr>
        <w:spacing w:after="0" w:line="164" w:lineRule="exact"/>
        <w:rPr>
          <w:rFonts w:ascii="Arial" w:cs="Arial" w:eastAsia="Arial" w:hAnsi="Arial"/>
          <w:sz w:val="18"/>
          <w:szCs w:val="18"/>
          <w:color w:val="auto"/>
        </w:rPr>
      </w:pPr>
    </w:p>
    <w:p>
      <w:pPr>
        <w:jc w:val="both"/>
        <w:ind w:firstLine="1494"/>
        <w:spacing w:after="0" w:line="269" w:lineRule="auto"/>
        <w:tabs>
          <w:tab w:leader="none" w:pos="1986"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w:t>
      </w:r>
      <w:r>
        <w:rPr>
          <w:rFonts w:ascii="Arial" w:cs="Arial" w:eastAsia="Arial" w:hAnsi="Arial"/>
          <w:sz w:val="19"/>
          <w:szCs w:val="19"/>
          <w:i w:val="1"/>
          <w:iCs w:val="1"/>
          <w:color w:val="auto"/>
        </w:rPr>
        <w:t>minus</w:t>
      </w:r>
    </w:p>
    <w:p>
      <w:pPr>
        <w:spacing w:after="0" w:line="169" w:lineRule="exact"/>
        <w:rPr>
          <w:rFonts w:ascii="Arial" w:cs="Arial" w:eastAsia="Arial" w:hAnsi="Arial"/>
          <w:sz w:val="19"/>
          <w:szCs w:val="19"/>
          <w:color w:val="auto"/>
        </w:rPr>
      </w:pPr>
    </w:p>
    <w:p>
      <w:pPr>
        <w:jc w:val="both"/>
        <w:ind w:firstLine="1494"/>
        <w:spacing w:after="0" w:line="244" w:lineRule="auto"/>
        <w:tabs>
          <w:tab w:leader="none" w:pos="185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to the extent not deducted in arriving at Consolidated Net Income, cash fees, expenses and purchase price adjustments incurred in connection with the Transactions, any acquisition consummated before or after the Closing Date or any Permitted Investment, Equity Issuance or debt issuance, dispositions, repayment of indebtedness, refinancing transactions (including any amendments) (whether or not consummated) and any Restricted Payment made to pay any of the foregoing incurred by Holdings; </w:t>
      </w:r>
      <w:r>
        <w:rPr>
          <w:rFonts w:ascii="Arial" w:cs="Arial" w:eastAsia="Arial" w:hAnsi="Arial"/>
          <w:sz w:val="20"/>
          <w:szCs w:val="20"/>
          <w:i w:val="1"/>
          <w:iCs w:val="1"/>
          <w:color w:val="auto"/>
        </w:rPr>
        <w:t>minus</w:t>
      </w:r>
    </w:p>
    <w:p>
      <w:pPr>
        <w:spacing w:after="0" w:line="194" w:lineRule="exact"/>
        <w:rPr>
          <w:rFonts w:ascii="Arial" w:cs="Arial" w:eastAsia="Arial" w:hAnsi="Arial"/>
          <w:sz w:val="20"/>
          <w:szCs w:val="20"/>
          <w:color w:val="auto"/>
        </w:rPr>
      </w:pPr>
    </w:p>
    <w:p>
      <w:pPr>
        <w:ind w:firstLine="1494"/>
        <w:spacing w:after="0" w:line="260" w:lineRule="auto"/>
        <w:tabs>
          <w:tab w:leader="none" w:pos="201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the amount of cash payments made in respect of pensions and other postemployment benefits in such period to the extent not deducted in arriving at such Consolidated Net Income; </w:t>
      </w:r>
      <w:r>
        <w:rPr>
          <w:rFonts w:ascii="Arial" w:cs="Arial" w:eastAsia="Arial" w:hAnsi="Arial"/>
          <w:sz w:val="20"/>
          <w:szCs w:val="20"/>
          <w:i w:val="1"/>
          <w:iCs w:val="1"/>
          <w:color w:val="auto"/>
        </w:rPr>
        <w:t>minus</w:t>
      </w:r>
    </w:p>
    <w:p>
      <w:pPr>
        <w:spacing w:after="0" w:line="176" w:lineRule="exact"/>
        <w:rPr>
          <w:rFonts w:ascii="Arial" w:cs="Arial" w:eastAsia="Arial" w:hAnsi="Arial"/>
          <w:sz w:val="20"/>
          <w:szCs w:val="20"/>
          <w:color w:val="auto"/>
        </w:rPr>
      </w:pPr>
    </w:p>
    <w:p>
      <w:pPr>
        <w:jc w:val="both"/>
        <w:ind w:firstLine="1494"/>
        <w:spacing w:after="0" w:line="250" w:lineRule="auto"/>
        <w:tabs>
          <w:tab w:leader="none" w:pos="1851"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cash payments made by such Person or any of its Restricted Subsidiaries during such period in respect of items for which an accrual or reserve was established in a prior period, in each case to the extent such payments are not expensed during such period or are not deducted in calculating Consolidated Net Income; </w:t>
      </w:r>
      <w:r>
        <w:rPr>
          <w:rFonts w:ascii="Arial" w:cs="Arial" w:eastAsia="Arial" w:hAnsi="Arial"/>
          <w:sz w:val="20"/>
          <w:szCs w:val="20"/>
          <w:i w:val="1"/>
          <w:iCs w:val="1"/>
          <w:color w:val="auto"/>
        </w:rPr>
        <w:t>plus</w:t>
      </w:r>
    </w:p>
    <w:p>
      <w:pPr>
        <w:spacing w:after="0" w:line="17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365125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4" w:right="339" w:bottom="1440" w:gutter="0" w:footer="0" w:header="0"/>
        </w:sectPr>
      </w:pPr>
    </w:p>
    <w:bookmarkStart w:id="88" w:name="page89"/>
    <w:bookmarkEnd w:id="88"/>
    <w:p>
      <w:pPr>
        <w:jc w:val="both"/>
        <w:ind w:left="760" w:firstLine="1494"/>
        <w:spacing w:after="0" w:line="234" w:lineRule="exact"/>
        <w:tabs>
          <w:tab w:leader="none" w:pos="265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all non</w:t>
      </w:r>
      <w:r>
        <w:rPr>
          <w:rFonts w:ascii="MS PGothic" w:cs="MS PGothic" w:eastAsia="MS PGothic" w:hAnsi="MS PGothic"/>
          <w:sz w:val="19"/>
          <w:szCs w:val="19"/>
          <w:color w:val="auto"/>
        </w:rPr>
        <w:t>‑</w:t>
      </w:r>
      <w:r>
        <w:rPr>
          <w:rFonts w:ascii="Arial" w:cs="Arial" w:eastAsia="Arial" w:hAnsi="Arial"/>
          <w:sz w:val="19"/>
          <w:szCs w:val="19"/>
          <w:color w:val="auto"/>
        </w:rPr>
        <w:t>cash charges, losses and expenses (including, without limitation, taxes) of such Person or any of its Restricted Subsidiaries that were deducted in calculating such Consolidated Net Income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if any non</w:t>
      </w:r>
      <w:r>
        <w:rPr>
          <w:rFonts w:ascii="MS PGothic" w:cs="MS PGothic" w:eastAsia="MS PGothic" w:hAnsi="MS PGothic"/>
          <w:sz w:val="19"/>
          <w:szCs w:val="19"/>
          <w:color w:val="auto"/>
        </w:rPr>
        <w:t>‑</w:t>
      </w:r>
      <w:r>
        <w:rPr>
          <w:rFonts w:ascii="Arial" w:cs="Arial" w:eastAsia="Arial" w:hAnsi="Arial"/>
          <w:sz w:val="19"/>
          <w:szCs w:val="19"/>
          <w:color w:val="auto"/>
        </w:rPr>
        <w:t xml:space="preserve">cash charge represents an accrual or reserve for cash items in any future period, the cash payment in respect thereof in such future period shall be subtracted from Excess Cash Flow in such future period); </w:t>
      </w:r>
      <w:r>
        <w:rPr>
          <w:rFonts w:ascii="Arial" w:cs="Arial" w:eastAsia="Arial" w:hAnsi="Arial"/>
          <w:sz w:val="19"/>
          <w:szCs w:val="19"/>
          <w:i w:val="1"/>
          <w:iCs w:val="1"/>
          <w:color w:val="auto"/>
        </w:rPr>
        <w:t>minus</w:t>
      </w:r>
    </w:p>
    <w:p>
      <w:pPr>
        <w:spacing w:after="0" w:line="198" w:lineRule="exact"/>
        <w:rPr>
          <w:rFonts w:ascii="Arial" w:cs="Arial" w:eastAsia="Arial" w:hAnsi="Arial"/>
          <w:sz w:val="19"/>
          <w:szCs w:val="19"/>
          <w:color w:val="auto"/>
        </w:rPr>
      </w:pPr>
    </w:p>
    <w:p>
      <w:pPr>
        <w:ind w:left="760" w:firstLine="1494"/>
        <w:spacing w:after="0" w:line="260" w:lineRule="auto"/>
        <w:tabs>
          <w:tab w:leader="none" w:pos="2710"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cash expenditures in respect of Swap Obligations during such period to the extent not deducted in arriving at such Consolidated Net Income;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jc w:val="both"/>
        <w:ind w:left="760" w:firstLine="1494"/>
        <w:spacing w:after="0" w:line="276" w:lineRule="auto"/>
        <w:tabs>
          <w:tab w:leader="none" w:pos="27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 amount equal to the sum of (A) the decrease in Working Capital of such Person during such period (measured as the excess, if any, of Working Capital at the beginning of such Excess Cash Flow Period minus Working Capital at the end of such Excess Cash Flow Period), if any, plus (B) the decrease in long-term accounts receivable of such Person and its Restricted Subsidiaries, if any (other than any such decreases contemplated by clauses (A) and (B) of this clause (xiv) that are (x) directly attributable to acquisitions and/or dispositions of a Person or business unit by the Borrower and its Restricted Subsidiaries during such period or (y) as a result of the reclassification of items from short-term to long-term or vice versa; </w:t>
      </w:r>
      <w:r>
        <w:rPr>
          <w:rFonts w:ascii="Arial" w:cs="Arial" w:eastAsia="Arial" w:hAnsi="Arial"/>
          <w:sz w:val="18"/>
          <w:szCs w:val="18"/>
          <w:i w:val="1"/>
          <w:iCs w:val="1"/>
          <w:color w:val="auto"/>
        </w:rPr>
        <w:t>plus</w:t>
      </w:r>
    </w:p>
    <w:p>
      <w:pPr>
        <w:spacing w:after="0" w:line="164" w:lineRule="exact"/>
        <w:rPr>
          <w:rFonts w:ascii="Arial" w:cs="Arial" w:eastAsia="Arial" w:hAnsi="Arial"/>
          <w:sz w:val="18"/>
          <w:szCs w:val="18"/>
          <w:color w:val="auto"/>
        </w:rPr>
      </w:pPr>
    </w:p>
    <w:p>
      <w:pPr>
        <w:ind w:left="760" w:firstLine="1494"/>
        <w:spacing w:after="0" w:line="385" w:lineRule="auto"/>
        <w:tabs>
          <w:tab w:leader="none" w:pos="2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amounts referred to in clauses (b)(i), (b)(ii) and (b)(iv) above to the extent funded with the proceeds of the issuance or the incurrence of Indebtedness (other than proceeds of revolving loans) and the sale or issuance of Equity Interests.</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Excess Cash Flow Period</w:t>
      </w:r>
      <w:r>
        <w:rPr>
          <w:rFonts w:ascii="Arial" w:cs="Arial" w:eastAsia="Arial" w:hAnsi="Arial"/>
          <w:sz w:val="18"/>
          <w:szCs w:val="18"/>
          <w:color w:val="auto"/>
        </w:rPr>
        <w:t>” means any fiscal year of the Borrower, commencing with the fiscal year ended December 31, 2020.</w:t>
      </w:r>
    </w:p>
    <w:p>
      <w:pPr>
        <w:spacing w:after="0" w:line="23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 and the rules and regulations of the SEC promulgated thereunder.</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Accounts</w:t>
      </w:r>
      <w:r>
        <w:rPr>
          <w:rFonts w:ascii="Arial" w:cs="Arial" w:eastAsia="Arial" w:hAnsi="Arial"/>
          <w:sz w:val="19"/>
          <w:szCs w:val="19"/>
          <w:color w:val="auto"/>
        </w:rPr>
        <w:t>” means segregated deposit, securities and commodities accounts that are maintained and used solely (1) for payroll, employee healthcare and other employee wage and benefit accounts, (2) as withholding tax accounts, including, without limitation, sales tax accounts, (3) as escrow, fiduciary or trust accounts, in each case exclusively for the benefit of unaffiliated third parties held in connection with a transaction permitted by this Agreement; and (4) as defeasance and redemption accounts that are subject to a Lien of the type described in and maintained in accordance with clause (29) of the definition of “Permitted Liens”.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 means the collective reference to:</w:t>
      </w:r>
    </w:p>
    <w:p>
      <w:pPr>
        <w:spacing w:after="0" w:line="216" w:lineRule="exact"/>
        <w:rPr>
          <w:sz w:val="20"/>
          <w:szCs w:val="20"/>
          <w:color w:val="auto"/>
        </w:rPr>
      </w:pPr>
    </w:p>
    <w:p>
      <w:pPr>
        <w:jc w:val="both"/>
        <w:ind w:firstLine="1505"/>
        <w:spacing w:after="0" w:line="246" w:lineRule="auto"/>
        <w:tabs>
          <w:tab w:leader="none" w:pos="1981" w:val="left"/>
        </w:tabs>
        <w:numPr>
          <w:ilvl w:val="0"/>
          <w:numId w:val="61"/>
        </w:numPr>
        <w:rPr>
          <w:rFonts w:ascii="Arial" w:cs="Arial" w:eastAsia="Arial" w:hAnsi="Arial"/>
          <w:sz w:val="20"/>
          <w:szCs w:val="20"/>
          <w:color w:val="auto"/>
        </w:rPr>
      </w:pPr>
      <w:r>
        <w:rPr>
          <w:rFonts w:ascii="Arial" w:cs="Arial" w:eastAsia="Arial" w:hAnsi="Arial"/>
          <w:sz w:val="20"/>
          <w:szCs w:val="20"/>
          <w:color w:val="auto"/>
        </w:rPr>
        <w:t>(i) any fee-owned real property with a Fair Market Value of less than $10,000,000, (ii) any improvements located on Material Real Property, where such improvements are located in an area identified by the Federal Emergency Management Agency (or any successor agency) as a “special flood hazard area” and (iii) all real property in which a Loan Party holds a leasehold interest in such property as the lessee under a lease;</w:t>
      </w:r>
    </w:p>
    <w:p>
      <w:pPr>
        <w:spacing w:after="0" w:line="191" w:lineRule="exact"/>
        <w:rPr>
          <w:rFonts w:ascii="Arial" w:cs="Arial" w:eastAsia="Arial" w:hAnsi="Arial"/>
          <w:sz w:val="20"/>
          <w:szCs w:val="20"/>
          <w:color w:val="auto"/>
        </w:rPr>
      </w:pPr>
    </w:p>
    <w:p>
      <w:pPr>
        <w:ind w:firstLine="1505"/>
        <w:spacing w:after="0" w:line="260" w:lineRule="auto"/>
        <w:tabs>
          <w:tab w:leader="none" w:pos="1979" w:val="left"/>
        </w:tabs>
        <w:numPr>
          <w:ilvl w:val="0"/>
          <w:numId w:val="61"/>
        </w:numPr>
        <w:rPr>
          <w:rFonts w:ascii="Arial" w:cs="Arial" w:eastAsia="Arial" w:hAnsi="Arial"/>
          <w:sz w:val="20"/>
          <w:szCs w:val="20"/>
          <w:color w:val="auto"/>
        </w:rPr>
      </w:pPr>
      <w:r>
        <w:rPr>
          <w:rFonts w:ascii="Arial" w:cs="Arial" w:eastAsia="Arial" w:hAnsi="Arial"/>
          <w:sz w:val="20"/>
          <w:szCs w:val="20"/>
          <w:color w:val="auto"/>
        </w:rPr>
        <w:t>motor vehicles and other assets subject to certificates of title to the extent a lien thereon cannot be perfected by filing a UCC financing statement;</w:t>
      </w:r>
    </w:p>
    <w:p>
      <w:pPr>
        <w:spacing w:after="0" w:line="176" w:lineRule="exact"/>
        <w:rPr>
          <w:rFonts w:ascii="Arial" w:cs="Arial" w:eastAsia="Arial" w:hAnsi="Arial"/>
          <w:sz w:val="20"/>
          <w:szCs w:val="20"/>
          <w:color w:val="auto"/>
        </w:rPr>
      </w:pPr>
    </w:p>
    <w:p>
      <w:pPr>
        <w:ind w:firstLine="1505"/>
        <w:spacing w:after="0" w:line="260" w:lineRule="auto"/>
        <w:tabs>
          <w:tab w:leader="none" w:pos="1999" w:val="left"/>
        </w:tabs>
        <w:numPr>
          <w:ilvl w:val="0"/>
          <w:numId w:val="61"/>
        </w:numPr>
        <w:rPr>
          <w:rFonts w:ascii="Arial" w:cs="Arial" w:eastAsia="Arial" w:hAnsi="Arial"/>
          <w:sz w:val="20"/>
          <w:szCs w:val="20"/>
          <w:color w:val="auto"/>
        </w:rPr>
      </w:pPr>
      <w:r>
        <w:rPr>
          <w:rFonts w:ascii="Arial" w:cs="Arial" w:eastAsia="Arial" w:hAnsi="Arial"/>
          <w:sz w:val="20"/>
          <w:szCs w:val="20"/>
          <w:color w:val="auto"/>
        </w:rPr>
        <w:t>pledges and security interests prohibited by applicable law, rule or regulation after giving effect to the applicable anti-assignment provisions of the UCC;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89" w:name="page90"/>
    <w:bookmarkEnd w:id="89"/>
    <w:p>
      <w:pPr>
        <w:jc w:val="both"/>
        <w:ind w:firstLine="1505"/>
        <w:spacing w:after="0" w:line="385" w:lineRule="auto"/>
        <w:tabs>
          <w:tab w:leader="none" w:pos="19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assets to the extent a security interest in such assets would result in material adverse tax consequences (including as a result of any law or regulation in any applicable jurisdiction similar to Section 956 of the Code) as reasonably determined by the Borrower;</w:t>
      </w:r>
    </w:p>
    <w:p>
      <w:pPr>
        <w:spacing w:after="0" w:line="84" w:lineRule="exact"/>
        <w:rPr>
          <w:rFonts w:ascii="Arial" w:cs="Arial" w:eastAsia="Arial" w:hAnsi="Arial"/>
          <w:sz w:val="16"/>
          <w:szCs w:val="16"/>
          <w:color w:val="auto"/>
        </w:rPr>
      </w:pPr>
    </w:p>
    <w:p>
      <w:pPr>
        <w:jc w:val="both"/>
        <w:ind w:firstLine="1505"/>
        <w:spacing w:after="0" w:line="278" w:lineRule="auto"/>
        <w:tabs>
          <w:tab w:leader="none" w:pos="20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the Borrower or a Guarantor) except to the extent such prohibition is unenforceable after giving effect to the applicable anti-assignment provisions of the UCC and other than proceeds and receivables thereof, the assignment of which is expressly deemed effective under the UCC notwithstanding such prohibition;</w:t>
      </w:r>
    </w:p>
    <w:p>
      <w:pPr>
        <w:spacing w:after="0" w:line="164" w:lineRule="exact"/>
        <w:rPr>
          <w:rFonts w:ascii="Arial" w:cs="Arial" w:eastAsia="Arial" w:hAnsi="Arial"/>
          <w:sz w:val="18"/>
          <w:szCs w:val="18"/>
          <w:color w:val="auto"/>
        </w:rPr>
      </w:pPr>
    </w:p>
    <w:p>
      <w:pPr>
        <w:ind w:firstLine="1505"/>
        <w:spacing w:after="0" w:line="316" w:lineRule="auto"/>
        <w:tabs>
          <w:tab w:leader="none" w:pos="198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those assets as to which the Administrative Agent and the Borrower reasonably agree that the cost of obtaining such a security interest or perfection thereof are excessive in relation to the benefit to the Lenders of the security to be afforded thereby;</w:t>
      </w:r>
    </w:p>
    <w:p>
      <w:pPr>
        <w:spacing w:after="0" w:line="129" w:lineRule="exact"/>
        <w:rPr>
          <w:rFonts w:ascii="Arial" w:cs="Arial" w:eastAsia="Arial" w:hAnsi="Arial"/>
          <w:sz w:val="18"/>
          <w:szCs w:val="18"/>
          <w:color w:val="auto"/>
        </w:rPr>
      </w:pPr>
    </w:p>
    <w:p>
      <w:pPr>
        <w:jc w:val="both"/>
        <w:ind w:firstLine="1505"/>
        <w:spacing w:after="0" w:line="282" w:lineRule="auto"/>
        <w:tabs>
          <w:tab w:leader="none" w:pos="19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governmental licenses or state or local franchises, charters and authorizations, to the extent security interests in such licenses, franchises, charters or authorizations are prohibited or restricted thereby (in each case, except to the extent such prohibition or restriction is unenforceable after giving effect to the applicable anti-assignment provisions of the UCC) and other than proceeds and receivables thereof, the assignment of which is expressly deemed effective under the UCC notwithstanding such prohibition;</w:t>
      </w:r>
    </w:p>
    <w:p>
      <w:pPr>
        <w:spacing w:after="0" w:line="161" w:lineRule="exact"/>
        <w:rPr>
          <w:rFonts w:ascii="Arial" w:cs="Arial" w:eastAsia="Arial" w:hAnsi="Arial"/>
          <w:sz w:val="18"/>
          <w:szCs w:val="18"/>
          <w:color w:val="auto"/>
        </w:rPr>
      </w:pPr>
    </w:p>
    <w:p>
      <w:pPr>
        <w:ind w:left="2000" w:hanging="495"/>
        <w:spacing w:after="0"/>
        <w:tabs>
          <w:tab w:leader="none" w:pos="2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“intent-to-use” trademark applications prior to the filing of an “Amendment to Allege Use” or “Statement of Use”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filing;</w:t>
      </w:r>
    </w:p>
    <w:p>
      <w:pPr>
        <w:spacing w:after="0" w:line="199" w:lineRule="exact"/>
        <w:rPr>
          <w:rFonts w:ascii="Arial" w:cs="Arial" w:eastAsia="Arial" w:hAnsi="Arial"/>
          <w:sz w:val="18"/>
          <w:szCs w:val="18"/>
          <w:color w:val="auto"/>
        </w:rPr>
      </w:pPr>
    </w:p>
    <w:p>
      <w:pPr>
        <w:ind w:left="1980" w:hanging="475"/>
        <w:spacing w:after="0"/>
        <w:tabs>
          <w:tab w:leader="none" w:pos="1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margin stock;</w:t>
      </w:r>
    </w:p>
    <w:p>
      <w:pPr>
        <w:spacing w:after="0" w:line="215" w:lineRule="exact"/>
        <w:rPr>
          <w:rFonts w:ascii="Arial" w:cs="Arial" w:eastAsia="Arial" w:hAnsi="Arial"/>
          <w:sz w:val="20"/>
          <w:szCs w:val="20"/>
          <w:color w:val="auto"/>
        </w:rPr>
      </w:pPr>
    </w:p>
    <w:p>
      <w:pPr>
        <w:ind w:left="1980" w:hanging="475"/>
        <w:spacing w:after="0"/>
        <w:tabs>
          <w:tab w:leader="none" w:pos="1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assets of a CFC or CFC Holdco or of a direct or indirect subsidiary of a CFC or CFC Holdco;</w:t>
      </w:r>
    </w:p>
    <w:p>
      <w:pPr>
        <w:spacing w:after="0" w:line="215" w:lineRule="exact"/>
        <w:rPr>
          <w:rFonts w:ascii="Arial" w:cs="Arial" w:eastAsia="Arial" w:hAnsi="Arial"/>
          <w:sz w:val="20"/>
          <w:szCs w:val="20"/>
          <w:color w:val="auto"/>
        </w:rPr>
      </w:pPr>
    </w:p>
    <w:p>
      <w:pPr>
        <w:ind w:left="2000" w:hanging="495"/>
        <w:spacing w:after="0"/>
        <w:tabs>
          <w:tab w:leader="none" w:pos="2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assets or equity interests of a captive insurance company or not-for-profit entity or other special purpose entity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that is not a Loan Party;</w:t>
      </w:r>
    </w:p>
    <w:p>
      <w:pPr>
        <w:spacing w:after="0" w:line="199" w:lineRule="exact"/>
        <w:rPr>
          <w:rFonts w:ascii="Arial" w:cs="Arial" w:eastAsia="Arial" w:hAnsi="Arial"/>
          <w:sz w:val="18"/>
          <w:szCs w:val="18"/>
          <w:color w:val="auto"/>
        </w:rPr>
      </w:pPr>
    </w:p>
    <w:p>
      <w:pPr>
        <w:ind w:left="2020" w:hanging="515"/>
        <w:spacing w:after="0"/>
        <w:tabs>
          <w:tab w:leader="none" w:pos="2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Acquisition Agreement and the rights therein or arising thereunder (except any proceeds of the Acquisition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199" w:lineRule="exact"/>
        <w:rPr>
          <w:rFonts w:ascii="Arial" w:cs="Arial" w:eastAsia="Arial" w:hAnsi="Arial"/>
          <w:sz w:val="18"/>
          <w:szCs w:val="18"/>
          <w:color w:val="auto"/>
        </w:rPr>
      </w:pPr>
    </w:p>
    <w:p>
      <w:pPr>
        <w:ind w:left="1840" w:hanging="335"/>
        <w:spacing w:after="0"/>
        <w:tabs>
          <w:tab w:leader="none" w:pos="18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Excluded Capital Stock; and</w:t>
      </w:r>
    </w:p>
    <w:p>
      <w:pPr>
        <w:spacing w:after="0" w:line="215" w:lineRule="exact"/>
        <w:rPr>
          <w:rFonts w:ascii="Arial" w:cs="Arial" w:eastAsia="Arial" w:hAnsi="Arial"/>
          <w:sz w:val="20"/>
          <w:szCs w:val="20"/>
          <w:color w:val="auto"/>
        </w:rPr>
      </w:pPr>
    </w:p>
    <w:p>
      <w:pPr>
        <w:ind w:left="1980" w:hanging="475"/>
        <w:spacing w:after="0"/>
        <w:tabs>
          <w:tab w:leader="none" w:pos="1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Excluded Accounts and the funds or other property held in or maintained in any such Excluded Account;</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Excluded Assets will not include (a) any proceeds, substitutions or replacements of any Excluded Assets (unless such proceeds, substitutions or replacements would otherwise constitute Excluded Assets) or (b) any asset of the Borrower or Guarantors that secures obligations with respect to ABL Debt or the Closing Date Senior Secured Notes.</w:t>
      </w:r>
    </w:p>
    <w:p>
      <w:pPr>
        <w:spacing w:after="0" w:line="10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Capital Stock</w:t>
      </w:r>
      <w:r>
        <w:rPr>
          <w:rFonts w:ascii="Arial" w:cs="Arial" w:eastAsia="Arial" w:hAnsi="Arial"/>
          <w:sz w:val="20"/>
          <w:szCs w:val="20"/>
          <w:color w:val="auto"/>
        </w:rPr>
        <w:t>” means (a) any Capital Stock with respect to which, in the reasonable judgment of the Administrative Agent and the Borrower, the costs of pledging such Capital Stock shall be excessive in relation to the benefits to be obtained by the Lenders therefrom and (b) (1) solely in the case of any pledge of Capital Stock of any Subsidiary that either is a CFC or a CFC Holdco, any Capital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0" w:name="page91"/>
    <w:bookmarkEnd w:id="90"/>
    <w:p>
      <w:pPr>
        <w:jc w:val="both"/>
        <w:spacing w:after="0" w:line="270" w:lineRule="auto"/>
        <w:rPr>
          <w:sz w:val="20"/>
          <w:szCs w:val="20"/>
          <w:color w:val="auto"/>
        </w:rPr>
      </w:pPr>
      <w:r>
        <w:rPr>
          <w:rFonts w:ascii="Arial" w:cs="Arial" w:eastAsia="Arial" w:hAnsi="Arial"/>
          <w:sz w:val="18"/>
          <w:szCs w:val="18"/>
          <w:color w:val="auto"/>
        </w:rPr>
        <w:t>that is Voting Stock of such Subsidiary in excess of 65% of the outstanding Voting Stock of such Subsidiary, (2) any Capital Stock to the extent the pledge thereof would be prohibited by any applicable law, rule or regulation or, in the case of Capital Stock of a non-Wholly Owned Subsidiary, Contractual Obligation existing on the Closing Date or on the date such Capital Stock is acquired by the Borrower or a Guarantor (and not entered into in contemplation of such acquisition) in each case, after giving effect to the applicable anti-assignment provisions of the Uniform Commercial Code, (3) the Capital Stock of any Subsidiary that is not wholly owned by the Borrower and the Guarantors at the time such Subsidiary becomes a Subsidiary (for so long as such Subsidiary remains a non-Wholly Owned Subsidiary) to the extent the pledge of such Capital Stock by the Borrower or Guarantor is prohibited by the terms of such Subsidiary’s organizational or joint venture documents, (4) the Capital Stock of any Immaterial Subsidiary, (5) for the avoidance of doubt, the Capital Stock of any direct or indirect Subsidiary of a CFC or any CFC Holdco and (6) the Capital Stock of any Unrestricted Subsidiary; provided, however, that Excluded Capital Stock will not include (a) any proceeds, substitutions or replacements of any Excluded Capital Stock (unless such proceeds, substitutions or replacements would otherwise constitute Excluded Capital Stock) or (b) any asset of the Borrower or Guarantors that secures obligations with respect to ABL Debt or the Closing Date Senior Secured Notes.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Contributions</w:t>
      </w:r>
      <w:r>
        <w:rPr>
          <w:rFonts w:ascii="Arial" w:cs="Arial" w:eastAsia="Arial" w:hAnsi="Arial"/>
          <w:sz w:val="18"/>
          <w:szCs w:val="18"/>
          <w:color w:val="auto"/>
        </w:rPr>
        <w:t>” means the net cash proceeds and Cash Equivalents received by the Borrower after the Closing Date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from:</w:t>
      </w:r>
    </w:p>
    <w:p>
      <w:pPr>
        <w:spacing w:after="0" w:line="200" w:lineRule="exact"/>
        <w:rPr>
          <w:sz w:val="20"/>
          <w:szCs w:val="20"/>
          <w:color w:val="auto"/>
        </w:rPr>
      </w:pPr>
    </w:p>
    <w:p>
      <w:pPr>
        <w:ind w:left="780" w:hanging="398"/>
        <w:spacing w:after="0"/>
        <w:tabs>
          <w:tab w:leader="none" w:pos="7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contributions to its common equity capital, and</w:t>
      </w:r>
    </w:p>
    <w:p>
      <w:pPr>
        <w:spacing w:after="0" w:line="107" w:lineRule="exact"/>
        <w:rPr>
          <w:rFonts w:ascii="Arial" w:cs="Arial" w:eastAsia="Arial" w:hAnsi="Arial"/>
          <w:sz w:val="20"/>
          <w:szCs w:val="20"/>
          <w:color w:val="auto"/>
        </w:rPr>
      </w:pPr>
    </w:p>
    <w:p>
      <w:pPr>
        <w:ind w:left="780" w:hanging="398"/>
        <w:spacing w:after="0"/>
        <w:tabs>
          <w:tab w:leader="none" w:pos="7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sale of Capital Stock (other than Excluded Equity) of the Borrower,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each case designated as Excluded Contributions pursuant to an Officer’s Certificate executed by an Officer of the Borrower, the proceeds of which are excluded from the calculation set forth clause (iii) of the first paragraph of Section 7.06.</w:t>
      </w:r>
    </w:p>
    <w:p>
      <w:pPr>
        <w:spacing w:after="0" w:line="17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Equity</w:t>
      </w:r>
      <w:r>
        <w:rPr>
          <w:rFonts w:ascii="Arial" w:cs="Arial" w:eastAsia="Arial" w:hAnsi="Arial"/>
          <w:sz w:val="18"/>
          <w:szCs w:val="18"/>
          <w:color w:val="auto"/>
        </w:rPr>
        <w:t xml:space="preserve">” means (i) Disqualified Stock, (ii) any Equity Interests issued or sold to a Restricted Subsidiary of the Borrower or any employee stock ownership plan or trust established by the Borrower or any of its Subsidiaries or a direct or indirect parent of the Borrower (to the extent such employee stock ownership plan or trust has been funded by the Borrower or any Restricted Subsidiary or a direct or indirect parent of the Borrower) and (iii) any Equity Interest that has already been used or designated as (or the proceeds of which have been used or designated as) Cash Contribution Amount, Designated Preferred Stock, Excluded Contribution or Refunding Capital Stock, to increase the amount available under </w:t>
      </w:r>
      <w:r>
        <w:rPr>
          <w:rFonts w:ascii="Arial" w:cs="Arial" w:eastAsia="Arial" w:hAnsi="Arial"/>
          <w:sz w:val="18"/>
          <w:szCs w:val="18"/>
          <w:u w:val="single" w:color="auto"/>
          <w:color w:val="auto"/>
        </w:rPr>
        <w:t>Section 7.06(b)(4)(i)</w:t>
      </w:r>
      <w:r>
        <w:rPr>
          <w:rFonts w:ascii="Arial" w:cs="Arial" w:eastAsia="Arial" w:hAnsi="Arial"/>
          <w:sz w:val="18"/>
          <w:szCs w:val="18"/>
          <w:color w:val="auto"/>
        </w:rPr>
        <w:t xml:space="preserve"> or clause (14) of the definition of “Permitted Investments.”</w:t>
      </w:r>
    </w:p>
    <w:p>
      <w:pPr>
        <w:spacing w:after="0" w:line="165"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Subsidiary</w:t>
      </w:r>
      <w:r>
        <w:rPr>
          <w:rFonts w:ascii="Arial" w:cs="Arial" w:eastAsia="Arial" w:hAnsi="Arial"/>
          <w:sz w:val="16"/>
          <w:szCs w:val="16"/>
          <w:color w:val="auto"/>
        </w:rPr>
        <w:t>” means (a) any Unrestricted Subsidiary (and any Subsidiary thereof), (b) any Immaterial Subsidiary, (c) any Subsidiary that is prohibited or restricted by applicable law, rule or regulation or by any Contractual Obligation existing on the Closing Date or at the time of acquisition thereof after the Closing Date (and not entered into in contemplation of such acquisition), in each case, from guaranteeing the Obligations or which would require governmental (including regulatory) consent, approval, license or authorization to provide a Guarantee unless such consent, approval, license or authorization has been received, (d) not-for-profit subsidiaries, if any, (e) any Foreign Subsidiary of the Borrower or any Guarantor, (f) any Subsidiary of the Borrower that is a CFC and any direct or indirect Subsidiary of such a CFC, (g) any CFC Holdco and any direct or indirect subsidiary of a CFC Holdco, (h) any Receivables Subsidiary, (i) any Restricted Subsidiary acquired pursuant to a Permitted Investment financed with secured Indebtedness permitted to be Incurred hereunder as assumed Indebtedness (and not Incurred in contemplation of such Permitted Investment) and any Restricted Subsidiary thereof that guarantees such Indebtedness, in each case to the extent and for so long as such secured Indebtedness prohibits such subsidiary from becoming a Guarantor,</w:t>
      </w:r>
    </w:p>
    <w:p>
      <w:pPr>
        <w:spacing w:after="0" w:line="179" w:lineRule="exact"/>
        <w:rPr>
          <w:sz w:val="20"/>
          <w:szCs w:val="20"/>
          <w:color w:val="auto"/>
        </w:rPr>
      </w:pPr>
    </w:p>
    <w:p>
      <w:pPr>
        <w:ind w:firstLine="8"/>
        <w:spacing w:after="0" w:line="244" w:lineRule="auto"/>
        <w:tabs>
          <w:tab w:leader="none" w:pos="27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entity to the extent a guarantee by such entity would reasonably be expected to result in material adverse tax consequences as reasonably determined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1" w:name="page92"/>
    <w:bookmarkEnd w:id="91"/>
    <w:p>
      <w:pPr>
        <w:jc w:val="both"/>
        <w:spacing w:after="0" w:line="259" w:lineRule="auto"/>
        <w:rPr>
          <w:sz w:val="20"/>
          <w:szCs w:val="20"/>
          <w:color w:val="auto"/>
        </w:rPr>
      </w:pPr>
      <w:r>
        <w:rPr>
          <w:rFonts w:ascii="Arial" w:cs="Arial" w:eastAsia="Arial" w:hAnsi="Arial"/>
          <w:sz w:val="19"/>
          <w:szCs w:val="19"/>
          <w:color w:val="auto"/>
        </w:rPr>
        <w:t xml:space="preserve">the Borrower, (k) captive insurance Subsidiaries, (l) any Subsidiary that is created solely for the purpose of consummating a transaction pursuant to an acquisition permitted hereunder, if such new Subsidiary at no time holds any assets or liabilities other than any merger consideration contributed to it contemporaneously with the closing of such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Subsidiary shall only be an Excluded Subsidiary for the period immediately prior to such acquisition, and (m) any other Subsidiary with respect to which, in the reasonable judgment of the Administrative Agent and the Borrower, the cost or other consequences of guaranteeing the Obligations would be excessive in relation to the benefits to be obtained by the Lenders therefrom.</w:t>
      </w:r>
    </w:p>
    <w:p>
      <w:pPr>
        <w:spacing w:after="0" w:line="17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Swap Obligation</w:t>
      </w:r>
      <w:r>
        <w:rPr>
          <w:rFonts w:ascii="Arial" w:cs="Arial" w:eastAsia="Arial" w:hAnsi="Arial"/>
          <w:sz w:val="18"/>
          <w:szCs w:val="18"/>
          <w:color w:val="auto"/>
        </w:rPr>
        <w:t>” means, with respect to any Guarantor, (a)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any applicable keepwell, support, or other agreement for the benefit of such Guarantor),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Hedge Bank applicable to such Swap Obligation.</w:t>
      </w:r>
    </w:p>
    <w:p>
      <w:pPr>
        <w:spacing w:after="0" w:line="17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means, with respect to any Agent, any Lender or any other recipient of any payment to be made by or on account of any obligation of any Loan Party hereunder or under any other Loan Document, (a) any Tax measured by such recipient’s net income or profits (or franchise Tax in lieu of such Tax on net income or profits) imposed by a jurisdiction as a result of such recipient being organized or having its principal office or applicable Lending Office located in such jurisdiction or as a result of any other present or former connection between such recipient and the jurisdiction (including as a result of such recipient carrying on a trade or business, having a permanent establishment or being a resident for Tax purposes in such jurisdiction), other than a connection arising solely from such recipient having executed, delivered, enforced, become a party to, performed its obligations under, received payments under, received or perfected a security interest under, engaged in any other transaction pursuant to, or enforced, any Loan Documents, (b) any branch profits Tax under Section 884(a) of the Code or any similar Tax imposed by any other jurisdiction described in (a), (c) with respect to any Loan made by a Non-US Lender (other than any Non-US Lender becoming a party hereto pursuant to the Borrower’s request under Section 3.07), any U.S. federal withholding Tax that is imposed on amounts payable to such Non-US Lender pursuant to a Law in effect at the time such Non-US Lender becomes a party hereto (or designates a new Lending Office) (or where the Non-US Lender is a partnership for U.S. federal income Tax purposes, pursuant to a law in effect on the later of the date on which such Non-US Lender becomes a party hereto or the date on which the affected partner becomes a partner of such Non-US Lender), except, in each case, to the extent that such Non-US Lender (or its assignor, if any) was entitled, immediately prior to the time of designation of a new Lending Office, assignment or acquisition by the affected partner, to receive additional amounts from a Loan Party with respect to such U.S. federal withholding Tax pursuant to Section 3.01, (d) any Tax attributable to such recipient’s failure to comply with Section 3.01(c), and (e) any Tax imposed under FATCA.</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ABL Credit Agreement</w:t>
      </w:r>
      <w:r>
        <w:rPr>
          <w:rFonts w:ascii="Arial" w:cs="Arial" w:eastAsia="Arial" w:hAnsi="Arial"/>
          <w:sz w:val="20"/>
          <w:szCs w:val="20"/>
          <w:color w:val="auto"/>
        </w:rPr>
        <w:t>” means the Revolving Credit and Guaranty Agreement, dated as of January 14, 2011 (as amended, restated, supplemented or otherwise modified from time to time), among,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inter alia</w:t>
      </w:r>
      <w:r>
        <w:rPr>
          <w:rFonts w:ascii="Arial" w:cs="Arial" w:eastAsia="Arial" w:hAnsi="Arial"/>
          <w:sz w:val="18"/>
          <w:szCs w:val="18"/>
          <w:color w:val="auto"/>
        </w:rPr>
        <w:t>, Holdings, the Borrower, the other borrowers party thereto, the lenders party thereto, JPMCB, as US administrative agent, and J.P.</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Morgan Europe Limited, as European administrative agent.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Term Loan Credit Agreement</w:t>
      </w:r>
      <w:r>
        <w:rPr>
          <w:rFonts w:ascii="Arial" w:cs="Arial" w:eastAsia="Arial" w:hAnsi="Arial"/>
          <w:sz w:val="20"/>
          <w:szCs w:val="20"/>
          <w:color w:val="auto"/>
        </w:rPr>
        <w:t>” has the meaning specified in the Preliminary Statements of this Agreement.</w:t>
      </w:r>
    </w:p>
    <w:p>
      <w:pPr>
        <w:spacing w:after="0" w:line="216" w:lineRule="exact"/>
        <w:rPr>
          <w:sz w:val="20"/>
          <w:szCs w:val="20"/>
          <w:color w:val="auto"/>
        </w:rPr>
      </w:pPr>
    </w:p>
    <w:p>
      <w:pPr>
        <w:jc w:val="both"/>
        <w:ind w:firstLine="803"/>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Extendable Bridge Loans/Interim Debt</w:t>
      </w:r>
      <w:r>
        <w:rPr>
          <w:rFonts w:ascii="Arial" w:cs="Arial" w:eastAsia="Arial" w:hAnsi="Arial"/>
          <w:sz w:val="18"/>
          <w:szCs w:val="18"/>
          <w:color w:val="auto"/>
        </w:rPr>
        <w:t>” means customary “bridge” loans which by their terms will be automatically converted, subject only to customary conditions, into loans or other Indebtedness that have, or automatically extended, subject only to customary conditions, such that they have, a maturity date later than the Latest Maturity Date of all Term Loan Tranches then in effect.</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Extended Term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Extension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Extension Offer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means each Term Loan Facility, any New Term Facility or any new term loan facility Incurred pursuant to Section 2.19, as the context may require.</w:t>
      </w:r>
    </w:p>
    <w:p>
      <w:pPr>
        <w:spacing w:after="0" w:line="177" w:lineRule="exact"/>
        <w:rPr>
          <w:sz w:val="20"/>
          <w:szCs w:val="20"/>
          <w:color w:val="auto"/>
        </w:rPr>
      </w:pPr>
    </w:p>
    <w:p>
      <w:pPr>
        <w:jc w:val="both"/>
        <w:ind w:firstLine="749"/>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Factoring Transaction</w:t>
      </w:r>
      <w:r>
        <w:rPr>
          <w:rFonts w:ascii="Arial" w:cs="Arial" w:eastAsia="Arial" w:hAnsi="Arial"/>
          <w:sz w:val="16"/>
          <w:szCs w:val="16"/>
          <w:color w:val="auto"/>
        </w:rPr>
        <w:t xml:space="preserve"> ” means any transaction or series of transactions that may be entered into by the Borrower or any Restricted Subsidiary pursuant to which the Borrower or such Restricted Subsidiary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Person that is not a Restricted Subsidiary; provided that any such Person that is a Subsidiary meets the qualifications in clauses (1) – (3) of the definition of “Receivables Subsidiary”.</w:t>
      </w:r>
    </w:p>
    <w:p>
      <w:pPr>
        <w:spacing w:after="0" w:line="13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 (as determined in good faith by the Borrower).</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FASB ASC</w:t>
      </w:r>
      <w:r>
        <w:rPr>
          <w:rFonts w:ascii="Arial" w:cs="Arial" w:eastAsia="Arial" w:hAnsi="Arial"/>
          <w:sz w:val="20"/>
          <w:szCs w:val="20"/>
          <w:color w:val="auto"/>
        </w:rPr>
        <w:t>” means the Accounting Standard Codifications as promulgated by the Financial Accounting Standards Board, including any renumbering of such standards or any successor or replacement section or sections promulgated by the Financial Accounting Standards Board.</w:t>
      </w:r>
    </w:p>
    <w:p>
      <w:pPr>
        <w:spacing w:after="0" w:line="18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promulgated thereunder or official interpretations thereof, any agreement entered into pursuant to current Section 1471(b)(1) of the Code (or any amended or successor version described above), any intergovernmental agreements implementing the foregoing and any treaty, law or regulation of any other jurisdiction, or relating to an intergovernmental agreement between the United States and any other jurisdiction, which (in either case) implements any law or regulation referred to in this definition.</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Federal Funds Rate</w:t>
      </w:r>
      <w:r>
        <w:rPr>
          <w:rFonts w:ascii="Arial" w:cs="Arial" w:eastAsia="Arial" w:hAnsi="Arial"/>
          <w:sz w:val="20"/>
          <w:szCs w:val="20"/>
          <w:color w:val="auto"/>
        </w:rPr>
        <w:t>” means, for any day, the rate per annum calculated by the NYFRB based on such day’s federal funds transactions by depositary institutions, as determined in such manner as the NYFRB shall set forth on its public website from time to time, and published on the next succeeding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0"/>
          <w:szCs w:val="20"/>
          <w:color w:val="auto"/>
        </w:rPr>
        <w:t xml:space="preserve">Business Day by the NYFRB as the effective federal funds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Rate as so determined would be less than zero, such rate shall be deemed to zero for the purposes of this Agreement.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Federal Reserve Board</w:t>
      </w:r>
      <w:r>
        <w:rPr>
          <w:rFonts w:ascii="Arial" w:cs="Arial" w:eastAsia="Arial" w:hAnsi="Arial"/>
          <w:sz w:val="19"/>
          <w:szCs w:val="19"/>
          <w:color w:val="auto"/>
        </w:rPr>
        <w:t>” means the Board of Governors of the Federal Reserve System of the United States of America.</w:t>
      </w:r>
    </w:p>
    <w:p>
      <w:pPr>
        <w:spacing w:after="0" w:line="22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Fee Letter</w:t>
      </w:r>
      <w:r>
        <w:rPr>
          <w:rFonts w:ascii="Arial" w:cs="Arial" w:eastAsia="Arial" w:hAnsi="Arial"/>
          <w:sz w:val="20"/>
          <w:szCs w:val="20"/>
          <w:color w:val="auto"/>
        </w:rPr>
        <w:t>” means (a) the Fee Letter, dated November 8, 2018, by and among the Arrangers, certain of their respective affiliates, Holdings and the Borrower and (b) the Administrative Agency Fee Letter.</w:t>
      </w:r>
    </w:p>
    <w:p>
      <w:pPr>
        <w:spacing w:after="0" w:line="177" w:lineRule="exact"/>
        <w:rPr>
          <w:sz w:val="20"/>
          <w:szCs w:val="20"/>
          <w:color w:val="auto"/>
        </w:rPr>
      </w:pPr>
    </w:p>
    <w:p>
      <w:pPr>
        <w:jc w:val="both"/>
        <w:ind w:firstLine="80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Fixed Charge Coverage Ratio</w:t>
      </w:r>
      <w:r>
        <w:rPr>
          <w:rFonts w:ascii="Arial" w:cs="Arial" w:eastAsia="Arial" w:hAnsi="Arial"/>
          <w:sz w:val="19"/>
          <w:szCs w:val="19"/>
          <w:color w:val="auto"/>
        </w:rPr>
        <w:t>” means, with respect to any Person for any period, the ratio of (1) Consolidated EBITDA of such Person for the most recently ended Test Period immediately preceding the date on which such calculation of the Fixed Charge Coverage Ratio is made, calculated on a Pro Forma Basis for such period to (2) the Fixed Charges of such Person for such period calculated on a Pro Forma Basis. In the event that the Borrower or any of its Restricted Subsidiaries Incurs or redeems or repays any Indebtedness (other than in the case of revolving credit borrowings or revolving advances under any Qualified Receivables Financing, in which case interest expense shall be computed based upon the average daily balance of such Indebtedness during the applicable period) or issues or redeems Preferred Stock or Disqualified Stock subsequent to the commencement of the period for which the Fixed Charge Coverage Ratio is being calculated but prior to the event for which the calculation of the Fixed Charge Coverage Ratio is made, then the Fixed Charge Coverage Ratio shall be calculated on a Pro Forma Basis.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Fixed Charges</w:t>
      </w:r>
      <w:r>
        <w:rPr>
          <w:rFonts w:ascii="Arial" w:cs="Arial" w:eastAsia="Arial" w:hAnsi="Arial"/>
          <w:sz w:val="20"/>
          <w:szCs w:val="20"/>
          <w:color w:val="auto"/>
        </w:rPr>
        <w:t>” means, with respect to any Person for any period, the sum of:</w:t>
      </w:r>
    </w:p>
    <w:p>
      <w:pPr>
        <w:spacing w:after="0" w:line="216" w:lineRule="exact"/>
        <w:rPr>
          <w:sz w:val="20"/>
          <w:szCs w:val="20"/>
          <w:color w:val="auto"/>
        </w:rPr>
      </w:pPr>
    </w:p>
    <w:p>
      <w:pPr>
        <w:ind w:left="780" w:hanging="398"/>
        <w:spacing w:after="0"/>
        <w:tabs>
          <w:tab w:leader="none" w:pos="7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Consolidated Cash Interest Expense of such Person for such period, and</w:t>
      </w:r>
    </w:p>
    <w:p>
      <w:pPr>
        <w:spacing w:after="0" w:line="107" w:lineRule="exact"/>
        <w:rPr>
          <w:rFonts w:ascii="Arial" w:cs="Arial" w:eastAsia="Arial" w:hAnsi="Arial"/>
          <w:sz w:val="20"/>
          <w:szCs w:val="20"/>
          <w:color w:val="auto"/>
        </w:rPr>
      </w:pPr>
    </w:p>
    <w:p>
      <w:pPr>
        <w:jc w:val="both"/>
        <w:ind w:left="380" w:firstLine="2"/>
        <w:spacing w:after="0" w:line="282" w:lineRule="auto"/>
        <w:tabs>
          <w:tab w:leader="none" w:pos="7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product of (a) all cash dividend payments (excluding items eliminated in consolidation) on any series of Preferred Stock or Disqualified Stock of such Person and its Restricted Subsidiaries for such period and (b) a fraction, the numerator of which is one and the denominator of which is one minus the then current combined federal, state and local statutory tax rate of such Person and its Restricted Subsidiaries, expressed as a decimal, in each case, on a consolidated basis and in accordance with GAAP.</w:t>
      </w:r>
    </w:p>
    <w:p>
      <w:pPr>
        <w:spacing w:after="0" w:line="53"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GAAP Date</w:t>
      </w:r>
      <w:r>
        <w:rPr>
          <w:rFonts w:ascii="Arial" w:cs="Arial" w:eastAsia="Arial" w:hAnsi="Arial"/>
          <w:sz w:val="18"/>
          <w:szCs w:val="18"/>
          <w:color w:val="auto"/>
        </w:rPr>
        <w:t xml:space="preserve">” means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and from time to time after the Closing Date, the Borrower may by written notice to the Administrative Agent elect to change the Fixed GAAP Date to be the date specified in such notice, and upon such notice, the Fixed GAAP Date shall be such date for all periods beginning on and after the date specified in such notice.</w:t>
      </w:r>
    </w:p>
    <w:p>
      <w:pPr>
        <w:spacing w:after="0" w:line="15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Fixed GAAP Terms</w:t>
      </w:r>
      <w:r>
        <w:rPr>
          <w:rFonts w:ascii="Arial" w:cs="Arial" w:eastAsia="Arial" w:hAnsi="Arial"/>
          <w:sz w:val="19"/>
          <w:szCs w:val="19"/>
          <w:color w:val="auto"/>
        </w:rPr>
        <w:t xml:space="preserve">” means (a) the definitions of the terms “Capitalized Lease Obligation,” “Consolidated Cash Interest Expense,” “Consolidated Interest Expense,” “Consolidated Net Income,” “Consolidated Total Assets,” “Consolidated First Lien Net Leverage Ratio,” “Consolidated Senior Secured Net Leverage Ratio,” “Consolidated Total Leverage Ratio,” “Consolidated Total Net Leverage Ratio,” “Consolidated Funded Indebtedness,” “Consolidated Funded First Lien Indebtedness,” “Consolidated Funded Senior Secured Indebtedness,” “Consolidated EBITDA,” “Fixed Charges,” “Fixed Charge Coverage Ratio,” “Four Quarter Consolidated EBITDA” and “Indebtedness,” (b) all defined terms in this Agreement to the extent used in or relating to any of the foregoing definitions, and all ratios and computations based on any of the foregoing definitions, and (c) any other term or provision of this Agreement that, at the Borrower’s election, may be specified by the Borrower by written notice to the Administrative Agent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elect to remove any term from constituting a Fixed GAAP Term.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4" w:name="page95"/>
    <w:bookmarkEnd w:id="94"/>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Flood Insurance Laws</w:t>
      </w:r>
      <w:r>
        <w:rPr>
          <w:rFonts w:ascii="Arial" w:cs="Arial" w:eastAsia="Arial" w:hAnsi="Arial"/>
          <w:sz w:val="20"/>
          <w:szCs w:val="20"/>
          <w:color w:val="auto"/>
        </w:rPr>
        <w:t>” means, collectively, (i) the National Flood Insurance Act of 1968 in effect on the Closing Date or thereafter or any successor statute thereto, (ii) the Flood Disaster Protection Act of 1973 as on the Closing Date or thereafter in effect or any successor statute thereto, (iii) the National Flood Insurance Reform Act of 1994 as of the Closing Date or thereafter in effect or any successor statute thereto, (iv) the Flood Insurance Reform Act of 2004 as of the Closing Date or thereafter in effect or any successor statute thereto, and (v) the Biggert-Waters Flood Insurance Reform Act of 2012.</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0.00%.</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Casualty Event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2.05(b)(vi)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Disposition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2.05(b)(vi)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Foreign Government Scheme or Arrangement</w:t>
      </w:r>
      <w:r>
        <w:rPr>
          <w:rFonts w:ascii="Arial" w:cs="Arial" w:eastAsia="Arial" w:hAnsi="Arial"/>
          <w:sz w:val="20"/>
          <w:szCs w:val="20"/>
          <w:color w:val="auto"/>
        </w:rPr>
        <w:t>” shall have the meaning assigned to such term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5.11(d)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Plan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5.11(d)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means a Restricted Subsidiary not organized or existing under the laws of the United States of America or any state thereof or the District of Columbia.</w:t>
      </w:r>
    </w:p>
    <w:p>
      <w:pPr>
        <w:spacing w:after="0" w:line="17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Four Quarter Consolidated EBITDA</w:t>
      </w:r>
      <w:r>
        <w:rPr>
          <w:rFonts w:ascii="Arial" w:cs="Arial" w:eastAsia="Arial" w:hAnsi="Arial"/>
          <w:sz w:val="18"/>
          <w:szCs w:val="18"/>
          <w:color w:val="auto"/>
        </w:rPr>
        <w:t>” means as of any date of determination with respect to any Test Period, Consolidated EBITDA of the Borrower and its Restricted Subsidiaries on a consolidated basis for such Test Period, in each case on a Pro Forma Basis.</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w:t>
      </w:r>
      <w:r>
        <w:rPr>
          <w:rFonts w:ascii="Arial" w:cs="Arial" w:eastAsia="Arial" w:hAnsi="Arial"/>
          <w:sz w:val="20"/>
          <w:szCs w:val="20"/>
          <w:color w:val="auto"/>
        </w:rPr>
        <w:t>” means any Person (other than a natural person) that is engaged in making, purchasing, holding or otherwise investing in commercial loans and similar extensions of credit in the ordinary course of its business.</w:t>
      </w:r>
    </w:p>
    <w:p>
      <w:pPr>
        <w:spacing w:after="0" w:line="177" w:lineRule="exact"/>
        <w:rPr>
          <w:sz w:val="20"/>
          <w:szCs w:val="20"/>
          <w:color w:val="auto"/>
        </w:rPr>
      </w:pPr>
    </w:p>
    <w:p>
      <w:pPr>
        <w:jc w:val="both"/>
        <w:ind w:firstLine="801"/>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xml:space="preserve">” means generally accepted accounting principles in the United States of America as in effect on the Fixed GAAP Date (for purposes of the Fixed GAAP Terms) and as in effect from time to time (for all other purposes of this Agreement),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(but excluding the policies, rules and regulations of the SEC applicable only to public companies);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may at any time elect by written notice to the Administrative Agent to use IFRS in lieu of GAAP for financial reporting purposes and, upon any such notice, references herein to GAAP shall thereafter be construed to mean (a) for periods beginning on and after the date specified in such notice, IFRS as in effect on the date specified in such notice (for purposes of the Fixed GAAP Terms) and as in effect from time to time (for all other purposes of this Agreement) and (b) for prior periods, GAAP as defined in the first sentence of this definition prior to the proviso. All ratios and computations based on GAAP contained in this Agreement shall be computed in conformity with GAAP.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5" w:name="page96"/>
    <w:bookmarkEnd w:id="95"/>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Asset Sale</w:t>
      </w:r>
      <w:r>
        <w:rPr>
          <w:rFonts w:ascii="Arial" w:cs="Arial" w:eastAsia="Arial" w:hAnsi="Arial"/>
          <w:sz w:val="20"/>
          <w:szCs w:val="20"/>
          <w:color w:val="auto"/>
        </w:rPr>
        <w:t>” means the disposition of assets that are necessary or advisable, in the good faith judgment of the Borrower, in order to obtain the approval of any Governmental Authority to consummate or avoid the prohibition or other restrictions on the consummation of any Permitted Investment or acquisition.</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Authority</w:t>
      </w:r>
      <w:r>
        <w:rPr>
          <w:rFonts w:ascii="Arial" w:cs="Arial" w:eastAsia="Arial" w:hAnsi="Arial"/>
          <w:sz w:val="20"/>
          <w:szCs w:val="20"/>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Granting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10.07(g)</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8"/>
          <w:szCs w:val="18"/>
          <w:b w:val="1"/>
          <w:bCs w:val="1"/>
          <w:i w:val="1"/>
          <w:iCs w:val="1"/>
          <w:color w:val="auto"/>
        </w:rPr>
        <w:t>primary obligor</w:t>
      </w:r>
      <w:r>
        <w:rPr>
          <w:rFonts w:ascii="Arial" w:cs="Arial" w:eastAsia="Arial" w:hAnsi="Arial"/>
          <w:sz w:val="18"/>
          <w:szCs w:val="18"/>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 as a verb has a corresponding meaning.</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Guarantors</w:t>
      </w:r>
      <w:r>
        <w:rPr>
          <w:rFonts w:ascii="Arial" w:cs="Arial" w:eastAsia="Arial" w:hAnsi="Arial"/>
          <w:sz w:val="20"/>
          <w:szCs w:val="20"/>
          <w:color w:val="auto"/>
        </w:rPr>
        <w:t xml:space="preserve">” means, collectively, Holdings and the Subsidiaries of the Borrower listed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(such Subsidiaries of the Borrower not to include any Excluded Subsidiary) and each other Domestic Subsidiary of the Borrower that executes and delivers a guaranty or guaranty supplement pursuant to the terms of this Agreement.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Guaranty</w:t>
      </w:r>
      <w:r>
        <w:rPr>
          <w:rFonts w:ascii="Arial" w:cs="Arial" w:eastAsia="Arial" w:hAnsi="Arial"/>
          <w:sz w:val="20"/>
          <w:szCs w:val="20"/>
          <w:color w:val="auto"/>
        </w:rPr>
        <w:t>” means, collectively, the Holdings Guaranty and the Subsidiary Guaranty.</w:t>
      </w:r>
    </w:p>
    <w:p>
      <w:pPr>
        <w:spacing w:after="0" w:line="21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any chemical, material, substance, waste, pollutant, contaminant or compound in any form of any nature regulated pursuant to any Environmental Law, including petroleum or petroleum distillates, asbestos or asbestos-containing materials.</w:t>
      </w:r>
    </w:p>
    <w:p>
      <w:pPr>
        <w:spacing w:after="0" w:line="130" w:lineRule="exact"/>
        <w:rPr>
          <w:sz w:val="20"/>
          <w:szCs w:val="20"/>
          <w:color w:val="auto"/>
        </w:rPr>
      </w:pPr>
    </w:p>
    <w:p>
      <w:pPr>
        <w:jc w:val="both"/>
        <w:ind w:firstLine="80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Hedge Bank</w:t>
      </w:r>
      <w:r>
        <w:rPr>
          <w:rFonts w:ascii="Arial" w:cs="Arial" w:eastAsia="Arial" w:hAnsi="Arial"/>
          <w:sz w:val="20"/>
          <w:szCs w:val="20"/>
          <w:color w:val="auto"/>
        </w:rPr>
        <w:t>” means any Person that (i) at the time it enters into a Swap Contract, is a Lender or an Agent or an Affiliate of a Lender or an Agent, (ii) within 45 days after the time it enters into a Swap Contract, becomes a Lender or an Agent or an Affiliate of a Lender or an Agent, or (iii) with respect to Swap Contracts in effect as of the Closing Date, is, as of the Closing Date or within 45 days after the Closing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Date, a Lender or an Agent or an Affiliate of a Lender or an Agent, in each case, in its capacity as a party to such Swap Contract.</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Holdings</w:t>
      </w:r>
      <w:r>
        <w:rPr>
          <w:rFonts w:ascii="Arial" w:cs="Arial" w:eastAsia="Arial" w:hAnsi="Arial"/>
          <w:sz w:val="20"/>
          <w:szCs w:val="20"/>
          <w:color w:val="auto"/>
        </w:rPr>
        <w:t>” has the meaning specified in the introductory paragraph of this Agreement.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Holdings Guaranty</w:t>
      </w:r>
      <w:r>
        <w:rPr>
          <w:rFonts w:ascii="Arial" w:cs="Arial" w:eastAsia="Arial" w:hAnsi="Arial"/>
          <w:sz w:val="20"/>
          <w:szCs w:val="20"/>
          <w:color w:val="auto"/>
        </w:rPr>
        <w:t xml:space="preserve">” means the Holdings Guaranty made by Holdings in favor of the Administrative Agent on behalf of the Secured Parties, substantially in the form of </w:t>
      </w:r>
      <w:r>
        <w:rPr>
          <w:rFonts w:ascii="Arial" w:cs="Arial" w:eastAsia="Arial" w:hAnsi="Arial"/>
          <w:sz w:val="20"/>
          <w:szCs w:val="20"/>
          <w:u w:val="single" w:color="auto"/>
          <w:color w:val="auto"/>
        </w:rPr>
        <w:t>Exhibit D-1</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IFRS</w:t>
      </w:r>
      <w:r>
        <w:rPr>
          <w:rFonts w:ascii="Arial" w:cs="Arial" w:eastAsia="Arial" w:hAnsi="Arial"/>
          <w:sz w:val="20"/>
          <w:szCs w:val="20"/>
          <w:color w:val="auto"/>
        </w:rPr>
        <w:t>” means the International Financial Reporting Standards as issued by the International Accounting Standards Board as in effect from time to time.</w:t>
      </w:r>
    </w:p>
    <w:p>
      <w:pPr>
        <w:spacing w:after="0" w:line="17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Immaterial Subsidiary</w:t>
      </w:r>
      <w:r>
        <w:rPr>
          <w:rFonts w:ascii="Arial" w:cs="Arial" w:eastAsia="Arial" w:hAnsi="Arial"/>
          <w:sz w:val="18"/>
          <w:szCs w:val="18"/>
          <w:color w:val="auto"/>
        </w:rPr>
        <w:t xml:space="preserve">” means any Subsidiary of the Borrower that, as of the date of the most recent financial statements required to be delivered pursuant to Section 6.01(a) or (b), does not have (a) assets in excess of 5.0% of Consolidated Total Assets (or when combined with the assets of all other Immaterial Subsidiaries, after eliminating intercompany obligations, assets in excess of 10.0% of Consolidated Total Assets) or (b) Consolidated EBITDA for the Test Period ending on such date in excess of 5.0% of the Consolidated EBITDA of the Borrower and the Restricted Subsidiaries for such period (or, when combined with the Consolidated EBITDA of all other Immaterial Subsidiaries, after eliminating intercompany obligations, Consolidated EBITDA for the Test Period ending on such date in excess of 10.0% of the Consolidated EBITDA of the Borrower and the Restricted Subsidiaries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at all times prior to the first delivery of financial statements pursuant to Section 6.01(a) or (b), this definition shall be applied based on the pro forma consolidated financial statements of Holdings and its Subsidiaries delivered to the Administrative Agent prior to the date hereof and (y) in no event shall any Subsidiary be deemed an Immaterial Subsidiary hereunder if such Subsidiary provides a Guarantee of any Senior Notes or ABL Debt.</w:t>
      </w:r>
    </w:p>
    <w:p>
      <w:pPr>
        <w:spacing w:after="0" w:line="174"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Amount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Arranger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Equivalent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Equivalent Debt Arranger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2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Incur</w:t>
      </w:r>
      <w:r>
        <w:rPr>
          <w:rFonts w:ascii="Arial" w:cs="Arial" w:eastAsia="Arial" w:hAnsi="Arial"/>
          <w:sz w:val="19"/>
          <w:szCs w:val="19"/>
          <w:color w:val="auto"/>
        </w:rPr>
        <w:t xml:space="preserve">” means, with respect to any Indebtedness, Capital Stock or Lien, to issue, assume, guarantee, incur or otherwise become liable for such Indebtedness, Capital Stock or Lien,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Capital Stock or Lien of a Person existing at the time such Person becomes a Subsidiary (whether by merger, amalgamation, consolidation, acquisition, Division or otherwise) shall be deemed to be Incurred by such Person at the time it becomes a Subsidiary.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w:t>
      </w:r>
      <w:r>
        <w:rPr>
          <w:rFonts w:ascii="Arial" w:cs="Arial" w:eastAsia="Arial" w:hAnsi="Arial"/>
          <w:sz w:val="20"/>
          <w:szCs w:val="20"/>
          <w:color w:val="auto"/>
        </w:rPr>
        <w:t>” means, with respect to any Person:</w:t>
      </w:r>
    </w:p>
    <w:p>
      <w:pPr>
        <w:spacing w:after="0" w:line="216" w:lineRule="exact"/>
        <w:rPr>
          <w:sz w:val="20"/>
          <w:szCs w:val="20"/>
          <w:color w:val="auto"/>
        </w:rPr>
      </w:pPr>
    </w:p>
    <w:p>
      <w:pPr>
        <w:jc w:val="both"/>
        <w:ind w:firstLine="1505"/>
        <w:spacing w:after="0" w:line="243" w:lineRule="auto"/>
        <w:tabs>
          <w:tab w:leader="none" w:pos="199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principal of any indebtedness of such Person, whether or not contingent, (i) in respect of borrowed money, (ii) evidenced by bonds, notes, debentures or similar instruments or letters of credit or bankers’ acceptances (or, without duplication, reimbursement agreements in respect thereof), (iii) representing the deferred and unpaid purchase price of any property, (iv) in respect of Capitalized Lease Obligations or (v) representing any Swap Contracts, in each case, if and to the extent that any of the foregoing Indebtedness (other than letters of credit and Swap Contracts) would appear as a liability on a balance sheet (excluding the footnotes thereto) of such Person prepared in accordance with GAAP;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7" w:name="page98"/>
    <w:bookmarkEnd w:id="97"/>
    <w:p>
      <w:pPr>
        <w:ind w:firstLine="1505"/>
        <w:spacing w:after="0" w:line="260" w:lineRule="auto"/>
        <w:tabs>
          <w:tab w:leader="none" w:pos="1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to the extent not otherwise included, any guarantee by such Person of the Indebtedness of another Person (other than by endorsement of negotiable instruments for collection in the ordinary course of business); and</w:t>
      </w:r>
    </w:p>
    <w:p>
      <w:pPr>
        <w:spacing w:after="0" w:line="176" w:lineRule="exact"/>
        <w:rPr>
          <w:rFonts w:ascii="Arial" w:cs="Arial" w:eastAsia="Arial" w:hAnsi="Arial"/>
          <w:sz w:val="20"/>
          <w:szCs w:val="20"/>
          <w:color w:val="auto"/>
        </w:rPr>
      </w:pPr>
    </w:p>
    <w:p>
      <w:pPr>
        <w:jc w:val="both"/>
        <w:ind w:firstLine="1505"/>
        <w:spacing w:after="0" w:line="246" w:lineRule="auto"/>
        <w:tabs>
          <w:tab w:leader="none" w:pos="1986" w:val="left"/>
        </w:tabs>
        <w:numPr>
          <w:ilvl w:val="0"/>
          <w:numId w:val="67"/>
        </w:numPr>
        <w:rPr>
          <w:rFonts w:ascii="Arial" w:cs="Arial" w:eastAsia="Arial" w:hAnsi="Arial"/>
          <w:sz w:val="20"/>
          <w:szCs w:val="20"/>
          <w:color w:val="auto"/>
        </w:rPr>
      </w:pPr>
      <w:r>
        <w:rPr>
          <w:rFonts w:ascii="Arial" w:cs="Arial" w:eastAsia="Arial" w:hAnsi="Arial"/>
          <w:sz w:val="20"/>
          <w:szCs w:val="20"/>
          <w:color w:val="auto"/>
        </w:rPr>
        <w:t>to the extent not otherwise included, Indebtedness of another Person secured by a Lien on any asset owned by such Person (whether or not such Indebtedness is assumed by such Person); provided, however, that the amount of such Indebtedness will be the lesser of: (a) the Fair Market Value of such asset at such date of determination, and (b) the amount of such Indebtedness of such other Person.</w:t>
      </w:r>
    </w:p>
    <w:p>
      <w:pPr>
        <w:spacing w:after="0" w:line="19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The term “Indebtedness” (x) shall not include any lease, concession or license of property (or guarantee thereof) that would be considered an operating lease under GAAP as in effect on the Closing Date in accordance with the Fixed GAAP Terms, (y) shall not include any prepayments of deposits received from clients or customers in the ordinary course of business or consistent with past practices, or obligations under any license, permit or other approval (or guarantees given in respect of such obligations) Incurred prior to the Closing Date or in the ordinary course of business or consistent with past practices and (z) shall not include Indebtedness of Holdings or any direct or indirect parent thereof appearing on the balance sheet of the Borrower solely by reason of push-down accounting.</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Notwithstanding the above provisions, in no event shall the following constitute Indebtedness:</w:t>
      </w:r>
    </w:p>
    <w:p>
      <w:pPr>
        <w:spacing w:after="0" w:line="216" w:lineRule="exact"/>
        <w:rPr>
          <w:sz w:val="20"/>
          <w:szCs w:val="20"/>
          <w:color w:val="auto"/>
        </w:rPr>
      </w:pPr>
    </w:p>
    <w:p>
      <w:pPr>
        <w:ind w:left="2740" w:hanging="486"/>
        <w:spacing w:after="0"/>
        <w:tabs>
          <w:tab w:leader="none" w:pos="27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Contingent Obligations Incurred in the ordinary course of business or consistent with past practices;</w:t>
      </w:r>
    </w:p>
    <w:p>
      <w:pPr>
        <w:spacing w:after="0" w:line="227" w:lineRule="exact"/>
        <w:rPr>
          <w:rFonts w:ascii="Arial" w:cs="Arial" w:eastAsia="Arial" w:hAnsi="Arial"/>
          <w:sz w:val="19"/>
          <w:szCs w:val="19"/>
          <w:color w:val="auto"/>
        </w:rPr>
      </w:pPr>
    </w:p>
    <w:p>
      <w:pPr>
        <w:ind w:left="2740" w:hanging="486"/>
        <w:spacing w:after="0"/>
        <w:tabs>
          <w:tab w:leader="none" w:pos="27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760" w:firstLine="1494"/>
        <w:spacing w:after="0" w:line="260" w:lineRule="auto"/>
        <w:tabs>
          <w:tab w:leader="none" w:pos="2606"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any balance that constitutes a trade payable, accrued expense or similar obligation to a trade creditor, in each case Incurred in the ordinary course of business;</w:t>
      </w:r>
    </w:p>
    <w:p>
      <w:pPr>
        <w:spacing w:after="0" w:line="176" w:lineRule="exact"/>
        <w:rPr>
          <w:rFonts w:ascii="Arial" w:cs="Arial" w:eastAsia="Arial" w:hAnsi="Arial"/>
          <w:sz w:val="20"/>
          <w:szCs w:val="20"/>
          <w:color w:val="auto"/>
        </w:rPr>
      </w:pPr>
    </w:p>
    <w:p>
      <w:pPr>
        <w:ind w:left="760" w:firstLine="1494"/>
        <w:spacing w:after="0" w:line="260" w:lineRule="auto"/>
        <w:tabs>
          <w:tab w:leader="none" w:pos="2604"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intercompany liabilities that would be eliminated on the consolidated balance sheet of the Borrower and its consolidated Restricted Subsidiaries;</w:t>
      </w:r>
    </w:p>
    <w:p>
      <w:pPr>
        <w:spacing w:after="0" w:line="176" w:lineRule="exact"/>
        <w:rPr>
          <w:rFonts w:ascii="Arial" w:cs="Arial" w:eastAsia="Arial" w:hAnsi="Arial"/>
          <w:sz w:val="20"/>
          <w:szCs w:val="20"/>
          <w:color w:val="auto"/>
        </w:rPr>
      </w:pPr>
    </w:p>
    <w:p>
      <w:pPr>
        <w:ind w:left="2740" w:hanging="486"/>
        <w:spacing w:after="0"/>
        <w:tabs>
          <w:tab w:leader="none" w:pos="27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prepaid or deferred revenue arising in the ordinary course of business;</w:t>
      </w:r>
    </w:p>
    <w:p>
      <w:pPr>
        <w:spacing w:after="0" w:line="215" w:lineRule="exact"/>
        <w:rPr>
          <w:rFonts w:ascii="Arial" w:cs="Arial" w:eastAsia="Arial" w:hAnsi="Arial"/>
          <w:sz w:val="20"/>
          <w:szCs w:val="20"/>
          <w:color w:val="auto"/>
        </w:rPr>
      </w:pPr>
    </w:p>
    <w:p>
      <w:pPr>
        <w:ind w:left="2580" w:hanging="326"/>
        <w:spacing w:after="0"/>
        <w:tabs>
          <w:tab w:leader="none" w:pos="25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Cash Management Services;</w:t>
      </w:r>
    </w:p>
    <w:p>
      <w:pPr>
        <w:spacing w:after="0" w:line="215" w:lineRule="exact"/>
        <w:rPr>
          <w:rFonts w:ascii="Arial" w:cs="Arial" w:eastAsia="Arial" w:hAnsi="Arial"/>
          <w:sz w:val="20"/>
          <w:szCs w:val="20"/>
          <w:color w:val="auto"/>
        </w:rPr>
      </w:pPr>
    </w:p>
    <w:p>
      <w:pPr>
        <w:jc w:val="both"/>
        <w:ind w:left="760" w:firstLine="1494"/>
        <w:spacing w:after="0" w:line="244" w:lineRule="auto"/>
        <w:tabs>
          <w:tab w:leader="none" w:pos="2667"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 connection with the purchase by the Borrower or any Restricted Subsidiary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in a timely manner;</w:t>
      </w:r>
    </w:p>
    <w:p>
      <w:pPr>
        <w:spacing w:after="0" w:line="194" w:lineRule="exact"/>
        <w:rPr>
          <w:rFonts w:ascii="Arial" w:cs="Arial" w:eastAsia="Arial" w:hAnsi="Arial"/>
          <w:sz w:val="20"/>
          <w:szCs w:val="20"/>
          <w:color w:val="auto"/>
        </w:rPr>
      </w:pPr>
    </w:p>
    <w:p>
      <w:pPr>
        <w:ind w:left="760" w:firstLine="1494"/>
        <w:spacing w:after="0" w:line="260" w:lineRule="auto"/>
        <w:tabs>
          <w:tab w:leader="none" w:pos="2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obligations, to the extent such obligations would otherwise constitute Indebtedness, under any agreement that has been defeased or satisfied and discharged pursuant to the terms of such agreement;</w:t>
      </w:r>
    </w:p>
    <w:p>
      <w:pPr>
        <w:spacing w:after="0" w:line="176" w:lineRule="exact"/>
        <w:rPr>
          <w:rFonts w:ascii="Arial" w:cs="Arial" w:eastAsia="Arial" w:hAnsi="Arial"/>
          <w:sz w:val="20"/>
          <w:szCs w:val="20"/>
          <w:color w:val="auto"/>
        </w:rPr>
      </w:pPr>
    </w:p>
    <w:p>
      <w:pPr>
        <w:jc w:val="both"/>
        <w:ind w:left="760" w:firstLine="1494"/>
        <w:spacing w:after="0" w:line="250" w:lineRule="auto"/>
        <w:tabs>
          <w:tab w:leader="none" w:pos="2605" w:val="left"/>
        </w:tabs>
        <w:numPr>
          <w:ilvl w:val="0"/>
          <w:numId w:val="68"/>
        </w:numPr>
        <w:rPr>
          <w:rFonts w:ascii="Arial" w:cs="Arial" w:eastAsia="Arial" w:hAnsi="Arial"/>
          <w:sz w:val="20"/>
          <w:szCs w:val="20"/>
          <w:color w:val="auto"/>
        </w:rPr>
      </w:pPr>
      <w:r>
        <w:rPr>
          <w:rFonts w:ascii="Arial" w:cs="Arial" w:eastAsia="Arial" w:hAnsi="Arial"/>
          <w:sz w:val="20"/>
          <w:szCs w:val="20"/>
          <w:color w:val="auto"/>
        </w:rPr>
        <w:t>for the avoidance of doubt, any obligations in respect of workers’ compensation claims, early retirement or termination obligations, deferred compensatory or employee or director equity plans, pension fund obligations or contributions or similar claims, obligations or contributions or social security or wage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8" w:name="page99"/>
    <w:bookmarkEnd w:id="98"/>
    <w:p>
      <w:pPr>
        <w:jc w:val="both"/>
        <w:ind w:left="2260"/>
        <w:spacing w:after="0"/>
        <w:tabs>
          <w:tab w:leader="none" w:pos="2780" w:val="left"/>
        </w:tabs>
        <w:rPr>
          <w:sz w:val="20"/>
          <w:szCs w:val="20"/>
          <w:color w:val="auto"/>
        </w:rPr>
      </w:pPr>
      <w:r>
        <w:rPr>
          <w:rFonts w:ascii="Arial" w:cs="Arial" w:eastAsia="Arial" w:hAnsi="Arial"/>
          <w:sz w:val="20"/>
          <w:szCs w:val="20"/>
          <w:color w:val="auto"/>
        </w:rPr>
        <w:t>(x)</w:t>
      </w:r>
      <w:r>
        <w:rPr>
          <w:sz w:val="20"/>
          <w:szCs w:val="20"/>
          <w:color w:val="auto"/>
        </w:rPr>
        <w:tab/>
      </w:r>
      <w:r>
        <w:rPr>
          <w:rFonts w:ascii="Arial" w:cs="Arial" w:eastAsia="Arial" w:hAnsi="Arial"/>
          <w:sz w:val="20"/>
          <w:szCs w:val="20"/>
          <w:color w:val="auto"/>
        </w:rPr>
        <w:t>Capital Stock (other than Disqualified Stock of the Borrower and Preferred Stock of a Restricted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Subsidiary); or</w:t>
      </w:r>
    </w:p>
    <w:p>
      <w:pPr>
        <w:spacing w:after="0" w:line="200" w:lineRule="exact"/>
        <w:rPr>
          <w:sz w:val="20"/>
          <w:szCs w:val="20"/>
          <w:color w:val="auto"/>
        </w:rPr>
      </w:pPr>
    </w:p>
    <w:p>
      <w:pPr>
        <w:ind w:left="760" w:firstLine="1494"/>
        <w:spacing w:after="0" w:line="260" w:lineRule="auto"/>
        <w:tabs>
          <w:tab w:leader="none" w:pos="26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indebtedness that constitutes “Indebtedness” merely by virtue of a pledge of an Investment (without any accompanying guaranty) in an Unrestricted Subsidiary.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Indemnified Liabilities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Independent Financial Advisor</w:t>
      </w:r>
      <w:r>
        <w:rPr>
          <w:rFonts w:ascii="Arial" w:cs="Arial" w:eastAsia="Arial" w:hAnsi="Arial"/>
          <w:sz w:val="20"/>
          <w:szCs w:val="20"/>
          <w:color w:val="auto"/>
        </w:rPr>
        <w:t>” means an accounting, appraisal or investment banking firm or consultant, in each case of nationally recognized standing that is, in the good faith determination of the Borrower, qualified to perform the task for which it has been engaged.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10.08</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Term Borrowing</w:t>
      </w:r>
      <w:r>
        <w:rPr>
          <w:rFonts w:ascii="Arial" w:cs="Arial" w:eastAsia="Arial" w:hAnsi="Arial"/>
          <w:sz w:val="20"/>
          <w:szCs w:val="20"/>
          <w:color w:val="auto"/>
        </w:rPr>
        <w:t xml:space="preserve">” means a borrowing consisting of simultaneous Initial Term Loans of the same Type and, in the case of Term Benchmark Loans, having the same Interest Period made by each of the applicable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in each case, on the Closing Date.</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Term Commitment</w:t>
      </w:r>
      <w:r>
        <w:rPr>
          <w:rFonts w:ascii="Arial" w:cs="Arial" w:eastAsia="Arial" w:hAnsi="Arial"/>
          <w:sz w:val="20"/>
          <w:szCs w:val="20"/>
          <w:color w:val="auto"/>
        </w:rPr>
        <w:t xml:space="preserve">” means, as to each Lender, its obligation to make Initial Term Loans to the Borrower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in an aggregate principal amount not to exceed the amount set forth opposite such Lender’s name on Schedule 2.01 under the caption “Initial Term Commitment” as such amount may be adjusted from time to time in accordance with this Agreement. The initial aggregate amount of the Initial Term Commitments is $3,200,000,000.</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Term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1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Inside Maturity Basket</w:t>
      </w:r>
      <w:r>
        <w:rPr>
          <w:rFonts w:ascii="Arial" w:cs="Arial" w:eastAsia="Arial" w:hAnsi="Arial"/>
          <w:sz w:val="19"/>
          <w:szCs w:val="19"/>
          <w:color w:val="auto"/>
        </w:rPr>
        <w:t xml:space="preserve">” means Indebtedness consisting of, at the Borrower’s option, any combination of Refinancing Notes, New Loan Commitments, Incremental Equivalent Debt, Ratio Debt, Specified Refinancing Debt or Indebtedness incurred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7.03(b)(15)</w:t>
      </w:r>
      <w:r>
        <w:rPr>
          <w:rFonts w:ascii="Arial" w:cs="Arial" w:eastAsia="Arial" w:hAnsi="Arial"/>
          <w:sz w:val="19"/>
          <w:szCs w:val="19"/>
          <w:color w:val="auto"/>
        </w:rPr>
        <w:t>, equal to the greater of (a) $950,000,000 and (b) 50% of Four Quarter Consolidated EBITDA, for the aggregate principal amount of all Indebtedness incurred within the Inside Maturity Basket during the term of this Agreement.</w:t>
      </w:r>
    </w:p>
    <w:p>
      <w:pPr>
        <w:spacing w:after="0" w:line="17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Security Agreement</w:t>
      </w:r>
      <w:r>
        <w:rPr>
          <w:rFonts w:ascii="Arial" w:cs="Arial" w:eastAsia="Arial" w:hAnsi="Arial"/>
          <w:sz w:val="18"/>
          <w:szCs w:val="18"/>
          <w:color w:val="auto"/>
        </w:rPr>
        <w:t xml:space="preserve">” means, collectively, the patent security agreement, substantially in the form of Exhibit B to the Security Agreement, the copyright security agreement, substantially in the form of Exhibit C to the Security Agreement and the trademark security agreement, substantially in the form of Exhibit D to the Security Agreement, in each case dated as of the Closing Date, together with each intellectual property security agreement supplement executed and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Intercompany Subordination Agreement</w:t>
      </w:r>
      <w:r>
        <w:rPr>
          <w:rFonts w:ascii="Arial" w:cs="Arial" w:eastAsia="Arial" w:hAnsi="Arial"/>
          <w:sz w:val="20"/>
          <w:szCs w:val="20"/>
          <w:color w:val="auto"/>
        </w:rPr>
        <w:t xml:space="preserve">” means an intercompany subordination agreement, in substantially the form of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G</w:t>
      </w:r>
      <w:r>
        <w:rPr>
          <w:rFonts w:ascii="Arial" w:cs="Arial" w:eastAsia="Arial" w:hAnsi="Arial"/>
          <w:sz w:val="20"/>
          <w:szCs w:val="20"/>
          <w:color w:val="auto"/>
        </w:rPr>
        <w:t xml:space="preserve"> hereto, or otherwise in form and substance reasonably satisfactory to the Administrative Agent.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Intercreditor Agreements</w:t>
      </w:r>
      <w:r>
        <w:rPr>
          <w:rFonts w:ascii="Arial" w:cs="Arial" w:eastAsia="Arial" w:hAnsi="Arial"/>
          <w:sz w:val="20"/>
          <w:szCs w:val="20"/>
          <w:color w:val="auto"/>
        </w:rPr>
        <w:t>” means the ABL Intercreditor Agreement and the Pari Passu Intercreditor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Payment Date</w:t>
      </w:r>
      <w:r>
        <w:rPr>
          <w:rFonts w:ascii="Arial" w:cs="Arial" w:eastAsia="Arial" w:hAnsi="Arial"/>
          <w:sz w:val="20"/>
          <w:szCs w:val="20"/>
          <w:color w:val="auto"/>
        </w:rPr>
        <w:t xml:space="preserve">” means, (a) as to any Loan other than a Base Rate Loan, the last day of each Interest Period applicable to such Loan and the applicable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Term Benchmark Loan exceeds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0"/>
          <w:szCs w:val="20"/>
          <w:color w:val="auto"/>
        </w:rPr>
        <w:t>three months, the respective dates that fall every three months after the beginning of such Interest Period shall also be Interest Payment Dates; and (b) as to any Base Rate Loan, the last Business Day of each March, June, September and December and the applicable Maturity Date of the Facility under which such Loan was made commencing on June 30, 2019.</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Period</w:t>
      </w:r>
      <w:r>
        <w:rPr>
          <w:rFonts w:ascii="Arial" w:cs="Arial" w:eastAsia="Arial" w:hAnsi="Arial"/>
          <w:sz w:val="20"/>
          <w:szCs w:val="20"/>
          <w:color w:val="auto"/>
        </w:rPr>
        <w:t xml:space="preserve">” means, as to each Term Benchmark Loan, the period commencing on the date such Term Benchmark Loan is disbursed or converted to or continued as a Term Benchmark Loan and ending on the date one, three or six months thereafter, as selected by the Borrower in its Committed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186" w:lineRule="exact"/>
        <w:rPr>
          <w:sz w:val="20"/>
          <w:szCs w:val="20"/>
          <w:color w:val="auto"/>
        </w:rPr>
      </w:pPr>
    </w:p>
    <w:p>
      <w:pPr>
        <w:jc w:val="both"/>
        <w:ind w:left="380" w:firstLine="2"/>
        <w:spacing w:after="0" w:line="250" w:lineRule="auto"/>
        <w:tabs>
          <w:tab w:leader="none" w:pos="781"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77" w:lineRule="exact"/>
        <w:rPr>
          <w:rFonts w:ascii="Arial" w:cs="Arial" w:eastAsia="Arial" w:hAnsi="Arial"/>
          <w:sz w:val="20"/>
          <w:szCs w:val="20"/>
          <w:color w:val="auto"/>
        </w:rPr>
      </w:pPr>
    </w:p>
    <w:p>
      <w:pPr>
        <w:jc w:val="both"/>
        <w:ind w:left="380" w:firstLine="2"/>
        <w:spacing w:after="0" w:line="250" w:lineRule="auto"/>
        <w:tabs>
          <w:tab w:leader="none" w:pos="807"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77" w:lineRule="exact"/>
        <w:rPr>
          <w:rFonts w:ascii="Arial" w:cs="Arial" w:eastAsia="Arial" w:hAnsi="Arial"/>
          <w:sz w:val="20"/>
          <w:szCs w:val="20"/>
          <w:color w:val="auto"/>
        </w:rPr>
      </w:pPr>
    </w:p>
    <w:p>
      <w:pPr>
        <w:ind w:left="780" w:hanging="398"/>
        <w:spacing w:after="0"/>
        <w:tabs>
          <w:tab w:leader="none" w:pos="7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 Interest Period shall extend beyond the applicable Maturity Date of the Facility under which such Loan was made; and</w:t>
      </w:r>
    </w:p>
    <w:p>
      <w:pPr>
        <w:spacing w:after="0" w:line="119" w:lineRule="exact"/>
        <w:rPr>
          <w:rFonts w:ascii="Arial" w:cs="Arial" w:eastAsia="Arial" w:hAnsi="Arial"/>
          <w:sz w:val="19"/>
          <w:szCs w:val="19"/>
          <w:color w:val="auto"/>
        </w:rPr>
      </w:pPr>
    </w:p>
    <w:p>
      <w:pPr>
        <w:ind w:left="380" w:firstLine="2"/>
        <w:spacing w:after="0" w:line="260" w:lineRule="auto"/>
        <w:tabs>
          <w:tab w:leader="none" w:pos="817"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no tenor that has been removed from this definition pursuant to </w:t>
      </w:r>
      <w:r>
        <w:rPr>
          <w:rFonts w:ascii="Arial" w:cs="Arial" w:eastAsia="Arial" w:hAnsi="Arial"/>
          <w:sz w:val="20"/>
          <w:szCs w:val="20"/>
          <w:u w:val="single" w:color="auto"/>
          <w:color w:val="auto"/>
        </w:rPr>
        <w:t>Section 3.03(e)</w:t>
      </w:r>
      <w:r>
        <w:rPr>
          <w:rFonts w:ascii="Arial" w:cs="Arial" w:eastAsia="Arial" w:hAnsi="Arial"/>
          <w:sz w:val="20"/>
          <w:szCs w:val="20"/>
          <w:color w:val="auto"/>
        </w:rPr>
        <w:t xml:space="preserve"> shall be available for specification in such Committed Loan Notice.</w:t>
      </w:r>
    </w:p>
    <w:p>
      <w:pPr>
        <w:spacing w:after="0" w:line="69" w:lineRule="exact"/>
        <w:rPr>
          <w:sz w:val="20"/>
          <w:szCs w:val="20"/>
          <w:color w:val="auto"/>
        </w:rPr>
      </w:pPr>
    </w:p>
    <w:p>
      <w:pPr>
        <w:ind w:firstLine="83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 Grade Rating</w:t>
      </w:r>
      <w:r>
        <w:rPr>
          <w:rFonts w:ascii="Arial" w:cs="Arial" w:eastAsia="Arial" w:hAnsi="Arial"/>
          <w:sz w:val="20"/>
          <w:szCs w:val="20"/>
          <w:color w:val="auto"/>
        </w:rPr>
        <w:t>” means a rating equal to or higher than Baa3 (or the equivalent) by Moody’s and BBB- (or the equivalent) by S&amp;P, or an equivalent rating by any other rating agency.</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 Grade Securities</w:t>
      </w:r>
      <w:r>
        <w:rPr>
          <w:rFonts w:ascii="Arial" w:cs="Arial" w:eastAsia="Arial" w:hAnsi="Arial"/>
          <w:sz w:val="20"/>
          <w:szCs w:val="20"/>
          <w:color w:val="auto"/>
        </w:rPr>
        <w:t>” means:</w:t>
      </w:r>
    </w:p>
    <w:p>
      <w:pPr>
        <w:spacing w:after="0" w:line="216" w:lineRule="exact"/>
        <w:rPr>
          <w:sz w:val="20"/>
          <w:szCs w:val="20"/>
          <w:color w:val="auto"/>
        </w:rPr>
      </w:pPr>
    </w:p>
    <w:p>
      <w:pPr>
        <w:ind w:left="380" w:firstLine="2"/>
        <w:spacing w:after="0" w:line="260" w:lineRule="auto"/>
        <w:tabs>
          <w:tab w:leader="none" w:pos="781" w:val="left"/>
        </w:tabs>
        <w:numPr>
          <w:ilvl w:val="0"/>
          <w:numId w:val="71"/>
        </w:numPr>
        <w:rPr>
          <w:rFonts w:ascii="Arial" w:cs="Arial" w:eastAsia="Arial" w:hAnsi="Arial"/>
          <w:sz w:val="20"/>
          <w:szCs w:val="20"/>
          <w:color w:val="auto"/>
        </w:rPr>
      </w:pPr>
      <w:r>
        <w:rPr>
          <w:rFonts w:ascii="Arial" w:cs="Arial" w:eastAsia="Arial" w:hAnsi="Arial"/>
          <w:sz w:val="20"/>
          <w:szCs w:val="20"/>
          <w:color w:val="auto"/>
        </w:rPr>
        <w:t>securities issued or directly and fully guaranteed or insured by the U.S. government or any agency or instrumentality thereof (other than Cash Equivalents),</w:t>
      </w:r>
    </w:p>
    <w:p>
      <w:pPr>
        <w:spacing w:after="0" w:line="68" w:lineRule="exact"/>
        <w:rPr>
          <w:rFonts w:ascii="Arial" w:cs="Arial" w:eastAsia="Arial" w:hAnsi="Arial"/>
          <w:sz w:val="20"/>
          <w:szCs w:val="20"/>
          <w:color w:val="auto"/>
        </w:rPr>
      </w:pPr>
    </w:p>
    <w:p>
      <w:pPr>
        <w:ind w:left="380" w:firstLine="2"/>
        <w:spacing w:after="0" w:line="260" w:lineRule="auto"/>
        <w:tabs>
          <w:tab w:leader="none" w:pos="795" w:val="left"/>
        </w:tabs>
        <w:numPr>
          <w:ilvl w:val="0"/>
          <w:numId w:val="71"/>
        </w:numPr>
        <w:rPr>
          <w:rFonts w:ascii="Arial" w:cs="Arial" w:eastAsia="Arial" w:hAnsi="Arial"/>
          <w:sz w:val="20"/>
          <w:szCs w:val="20"/>
          <w:color w:val="auto"/>
        </w:rPr>
      </w:pPr>
      <w:r>
        <w:rPr>
          <w:rFonts w:ascii="Arial" w:cs="Arial" w:eastAsia="Arial" w:hAnsi="Arial"/>
          <w:sz w:val="20"/>
          <w:szCs w:val="20"/>
          <w:color w:val="auto"/>
        </w:rPr>
        <w:t>securities that have an Investment Grade Rating, but excluding any debt securities or instruments constituting loans or advances among Borrower and its Subsidiaries,</w:t>
      </w:r>
    </w:p>
    <w:p>
      <w:pPr>
        <w:spacing w:after="0" w:line="68" w:lineRule="exact"/>
        <w:rPr>
          <w:rFonts w:ascii="Arial" w:cs="Arial" w:eastAsia="Arial" w:hAnsi="Arial"/>
          <w:sz w:val="20"/>
          <w:szCs w:val="20"/>
          <w:color w:val="auto"/>
        </w:rPr>
      </w:pPr>
    </w:p>
    <w:p>
      <w:pPr>
        <w:ind w:left="380" w:firstLine="2"/>
        <w:spacing w:after="0" w:line="260" w:lineRule="auto"/>
        <w:tabs>
          <w:tab w:leader="none" w:pos="779"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investments in any fund that invests at least 95% of its assets in investments of the type described in clauses (1) and (2) which fund may also hold immaterial amounts of cash pending investment and/or distribution, and</w:t>
      </w:r>
    </w:p>
    <w:p>
      <w:pPr>
        <w:spacing w:after="0" w:line="68" w:lineRule="exact"/>
        <w:rPr>
          <w:rFonts w:ascii="Arial" w:cs="Arial" w:eastAsia="Arial" w:hAnsi="Arial"/>
          <w:sz w:val="20"/>
          <w:szCs w:val="20"/>
          <w:color w:val="auto"/>
        </w:rPr>
      </w:pPr>
    </w:p>
    <w:p>
      <w:pPr>
        <w:ind w:left="380" w:firstLine="2"/>
        <w:spacing w:after="0" w:line="260" w:lineRule="auto"/>
        <w:tabs>
          <w:tab w:leader="none" w:pos="791" w:val="left"/>
        </w:tabs>
        <w:numPr>
          <w:ilvl w:val="0"/>
          <w:numId w:val="71"/>
        </w:numPr>
        <w:rPr>
          <w:rFonts w:ascii="Arial" w:cs="Arial" w:eastAsia="Arial" w:hAnsi="Arial"/>
          <w:sz w:val="20"/>
          <w:szCs w:val="20"/>
          <w:color w:val="auto"/>
        </w:rPr>
      </w:pPr>
      <w:r>
        <w:rPr>
          <w:rFonts w:ascii="Arial" w:cs="Arial" w:eastAsia="Arial" w:hAnsi="Arial"/>
          <w:sz w:val="20"/>
          <w:szCs w:val="20"/>
          <w:color w:val="auto"/>
        </w:rPr>
        <w:t>corresponding instruments in countries other than the United States customarily utilized for high quality investments and in each case with maturities not exceeding two years from the date of acquisition.</w:t>
      </w:r>
    </w:p>
    <w:p>
      <w:pPr>
        <w:spacing w:after="0" w:line="69"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means, with respect to any Person, (i) all investments by such Person in other Persons (including Affiliates) in the form of (a) loans (including guarantees of Indebtedness), (b) advances or capital contributions (excluding accounts receivable, credit card and debit card receivables, trade credit and advances or other payments made to customers, dealers, suppliers and distributors and payroll, commission, travel and similar advances to officers, directors, managers, employees consultants and independent contractors made in the ordinary course of business), and (c) purchases or other acquisitions for consideration of Indebtedness, Equity Interests or other securities issued by any such other Person and (ii) investments that are required by GAAP to be classified on the balance sheet of the Borrower in the same manner as the other investments included in clause (i) of this definition to the extent such transactions involve the transfer of cash or other property; provided that Investments shall not include, 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0" w:name="page101"/>
    <w:bookmarkEnd w:id="100"/>
    <w:p>
      <w:pPr>
        <w:jc w:val="both"/>
        <w:spacing w:after="0" w:line="242" w:lineRule="auto"/>
        <w:rPr>
          <w:sz w:val="20"/>
          <w:szCs w:val="20"/>
          <w:color w:val="auto"/>
        </w:rPr>
      </w:pPr>
      <w:r>
        <w:rPr>
          <w:rFonts w:ascii="Arial" w:cs="Arial" w:eastAsia="Arial" w:hAnsi="Arial"/>
          <w:sz w:val="20"/>
          <w:szCs w:val="20"/>
          <w:color w:val="auto"/>
        </w:rPr>
        <w:t>the case of the Borrower and the Restricted Subsidiaries, intercompany loans, advances, or Indebtedness having a term not exceeding 364 days (inclusive of any roll-over or extensions of terms) and made in the ordinary course of business. If the Borrower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of the Borrower, the Borrower shall be deemed to have made an Investment on the date of any such sale or other disposition equal to the Fair Market Value of the Equity Interests of and all other Investments in such Restricted Subsidiary retained. In no event shall a guarantee of an operating lease of the Borrower or any Restricted Subsidiary be deemed an Investment. For purposes of the definition of “Unrestricted Subsidiary” and Section 7.06:</w:t>
      </w:r>
    </w:p>
    <w:p>
      <w:pPr>
        <w:spacing w:after="0" w:line="197" w:lineRule="exact"/>
        <w:rPr>
          <w:sz w:val="20"/>
          <w:szCs w:val="20"/>
          <w:color w:val="auto"/>
        </w:rPr>
      </w:pPr>
    </w:p>
    <w:p>
      <w:pPr>
        <w:jc w:val="both"/>
        <w:ind w:firstLine="1505"/>
        <w:spacing w:after="0" w:line="263" w:lineRule="auto"/>
        <w:tabs>
          <w:tab w:leader="none" w:pos="1996"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“Investments” shall include the portion (proportionate to the Borrower’s equity interest in such Subsidiary) of the Fair Market Value of the net assets of a Subsidiary of the Borrower at the time that such Subsidiary is designated an Unrestricted Subsidiary; provided, however, that upon a redesignation of such Subsidiary as a Restricted Subsidiary, the Borrower shall be deemed to continue to have a permanent “Investment” in an Unrestricted Subsidiary in an amount (if positive) equal to:</w:t>
      </w:r>
    </w:p>
    <w:p>
      <w:pPr>
        <w:spacing w:after="0" w:line="176" w:lineRule="exact"/>
        <w:rPr>
          <w:sz w:val="20"/>
          <w:szCs w:val="20"/>
          <w:color w:val="auto"/>
        </w:rPr>
      </w:pPr>
    </w:p>
    <w:p>
      <w:pPr>
        <w:ind w:left="1980" w:hanging="475"/>
        <w:spacing w:after="0"/>
        <w:tabs>
          <w:tab w:leader="none" w:pos="19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Borrower’s “Investment” in such Subsidiary at the time of such redesignation; less</w:t>
      </w:r>
    </w:p>
    <w:p>
      <w:pPr>
        <w:spacing w:after="0" w:line="215" w:lineRule="exact"/>
        <w:rPr>
          <w:rFonts w:ascii="Arial" w:cs="Arial" w:eastAsia="Arial" w:hAnsi="Arial"/>
          <w:sz w:val="20"/>
          <w:szCs w:val="20"/>
          <w:color w:val="auto"/>
        </w:rPr>
      </w:pPr>
    </w:p>
    <w:p>
      <w:pPr>
        <w:ind w:firstLine="1505"/>
        <w:spacing w:after="0" w:line="260" w:lineRule="auto"/>
        <w:tabs>
          <w:tab w:leader="none" w:pos="199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portion (proportionate to the Borrower’s equity interest in such Subsidiary) of the Fair Market Value of the net assets of such Subsidiary at the time of such redesignation; and</w:t>
      </w:r>
    </w:p>
    <w:p>
      <w:pPr>
        <w:spacing w:after="0" w:line="177" w:lineRule="exact"/>
        <w:rPr>
          <w:sz w:val="20"/>
          <w:szCs w:val="20"/>
          <w:color w:val="auto"/>
        </w:rPr>
      </w:pPr>
    </w:p>
    <w:p>
      <w:pPr>
        <w:ind w:left="2000" w:hanging="495"/>
        <w:spacing w:after="0"/>
        <w:tabs>
          <w:tab w:leader="none" w:pos="2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shall be valued at its Fair Market Value at the time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such transfer.</w:t>
      </w:r>
    </w:p>
    <w:p>
      <w:pPr>
        <w:spacing w:after="0" w:line="20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The amount of any Investment outstanding at any time (including for purposes of calculating the amount of any Investment outstanding at any time under any provision of Section 7.06 and otherwise determining compliance with such covenant) shall be the original cost of such Investment (determined, in the case of any Investment made with assets of the Borrower or any Restricted Subsidiary, based on the Fair Market Value of the assets invested and without taking into account subsequent increases or decreases in value), reduced (but not to less than $0) by any dividend, distribution, interest payment, return of capital, repayment or other amount received in cash by the Borrower or a Restricted Subsidiary in respect of such Investment and shall be net of any Investment by such Person in Borrower or any Restricted Subsidiary.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5.16</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IP Security Agreement Supplement</w:t>
      </w:r>
      <w:r>
        <w:rPr>
          <w:rFonts w:ascii="Arial" w:cs="Arial" w:eastAsia="Arial" w:hAnsi="Arial"/>
          <w:sz w:val="20"/>
          <w:szCs w:val="20"/>
          <w:color w:val="auto"/>
        </w:rPr>
        <w:t>” has the meaning specified in the Security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JPMCB</w:t>
      </w:r>
      <w:r>
        <w:rPr>
          <w:rFonts w:ascii="Arial" w:cs="Arial" w:eastAsia="Arial" w:hAnsi="Arial"/>
          <w:sz w:val="20"/>
          <w:szCs w:val="20"/>
          <w:color w:val="auto"/>
        </w:rPr>
        <w:t>” has the meaning specified in the preamble.</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Junior Financing</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10" w:lineRule="exact"/>
        <w:rPr>
          <w:sz w:val="20"/>
          <w:szCs w:val="20"/>
          <w:color w:val="auto"/>
        </w:rPr>
      </w:pPr>
    </w:p>
    <w:p>
      <w:pPr>
        <w:jc w:val="both"/>
        <w:ind w:firstLine="812"/>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Latest Maturity Date</w:t>
      </w:r>
      <w:r>
        <w:rPr>
          <w:rFonts w:ascii="Arial" w:cs="Arial" w:eastAsia="Arial" w:hAnsi="Arial"/>
          <w:sz w:val="19"/>
          <w:szCs w:val="19"/>
          <w:color w:val="auto"/>
        </w:rPr>
        <w:t>” means, at any date of determination, the latest maturity or expiration date applicable to any Term Loan Tranche at such time under this Agreement, in each case as extended in accordance with this Agreement from time to time.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1" w:name="page102"/>
    <w:bookmarkEnd w:id="101"/>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Laws</w:t>
      </w:r>
      <w:r>
        <w:rPr>
          <w:rFonts w:ascii="Arial" w:cs="Arial" w:eastAsia="Arial" w:hAnsi="Arial"/>
          <w:sz w:val="20"/>
          <w:szCs w:val="20"/>
          <w:color w:val="auto"/>
        </w:rPr>
        <w:t>” means, collectively, all applicable international, foreign, Federal, state and local statutes, statutory instruments, acts, treaties, rules, guidelines, regulations, directives,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have the meanings specified in the preamble.</w:t>
      </w:r>
    </w:p>
    <w:p>
      <w:pPr>
        <w:spacing w:after="0" w:line="21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30" w:lineRule="exact"/>
        <w:rPr>
          <w:sz w:val="20"/>
          <w:szCs w:val="20"/>
          <w:color w:val="auto"/>
        </w:rPr>
      </w:pPr>
    </w:p>
    <w:p>
      <w:pPr>
        <w:jc w:val="both"/>
        <w:ind w:firstLine="79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Lien</w:t>
      </w:r>
      <w:r>
        <w:rPr>
          <w:rFonts w:ascii="Arial" w:cs="Arial" w:eastAsia="Arial" w:hAnsi="Arial"/>
          <w:sz w:val="20"/>
          <w:szCs w:val="20"/>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 operating lease be deemed to constitute a Lien.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LLC</w:t>
      </w:r>
      <w:r>
        <w:rPr>
          <w:rFonts w:ascii="Arial" w:cs="Arial" w:eastAsia="Arial" w:hAnsi="Arial"/>
          <w:sz w:val="20"/>
          <w:szCs w:val="20"/>
          <w:color w:val="auto"/>
        </w:rPr>
        <w:t>” means any Person that is a limited liability company under the laws of its jurisdiction of formation.</w:t>
      </w:r>
    </w:p>
    <w:p>
      <w:pPr>
        <w:spacing w:after="0" w:line="216"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Loan</w:t>
      </w:r>
      <w:r>
        <w:rPr>
          <w:rFonts w:ascii="Arial" w:cs="Arial" w:eastAsia="Arial" w:hAnsi="Arial"/>
          <w:sz w:val="20"/>
          <w:szCs w:val="20"/>
          <w:color w:val="auto"/>
        </w:rPr>
        <w:t xml:space="preserve">” means an extension of credit by a Lender to the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Term Loan, a New Term Loan or a Specified Refinancing Term Loan.</w:t>
      </w:r>
    </w:p>
    <w:p>
      <w:pPr>
        <w:spacing w:after="0" w:line="17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means, collectively, (i) this Agreement, (ii) the Notes, (iii) the Guaranty, (iv) the Collateral Documents, (v) the Intercreditor Agreements, (vi) each Fee Letter, (vii) the Amendment Agreement and (viii) Amendment No. 2.</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Parties</w:t>
      </w:r>
      <w:r>
        <w:rPr>
          <w:rFonts w:ascii="Arial" w:cs="Arial" w:eastAsia="Arial" w:hAnsi="Arial"/>
          <w:sz w:val="20"/>
          <w:szCs w:val="20"/>
          <w:color w:val="auto"/>
        </w:rPr>
        <w:t>” means, collectively, the Borrower and each Guarantor.</w:t>
      </w:r>
    </w:p>
    <w:p>
      <w:pPr>
        <w:spacing w:after="0" w:line="216" w:lineRule="exact"/>
        <w:rPr>
          <w:sz w:val="20"/>
          <w:szCs w:val="20"/>
          <w:color w:val="auto"/>
        </w:rPr>
      </w:pPr>
    </w:p>
    <w:p>
      <w:pPr>
        <w:jc w:val="both"/>
        <w:ind w:firstLine="799"/>
        <w:spacing w:after="0" w:line="236"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Majority Lenders</w:t>
      </w:r>
      <w:r>
        <w:rPr>
          <w:rFonts w:ascii="Arial" w:cs="Arial" w:eastAsia="Arial" w:hAnsi="Arial"/>
          <w:sz w:val="20"/>
          <w:szCs w:val="20"/>
          <w:color w:val="auto"/>
        </w:rPr>
        <w:t>” of any Tranche means those non</w:t>
      </w:r>
      <w:r>
        <w:rPr>
          <w:rFonts w:ascii="MS PGothic" w:cs="MS PGothic" w:eastAsia="MS PGothic" w:hAnsi="MS PGothic"/>
          <w:sz w:val="20"/>
          <w:szCs w:val="20"/>
          <w:color w:val="auto"/>
        </w:rPr>
        <w:t>‑</w:t>
      </w:r>
      <w:r>
        <w:rPr>
          <w:rFonts w:ascii="Arial" w:cs="Arial" w:eastAsia="Arial" w:hAnsi="Arial"/>
          <w:sz w:val="20"/>
          <w:szCs w:val="20"/>
          <w:color w:val="auto"/>
        </w:rPr>
        <w:t>Defaulting Lenders which would constitute the Required Lenders under, and as defined in, this Agreement if all outstanding Obligations of the other Tranches under this Agreement were repaid in full and all Commitments with respect thereto were terminated.</w:t>
      </w:r>
    </w:p>
    <w:p>
      <w:pPr>
        <w:spacing w:after="0" w:line="19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means (a) a material adverse effect on the business, assets, liabilities (actual or contingent), financial condition or results of operations of the Borrower and its Restricted Subsidiaries, taken as a whole, (b) a material adverse effect on the ability of the Loan Parties (taken as a whole) to perform their respective obligations under the Loan Documents to which the Borrower or any of the Loan Parties is a party or (c) a material adverse effect on the rights and remedies of the Lenders under the Loan Documents.</w:t>
      </w:r>
    </w:p>
    <w:p>
      <w:pPr>
        <w:spacing w:after="0" w:line="16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Real Property</w:t>
      </w:r>
      <w:r>
        <w:rPr>
          <w:rFonts w:ascii="Arial" w:cs="Arial" w:eastAsia="Arial" w:hAnsi="Arial"/>
          <w:sz w:val="19"/>
          <w:szCs w:val="19"/>
          <w:color w:val="auto"/>
        </w:rPr>
        <w:t>” means any parcel of real property (other than a parcel with a Fair Market Value of less than $10,000,000) owned in fee by a Loan Party and located in the United States; provided, however, that one or more parcels owned in fee by a Loan Party and located adjacent to, contiguous with, or in close proximity to, any other parcels owned in fee by a Loan Party shall, in the reasonable discretion of the Administrative Agent, be deemed to be one parcel for the purposes of this definition.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2" w:name="page103"/>
    <w:bookmarkEnd w:id="102"/>
    <w:p>
      <w:pPr>
        <w:jc w:val="both"/>
        <w:ind w:firstLine="80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Maturity Date</w:t>
      </w:r>
      <w:r>
        <w:rPr>
          <w:rFonts w:ascii="Arial" w:cs="Arial" w:eastAsia="Arial" w:hAnsi="Arial"/>
          <w:sz w:val="20"/>
          <w:szCs w:val="20"/>
          <w:color w:val="auto"/>
        </w:rPr>
        <w:t xml:space="preserve">” means the earliest of (i) the seventh anniversary of the Closing Date, (ii) the date of termination in whole of the Initial Term Commitments pursuant to Section 2.06 prior to any Initial Term Borrowing and (iii) the date that the Initial Term Loans are declared due and payable pursuant to Section 8.02;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reference to Maturity Date with respect to (i) Term Loans that are the subject of Extension pursuant to Section 2.15 and (ii) Term Loans that are incurred pursuant to Section 2.16 or 2.19 shall, in each case, be the final maturity date as specified in the loan modification documentation, incremental documentation, or specified refinancing documentation, as applicable thereto.</w:t>
      </w:r>
    </w:p>
    <w:p>
      <w:pPr>
        <w:spacing w:after="0" w:line="19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Leverage Requirement</w:t>
      </w:r>
      <w:r>
        <w:rPr>
          <w:rFonts w:ascii="Arial" w:cs="Arial" w:eastAsia="Arial" w:hAnsi="Arial"/>
          <w:sz w:val="18"/>
          <w:szCs w:val="18"/>
          <w:color w:val="auto"/>
        </w:rPr>
        <w:t xml:space="preserve">” means, with respect to any request made in reliance on this definition under Article II or Section 7.03 for an increase in any Term Loan Tranche, for a New Term Facility or for the incurrence of Incremental Equivalent Debt, the requirement that, on a Pro Forma Basis, after giving effect to the incurrence of any such increase, such new Facility or such Incremental Equivalent Debt (and, in each case, after giving effect to any acquisition consummated concurrently therewith and all other appropriate pro forma adjustment events but without giving effect to the cash proceeds of such Indebtedness then being incurred), (a) for any such Indebtedness that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 the Consolidated First Lien Net Leverage Ratio for the most recently ended Test Period prior to such date of determination, in each case on a Pro Forma Basis, does not exceed either (i) 3.00:1.00 or (ii) if any such request is in relation to Indebtedness to be incurred in connection with an acquisition or similar Investment permitted by this Agreement, the Consolidated First Lien Net Leverage Ratio immediately prior to the incurrence of such Indebtedness; (b) for any such Indebtedness that is secured by the Collateral on a junior basis to the Term Loans, the Consolidated Senior Secured Net Leverage Ratio for the most recently ended Test Period prior to such date of determination, in each case on a Pro Forma Basis, does not exceed either (i) 3.50:1.00 or (ii) if any such request is in relation to Indebtedness to be incurred in connection with an acquisition or similar Investment permitted by this Agreement, the Consolidated Senior Secured Net Leverage Ratio immediately prior to the incurrence of such Indebtedness; and (c) for any such Indebtedness that is unsecured, either (x) the Consolidated Total Net Leverage Ratio for the most recently ended Test Period prior to such date of determination, in each case on a Pro Forma Basis, does not exceed either (i) 6.50:1.00 or (ii) if any such request is in relation to Indebtedness to be incurred in connection with an acquisition or similar Investment permitted by this Agreement, the Consolidated Total Net Leverage Ratio immediately prior to the incurrence of such Indebtedness or (y) the Fixed Charge Coverage Ratio for the most recently ended Test Period prior to such date of determination, in each case on a Pro Forma Basis, is not less than either (i) 2.00:1.00 or (ii) if any such request is in relation to Indebtedness to be incurred in connection with an acquisition or similar Investment permitted by this Agreement, the Fixed Charge Coverage Ratio immediately prior to the incurrence of such Indebtedness.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Minimum Extension Condition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Moody’s</w:t>
      </w:r>
      <w:r>
        <w:rPr>
          <w:rFonts w:ascii="Arial" w:cs="Arial" w:eastAsia="Arial" w:hAnsi="Arial"/>
          <w:sz w:val="20"/>
          <w:szCs w:val="20"/>
          <w:color w:val="auto"/>
        </w:rPr>
        <w:t>” means Moody’s Investors Service, Inc. and any successor to the rating agency business thereof.</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Mortgage</w:t>
      </w:r>
      <w:r>
        <w:rPr>
          <w:rFonts w:ascii="Arial" w:cs="Arial" w:eastAsia="Arial" w:hAnsi="Arial"/>
          <w:sz w:val="19"/>
          <w:szCs w:val="19"/>
          <w:color w:val="auto"/>
        </w:rPr>
        <w:t>” means, collectively, the deeds of trust, trust deeds and mortgages, in each case as may be amended from time to time, made by the Loan Parties in favor or for the benefit of the Collateral Agent on behalf of the Secured Parties (with such changes as may be customary to account for local law matters) in form and substance reasonably satisfactory to the Collateral Agent.</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Mortgaged Properties</w:t>
      </w:r>
      <w:r>
        <w:rPr>
          <w:rFonts w:ascii="Arial" w:cs="Arial" w:eastAsia="Arial" w:hAnsi="Arial"/>
          <w:sz w:val="20"/>
          <w:szCs w:val="20"/>
          <w:color w:val="auto"/>
        </w:rPr>
        <w:t xml:space="preserve">” means the Material Real Properties identified on </w:t>
      </w:r>
      <w:r>
        <w:rPr>
          <w:rFonts w:ascii="Arial" w:cs="Arial" w:eastAsia="Arial" w:hAnsi="Arial"/>
          <w:sz w:val="20"/>
          <w:szCs w:val="20"/>
          <w:u w:val="single" w:color="auto"/>
          <w:color w:val="auto"/>
        </w:rPr>
        <w:t>Schedule 5.08(b)</w:t>
      </w:r>
      <w:r>
        <w:rPr>
          <w:rFonts w:ascii="Arial" w:cs="Arial" w:eastAsia="Arial" w:hAnsi="Arial"/>
          <w:sz w:val="20"/>
          <w:szCs w:val="20"/>
          <w:color w:val="auto"/>
        </w:rPr>
        <w:t xml:space="preserve"> and any other Material Real Property with respect to which a Mortgage is required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3" w:name="page104"/>
    <w:bookmarkEnd w:id="103"/>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means any employee benefit plan defined in Section 4001(a)(3) of ERISA and subject to Title IV of ERISA, to which the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Net Cash Proceeds</w:t>
      </w:r>
      <w:r>
        <w:rPr>
          <w:rFonts w:ascii="Arial" w:cs="Arial" w:eastAsia="Arial" w:hAnsi="Arial"/>
          <w:sz w:val="20"/>
          <w:szCs w:val="20"/>
          <w:color w:val="auto"/>
        </w:rPr>
        <w:t>” means:</w:t>
      </w:r>
    </w:p>
    <w:p>
      <w:pPr>
        <w:spacing w:after="0" w:line="216" w:lineRule="exact"/>
        <w:rPr>
          <w:sz w:val="20"/>
          <w:szCs w:val="20"/>
          <w:color w:val="auto"/>
        </w:rPr>
      </w:pPr>
    </w:p>
    <w:p>
      <w:pPr>
        <w:jc w:val="both"/>
        <w:ind w:firstLine="1505"/>
        <w:spacing w:after="0" w:line="274" w:lineRule="auto"/>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with respect to the disposition of any asset by the Borrower or any of its Restricted Subsidiaries (other than any disposition of any Receivables Assets in a Qualified Receivables Factoring or Qualified Receivables Financing) or any Casualty Event, the excess, if any, of (i) the sum of cash and Cash Equivalents received in connection with such disposition or Casualty Event (including any cash or Cash Equivalents received by way of deferred payment pursuant to, or by monetization of, a note receivable or otherwise, but only as and when so received and, with respect to any Casualty Event, any insurance proceeds or condemnation awards in respect of such Casualty Event received by or paid to or for the account of the Borrower or any of its Restricted Subsidiaries and including any proceeds received as a result of unwinding any related Swap Contract in connection with any related transaction) over (ii) the sum of:</w:t>
      </w:r>
    </w:p>
    <w:p>
      <w:pPr>
        <w:spacing w:after="0" w:line="168" w:lineRule="exact"/>
        <w:rPr>
          <w:rFonts w:ascii="Arial" w:cs="Arial" w:eastAsia="Arial" w:hAnsi="Arial"/>
          <w:sz w:val="18"/>
          <w:szCs w:val="18"/>
          <w:color w:val="auto"/>
        </w:rPr>
      </w:pPr>
    </w:p>
    <w:p>
      <w:pPr>
        <w:jc w:val="both"/>
        <w:ind w:left="760" w:firstLine="1494"/>
        <w:spacing w:after="0" w:line="328" w:lineRule="auto"/>
        <w:tabs>
          <w:tab w:leader="none" w:pos="2746" w:val="left"/>
        </w:tabs>
        <w:numPr>
          <w:ilvl w:val="2"/>
          <w:numId w:val="75"/>
        </w:numPr>
        <w:rPr>
          <w:rFonts w:ascii="Arial" w:cs="Arial" w:eastAsia="Arial" w:hAnsi="Arial"/>
          <w:sz w:val="16"/>
          <w:szCs w:val="16"/>
          <w:color w:val="auto"/>
        </w:rPr>
      </w:pPr>
      <w:r>
        <w:rPr>
          <w:rFonts w:ascii="Arial" w:cs="Arial" w:eastAsia="Arial" w:hAnsi="Arial"/>
          <w:sz w:val="16"/>
          <w:szCs w:val="16"/>
          <w:color w:val="auto"/>
        </w:rPr>
        <w:t>the principal amount of any Indebtedness that is secured by a Lien on the asset subject to such disposition or Casualty Event and that is repaid in connection with such disposition or Casualty Event (other than (x) Indebtedness under the Loan Documents and (y), if such asset constitutes Collateral, any Indebtedness secured by such asset with a Lien ranking pari passu with or junior to the Lien securing the Obligations, together with any applicable premiums, penalties, interest or breakage costs),</w:t>
      </w:r>
    </w:p>
    <w:p>
      <w:pPr>
        <w:spacing w:after="0" w:line="128" w:lineRule="exact"/>
        <w:rPr>
          <w:rFonts w:ascii="Arial" w:cs="Arial" w:eastAsia="Arial" w:hAnsi="Arial"/>
          <w:sz w:val="16"/>
          <w:szCs w:val="16"/>
          <w:color w:val="auto"/>
        </w:rPr>
      </w:pPr>
    </w:p>
    <w:p>
      <w:pPr>
        <w:jc w:val="both"/>
        <w:ind w:left="760" w:firstLine="1494"/>
        <w:spacing w:after="0" w:line="282" w:lineRule="auto"/>
        <w:tabs>
          <w:tab w:leader="none" w:pos="2747"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fees and out-of-pocket expenses incurred by the Borrower or such Restricted Subsidiary in connection with such disposition or Casualty Event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spacing w:after="0" w:line="161" w:lineRule="exact"/>
        <w:rPr>
          <w:rFonts w:ascii="Arial" w:cs="Arial" w:eastAsia="Arial" w:hAnsi="Arial"/>
          <w:sz w:val="18"/>
          <w:szCs w:val="18"/>
          <w:color w:val="auto"/>
        </w:rPr>
      </w:pPr>
    </w:p>
    <w:p>
      <w:pPr>
        <w:jc w:val="both"/>
        <w:ind w:left="760" w:firstLine="1494"/>
        <w:spacing w:after="0" w:line="250" w:lineRule="auto"/>
        <w:tabs>
          <w:tab w:leader="none" w:pos="2618" w:val="left"/>
        </w:tabs>
        <w:numPr>
          <w:ilvl w:val="2"/>
          <w:numId w:val="75"/>
        </w:numPr>
        <w:rPr>
          <w:rFonts w:ascii="Arial" w:cs="Arial" w:eastAsia="Arial" w:hAnsi="Arial"/>
          <w:sz w:val="20"/>
          <w:szCs w:val="20"/>
          <w:color w:val="auto"/>
        </w:rPr>
      </w:pPr>
      <w:r>
        <w:rPr>
          <w:rFonts w:ascii="Arial" w:cs="Arial" w:eastAsia="Arial" w:hAnsi="Arial"/>
          <w:sz w:val="20"/>
          <w:szCs w:val="20"/>
          <w:color w:val="auto"/>
        </w:rPr>
        <w:t>all taxes paid or reasonably estimated to be payable in connection with such disposition or Casualty Event (or any tax distribution made as a result of or in connection with such disposition or Casualty Event) and any repatriation costs associated with receipt or distribution by the applicable taxpayer of such proceeds,</w:t>
      </w:r>
    </w:p>
    <w:p>
      <w:pPr>
        <w:spacing w:after="0" w:line="185" w:lineRule="exact"/>
        <w:rPr>
          <w:rFonts w:ascii="Arial" w:cs="Arial" w:eastAsia="Arial" w:hAnsi="Arial"/>
          <w:sz w:val="20"/>
          <w:szCs w:val="20"/>
          <w:color w:val="auto"/>
        </w:rPr>
      </w:pPr>
    </w:p>
    <w:p>
      <w:pPr>
        <w:ind w:left="2580" w:hanging="326"/>
        <w:spacing w:after="0"/>
        <w:tabs>
          <w:tab w:leader="none" w:pos="2580" w:val="left"/>
        </w:tabs>
        <w:numPr>
          <w:ilvl w:val="2"/>
          <w:numId w:val="75"/>
        </w:numPr>
        <w:rPr>
          <w:rFonts w:ascii="Arial" w:cs="Arial" w:eastAsia="Arial" w:hAnsi="Arial"/>
          <w:sz w:val="19"/>
          <w:szCs w:val="19"/>
          <w:color w:val="auto"/>
        </w:rPr>
      </w:pPr>
      <w:r>
        <w:rPr>
          <w:rFonts w:ascii="Arial" w:cs="Arial" w:eastAsia="Arial" w:hAnsi="Arial"/>
          <w:sz w:val="19"/>
          <w:szCs w:val="19"/>
          <w:color w:val="auto"/>
        </w:rPr>
        <w:t>any costs associated with unwinding any related Swap Contract in connection with such transaction,</w:t>
      </w:r>
    </w:p>
    <w:p>
      <w:pPr>
        <w:spacing w:after="0" w:line="227" w:lineRule="exact"/>
        <w:rPr>
          <w:rFonts w:ascii="Arial" w:cs="Arial" w:eastAsia="Arial" w:hAnsi="Arial"/>
          <w:sz w:val="19"/>
          <w:szCs w:val="19"/>
          <w:color w:val="auto"/>
        </w:rPr>
      </w:pPr>
    </w:p>
    <w:p>
      <w:pPr>
        <w:jc w:val="both"/>
        <w:ind w:left="760" w:firstLine="1494"/>
        <w:spacing w:after="0" w:line="232" w:lineRule="exact"/>
        <w:tabs>
          <w:tab w:leader="none" w:pos="2775"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reserve for adjustment in respect of (x) the sale price of the property that is the subject of such disposition established in accordance with GAAP and (y) any liabilities associated with such property and retained by the Borrower or any of its Restricted Subsidiaries after such disposition, including pension and other post-employment benefit liabilities and liabilities related to environmental matters or against any indemnification obligations associated with such transaction, and it being understood that “Net Cash Proceeds” shall include, without limitation, any cash or Cash Equivalents (i) received upon the disposition of any non</w:t>
      </w:r>
      <w:r>
        <w:rPr>
          <w:rFonts w:ascii="MS PGothic" w:cs="MS PGothic" w:eastAsia="MS PGothic" w:hAnsi="MS PGothic"/>
          <w:sz w:val="18"/>
          <w:szCs w:val="18"/>
          <w:color w:val="auto"/>
        </w:rPr>
        <w:t>‑</w:t>
      </w:r>
      <w:r>
        <w:rPr>
          <w:rFonts w:ascii="Arial" w:cs="Arial" w:eastAsia="Arial" w:hAnsi="Arial"/>
          <w:sz w:val="18"/>
          <w:szCs w:val="18"/>
          <w:color w:val="auto"/>
        </w:rPr>
        <w:t>cash consideration received by the Borrower or any of its Restricted Subsidiaries in any such disposition and</w:t>
      </w:r>
    </w:p>
    <w:p>
      <w:pPr>
        <w:spacing w:after="0" w:line="1" w:lineRule="exact"/>
        <w:rPr>
          <w:rFonts w:ascii="Arial" w:cs="Arial" w:eastAsia="Arial" w:hAnsi="Arial"/>
          <w:sz w:val="18"/>
          <w:szCs w:val="18"/>
          <w:color w:val="auto"/>
        </w:rPr>
      </w:pPr>
    </w:p>
    <w:p>
      <w:pPr>
        <w:ind w:left="760" w:hanging="3"/>
        <w:spacing w:after="0" w:line="244" w:lineRule="auto"/>
        <w:tabs>
          <w:tab w:leader="none" w:pos="1086" w:val="left"/>
        </w:tabs>
        <w:numPr>
          <w:ilvl w:val="0"/>
          <w:numId w:val="76"/>
        </w:numPr>
        <w:rPr>
          <w:rFonts w:ascii="Arial" w:cs="Arial" w:eastAsia="Arial" w:hAnsi="Arial"/>
          <w:sz w:val="20"/>
          <w:szCs w:val="20"/>
          <w:color w:val="auto"/>
        </w:rPr>
      </w:pPr>
      <w:r>
        <w:rPr>
          <w:rFonts w:ascii="Arial" w:cs="Arial" w:eastAsia="Arial" w:hAnsi="Arial"/>
          <w:sz w:val="20"/>
          <w:szCs w:val="20"/>
          <w:color w:val="auto"/>
        </w:rPr>
        <w:t>upon the reversal (without the satisfaction of any applicable liabilities in cash in a corresponding amount) of any reserve described in this clause (v),</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4" w:name="page105"/>
    <w:bookmarkEnd w:id="104"/>
    <w:p>
      <w:pPr>
        <w:jc w:val="both"/>
        <w:ind w:left="760" w:firstLine="1494"/>
        <w:spacing w:after="0" w:line="234" w:lineRule="exact"/>
        <w:tabs>
          <w:tab w:leader="none" w:pos="2611" w:val="left"/>
        </w:tabs>
        <w:numPr>
          <w:ilvl w:val="1"/>
          <w:numId w:val="77"/>
        </w:numPr>
        <w:rPr>
          <w:rFonts w:ascii="Arial" w:cs="Arial" w:eastAsia="Arial" w:hAnsi="Arial"/>
          <w:sz w:val="20"/>
          <w:szCs w:val="20"/>
          <w:color w:val="auto"/>
        </w:rPr>
      </w:pPr>
      <w:r>
        <w:rPr>
          <w:rFonts w:ascii="Arial" w:cs="Arial" w:eastAsia="Arial" w:hAnsi="Arial"/>
          <w:sz w:val="20"/>
          <w:szCs w:val="20"/>
          <w:color w:val="auto"/>
        </w:rPr>
        <w:t>in the case of any disposition or Casualty Event by a Restricted Subsidiary that is a joint venture or other non</w:t>
      </w:r>
      <w:r>
        <w:rPr>
          <w:rFonts w:ascii="MS PGothic" w:cs="MS PGothic" w:eastAsia="MS PGothic" w:hAnsi="MS PGothic"/>
          <w:sz w:val="20"/>
          <w:szCs w:val="20"/>
          <w:color w:val="auto"/>
        </w:rPr>
        <w:t>‑</w:t>
      </w:r>
      <w:r>
        <w:rPr>
          <w:rFonts w:ascii="Arial" w:cs="Arial" w:eastAsia="Arial" w:hAnsi="Arial"/>
          <w:sz w:val="20"/>
          <w:szCs w:val="20"/>
          <w:color w:val="auto"/>
        </w:rPr>
        <w:t>Wholly Owned Restricted Subsidiary, the pro rata portion of the Net Cash Proceeds thereof (calculated without regard to this clause (vi)) attributable to the minority interests and not available for distribution to or for the account of Holdings, the Borrower or a Wholly Owned Restricted Subsidiary as a result thereof,</w:t>
      </w:r>
    </w:p>
    <w:p>
      <w:pPr>
        <w:spacing w:after="0" w:line="198" w:lineRule="exact"/>
        <w:rPr>
          <w:rFonts w:ascii="Arial" w:cs="Arial" w:eastAsia="Arial" w:hAnsi="Arial"/>
          <w:sz w:val="20"/>
          <w:szCs w:val="20"/>
          <w:color w:val="auto"/>
        </w:rPr>
      </w:pPr>
    </w:p>
    <w:p>
      <w:pPr>
        <w:ind w:left="760" w:firstLine="1494"/>
        <w:spacing w:after="0" w:line="260" w:lineRule="auto"/>
        <w:tabs>
          <w:tab w:leader="none" w:pos="2661"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amounts used to repay or return any customer deposits required to be repaid or returned as a result of any disposition or Casualty Event, and</w:t>
      </w:r>
    </w:p>
    <w:p>
      <w:pPr>
        <w:spacing w:after="0" w:line="176" w:lineRule="exact"/>
        <w:rPr>
          <w:rFonts w:ascii="Arial" w:cs="Arial" w:eastAsia="Arial" w:hAnsi="Arial"/>
          <w:sz w:val="20"/>
          <w:szCs w:val="20"/>
          <w:color w:val="auto"/>
        </w:rPr>
      </w:pPr>
    </w:p>
    <w:p>
      <w:pPr>
        <w:jc w:val="both"/>
        <w:ind w:firstLine="1505"/>
        <w:spacing w:after="0" w:line="274" w:lineRule="auto"/>
        <w:tabs>
          <w:tab w:leader="none" w:pos="19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the incurrence or issuance of any Indebtedness by the Borrower or any of its Restricted Subsidiaries, the excess, if any, of (i) the sum of the cash received in connection with such incurrence or issuance and in connection with unwinding any related Swap Contract in connection therewith over (ii) the investment banking fees, underwriting discounts and commissions, premiums, expenses, accrued interest and fees related thereto, taxes reasonably estimated to be payable and other out-of-pocket expenses and other customary expenses, incurred by the Borrower or such Restricted Subsidiary in connection with such incurrence or issuance and any costs associated with unwinding any related Swap Contract in connection therewith and, in the case of Indebtedness of any Foreign Subsidiary, deductions in respect of withholding taxes that are or would otherwise be payable in cash if such funds were repatriated to the United States.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New Term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New Term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New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New Loan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Non-ABL Collateral</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7.05(a)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Non-Consenting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3.07(d)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Non-Debt Fund Affiliate</w:t>
      </w:r>
      <w:r>
        <w:rPr>
          <w:rFonts w:ascii="Arial" w:cs="Arial" w:eastAsia="Arial" w:hAnsi="Arial"/>
          <w:sz w:val="18"/>
          <w:szCs w:val="18"/>
          <w:color w:val="auto"/>
        </w:rPr>
        <w:t>” means an Affiliate of the Borrower that is not a Debt Fund Affiliate or a Purchasing Borrower Party.</w:t>
      </w:r>
    </w:p>
    <w:p>
      <w:pPr>
        <w:spacing w:after="0" w:line="239"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Non-Excluded Taxes</w:t>
      </w:r>
      <w:r>
        <w:rPr>
          <w:rFonts w:ascii="Arial" w:cs="Arial" w:eastAsia="Arial" w:hAnsi="Arial"/>
          <w:sz w:val="20"/>
          <w:szCs w:val="20"/>
          <w:color w:val="auto"/>
        </w:rPr>
        <w:t>” means all Taxes, other than Excluded Taxes, imposed on or with respect to any payment made by or on account of any obligation of any Loan Party under any Loan Document.</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Non-US Lender</w:t>
      </w:r>
      <w:r>
        <w:rPr>
          <w:rFonts w:ascii="Arial" w:cs="Arial" w:eastAsia="Arial" w:hAnsi="Arial"/>
          <w:sz w:val="20"/>
          <w:szCs w:val="20"/>
          <w:color w:val="auto"/>
        </w:rPr>
        <w:t>” means, with respect to any Loan made to the Borrower, any Lender that is not a “United States person” within the meaning of Section 7701(a)(30) of the Code.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Note</w:t>
      </w:r>
      <w:r>
        <w:rPr>
          <w:rFonts w:ascii="Arial" w:cs="Arial" w:eastAsia="Arial" w:hAnsi="Arial"/>
          <w:sz w:val="20"/>
          <w:szCs w:val="20"/>
          <w:color w:val="auto"/>
        </w:rPr>
        <w:t>” means a Term Note or a note evidencing other Loans.</w:t>
      </w:r>
    </w:p>
    <w:p>
      <w:pPr>
        <w:spacing w:after="0" w:line="21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Notes Collateral Agent</w:t>
      </w:r>
      <w:r>
        <w:rPr>
          <w:rFonts w:ascii="Arial" w:cs="Arial" w:eastAsia="Arial" w:hAnsi="Arial"/>
          <w:sz w:val="20"/>
          <w:szCs w:val="20"/>
          <w:color w:val="auto"/>
        </w:rPr>
        <w:t>” means Wilmington Trust, National Association, as collateral agent under the Closing Date Senior Secured Notes Indenture and its successors and permitted assigns thereunder.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NPL</w:t>
      </w:r>
      <w:r>
        <w:rPr>
          <w:rFonts w:ascii="Arial" w:cs="Arial" w:eastAsia="Arial" w:hAnsi="Arial"/>
          <w:sz w:val="20"/>
          <w:szCs w:val="20"/>
          <w:color w:val="auto"/>
        </w:rPr>
        <w:t>” means the National Priorities List under CERCLA.</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NYFRB</w:t>
      </w:r>
      <w:r>
        <w:rPr>
          <w:rFonts w:ascii="Arial" w:cs="Arial" w:eastAsia="Arial" w:hAnsi="Arial"/>
          <w:sz w:val="20"/>
          <w:szCs w:val="20"/>
          <w:color w:val="auto"/>
        </w:rPr>
        <w:t>” means the Federal Reserve Bank of New York.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5" w:name="page106"/>
    <w:bookmarkEnd w:id="105"/>
    <w:p>
      <w:pPr>
        <w:jc w:val="both"/>
        <w:ind w:firstLine="14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NYFRB Rate</w:t>
      </w:r>
      <w:r>
        <w:rPr>
          <w:rFonts w:ascii="Arial" w:cs="Arial" w:eastAsia="Arial" w:hAnsi="Arial"/>
          <w:sz w:val="20"/>
          <w:szCs w:val="20"/>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if any of the aforesaid rates as so determined be less than zero, such rate shall be deemed to be zero for purposes of this Agreement.</w:t>
      </w:r>
    </w:p>
    <w:p>
      <w:pPr>
        <w:spacing w:after="0" w:line="16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xml:space="preserve">” means (i) all advances to, and debts, liabilities, obligations, covenants and duties of, any Loan Party arising under or out of any Loan Document, in each case whether direct or indirect (including those acquired by assumption), absolute or contingent, due or to become due, existing on the Closing Date or thereafter arising and including interest, fees and other amounts that accrue after the commencement by or against any Loan Party of any proceeding under any Debtor Relief Laws naming such Person as the debtor in such proceeding, regardless of whether such interest, fees and other amounts are allowed claims in such proceeding and (ii) debts, liabilities, obligations, covenants and duties of, any Loan Party or Restricted Subsidiary owing under a Secured Cash Management Agreement or Secured Hedge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obligations of any Loan Party or Restricted Subsidiary under any Secured Cash Management Agreement or Secured Hedge Agreement shall be secured and guaranteed pursuant to the Collateral Documents only to the extent that, and for so long as, the other Obligations are so secured and guaranteed, (b) any release of Collateral or Guarantors effected in the manner permitted by this Agreement shall not require the consent of holders of obligations under Secured Hedge Agreements or Secured Cash Management Agreements and (c) the Obligations with respect to any Guarantor shall not include Excluded Swap Obligations of such Guarantor. Without limiting the generality of the foregoing, the Obligations of the Loan Parties under the Loan Documents include (a) the obligation to pay principal, interest, charges, expenses, fees, indemnities and other amounts payable by any Loan Party under any Loan Document and (b) the obligation of any Loan Party to reimburse any amount in respect of any of the foregoing that the Administrative Agent, Collateral Agent or any Lender, in its sole discretion, may elect to pay or advance on behalf of such Loan Party.</w:t>
      </w:r>
    </w:p>
    <w:p>
      <w:pPr>
        <w:spacing w:after="0" w:line="17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means the Chairman of the Board, Chief Executive Officer, Chief Financial Officer, President, any Executive Vice President, Senior Vice President or Vice President, the Treasurer or the Secretary of the Borrower.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Officer’s Certificate</w:t>
      </w:r>
      <w:r>
        <w:rPr>
          <w:rFonts w:ascii="Arial" w:cs="Arial" w:eastAsia="Arial" w:hAnsi="Arial"/>
          <w:sz w:val="20"/>
          <w:szCs w:val="20"/>
          <w:color w:val="auto"/>
        </w:rPr>
        <w:t>” means a certificate signed on behalf of the Borrower by an Officer of the Borrower.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OID</w:t>
      </w:r>
      <w:r>
        <w:rPr>
          <w:rFonts w:ascii="Arial" w:cs="Arial" w:eastAsia="Arial" w:hAnsi="Arial"/>
          <w:sz w:val="20"/>
          <w:szCs w:val="20"/>
          <w:color w:val="auto"/>
        </w:rPr>
        <w:t>” means original issue discount.</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Taxes</w:t>
      </w:r>
      <w:r>
        <w:rPr>
          <w:rFonts w:ascii="Arial" w:cs="Arial" w:eastAsia="Arial" w:hAnsi="Arial"/>
          <w:sz w:val="20"/>
          <w:szCs w:val="20"/>
          <w:color w:val="auto"/>
        </w:rPr>
        <w:t>” means all present or future stamp, court, documentary, recording, excise, property or similar Taxes arising from any payment made under any Loan Document or from the execution, delivery, performance, registration or enforcement of, from the receipt or perfection of a security interest under,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6" w:name="page107"/>
    <w:bookmarkEnd w:id="106"/>
    <w:p>
      <w:pPr>
        <w:jc w:val="both"/>
        <w:spacing w:after="0" w:line="259" w:lineRule="auto"/>
        <w:rPr>
          <w:sz w:val="20"/>
          <w:szCs w:val="20"/>
          <w:color w:val="auto"/>
        </w:rPr>
      </w:pPr>
      <w:r>
        <w:rPr>
          <w:rFonts w:ascii="Arial" w:cs="Arial" w:eastAsia="Arial" w:hAnsi="Arial"/>
          <w:sz w:val="19"/>
          <w:szCs w:val="19"/>
          <w:color w:val="auto"/>
        </w:rPr>
        <w:t>otherwise with respect to, any Loan Document, other than any Taxes that (1) arise as a result of any present or former connection between a recipient and the relevant jurisdiction (including as a result of such recipient carrying on a trade or business, having a permanent establishment or being a resident for tax purposes in such jurisdiction, other than a connection arising solely from such recipient having executed, delivered, enforced, become a party to, performed its obligations under, received payments under, received or perfected a security interest under, engaged in any other transaction pursuant to, or enforced, any Loan Documents), and (2) are imposed with respect to an assignment (other than an assignment made pursuant to Section 3.07).</w:t>
      </w:r>
    </w:p>
    <w:p>
      <w:pPr>
        <w:spacing w:after="0" w:line="17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Outstanding Amount</w:t>
      </w:r>
      <w:r>
        <w:rPr>
          <w:rFonts w:ascii="Arial" w:cs="Arial" w:eastAsia="Arial" w:hAnsi="Arial"/>
          <w:sz w:val="19"/>
          <w:szCs w:val="19"/>
          <w:color w:val="auto"/>
        </w:rPr>
        <w:t>” means with respect to the Loans on any date, the aggregate outstanding principal amount thereof after giving effect to any borrowings and prepayments or repayments of the Loans, as the case may be, occurring on such date.</w:t>
      </w:r>
    </w:p>
    <w:p>
      <w:pPr>
        <w:spacing w:after="0" w:line="152" w:lineRule="exact"/>
        <w:rPr>
          <w:sz w:val="20"/>
          <w:szCs w:val="20"/>
          <w:color w:val="auto"/>
        </w:rPr>
      </w:pPr>
    </w:p>
    <w:p>
      <w:pPr>
        <w:jc w:val="both"/>
        <w:ind w:right="740" w:firstLine="14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Overnight Bank Funding Rate</w:t>
      </w:r>
      <w:r>
        <w:rPr>
          <w:rFonts w:ascii="Arial" w:cs="Arial" w:eastAsia="Arial" w:hAnsi="Arial"/>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Pari Passu Indebtedness</w:t>
      </w:r>
      <w:r>
        <w:rPr>
          <w:rFonts w:ascii="Arial" w:cs="Arial" w:eastAsia="Arial" w:hAnsi="Arial"/>
          <w:sz w:val="20"/>
          <w:szCs w:val="20"/>
          <w:color w:val="auto"/>
        </w:rPr>
        <w:t>” means:</w:t>
      </w:r>
    </w:p>
    <w:p>
      <w:pPr>
        <w:spacing w:after="0" w:line="216" w:lineRule="exact"/>
        <w:rPr>
          <w:sz w:val="20"/>
          <w:szCs w:val="20"/>
          <w:color w:val="auto"/>
        </w:rPr>
      </w:pPr>
    </w:p>
    <w:p>
      <w:pPr>
        <w:ind w:left="1980" w:hanging="475"/>
        <w:spacing w:after="0"/>
        <w:tabs>
          <w:tab w:leader="none" w:pos="19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with respect to the Borrower, any Indebtedness that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to the Loans; and</w:t>
      </w:r>
    </w:p>
    <w:p>
      <w:pPr>
        <w:spacing w:after="0" w:line="227" w:lineRule="exact"/>
        <w:rPr>
          <w:rFonts w:ascii="Arial" w:cs="Arial" w:eastAsia="Arial" w:hAnsi="Arial"/>
          <w:sz w:val="19"/>
          <w:szCs w:val="19"/>
          <w:color w:val="auto"/>
        </w:rPr>
      </w:pPr>
    </w:p>
    <w:p>
      <w:pPr>
        <w:ind w:firstLine="1505"/>
        <w:spacing w:after="0" w:line="260" w:lineRule="auto"/>
        <w:tabs>
          <w:tab w:leader="none" w:pos="19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with respect to any Guarantor, its guarantee of the Obligations and any Indebtedness that ranks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payment to such Guarantor’s guarantee of the Obligations.</w:t>
      </w:r>
    </w:p>
    <w:p>
      <w:pPr>
        <w:spacing w:after="0" w:line="17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 Intercreditor Agreement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dated as of the Closing Date, substantially in the form attached as </w:t>
      </w:r>
      <w:r>
        <w:rPr>
          <w:rFonts w:ascii="Arial" w:cs="Arial" w:eastAsia="Arial" w:hAnsi="Arial"/>
          <w:sz w:val="18"/>
          <w:szCs w:val="18"/>
          <w:u w:val="single" w:color="auto"/>
          <w:color w:val="auto"/>
        </w:rPr>
        <w:t>Exhibit H-2</w:t>
      </w:r>
      <w:r>
        <w:rPr>
          <w:rFonts w:ascii="Arial" w:cs="Arial" w:eastAsia="Arial" w:hAnsi="Arial"/>
          <w:sz w:val="18"/>
          <w:szCs w:val="18"/>
          <w:color w:val="auto"/>
        </w:rPr>
        <w:t xml:space="preserve"> hereto, among the Collateral Agent, the Notes Collateral Agent, and acknowledged by the Borrower and each Guarantor, as it may be amended, supplemented, modified, replaced or restated from time to time in accordance with this Agreement.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10.07(m)</w:t>
      </w:r>
      <w:r>
        <w:rPr>
          <w:rFonts w:ascii="Arial" w:cs="Arial" w:eastAsia="Arial" w:hAnsi="Arial"/>
          <w:sz w:val="20"/>
          <w:szCs w:val="20"/>
          <w:color w:val="auto"/>
        </w:rPr>
        <w:t>.</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PATRIOT 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10.22</w:t>
      </w:r>
      <w:r>
        <w:rPr>
          <w:rFonts w:ascii="Arial" w:cs="Arial" w:eastAsia="Arial" w:hAnsi="Arial"/>
          <w:sz w:val="20"/>
          <w:szCs w:val="20"/>
          <w:color w:val="auto"/>
        </w:rPr>
        <w: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 Block</w:t>
      </w:r>
      <w:r>
        <w:rPr>
          <w:rFonts w:ascii="Arial" w:cs="Arial" w:eastAsia="Arial" w:hAnsi="Arial"/>
          <w:sz w:val="20"/>
          <w:szCs w:val="20"/>
          <w:color w:val="auto"/>
        </w:rPr>
        <w:t>” means any of the circumstances described in Section 2.05(b)(vi) and (vii).</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jc w:val="both"/>
        <w:ind w:firstLine="82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Pension Plan</w:t>
      </w:r>
      <w:r>
        <w:rPr>
          <w:rFonts w:ascii="Arial" w:cs="Arial" w:eastAsia="Arial" w:hAnsi="Arial"/>
          <w:sz w:val="20"/>
          <w:szCs w:val="20"/>
          <w:color w:val="auto"/>
        </w:rPr>
        <w:t xml:space="preserve"> ” means any “employee pension benefit plan” (as such term is defined in Section 3(2) of ERISA), other than a Multiemployer Plan, that is subject to Title IV of ERISA and is sponsored or maintained by the Borrower, any Subsidiary or any ERISA Affiliate or to which the Borrower, any Subsidiary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7" w:name="page108"/>
    <w:bookmarkEnd w:id="107"/>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Perfection Certificate</w:t>
      </w:r>
      <w:r>
        <w:rPr>
          <w:rFonts w:ascii="Arial" w:cs="Arial" w:eastAsia="Arial" w:hAnsi="Arial"/>
          <w:sz w:val="19"/>
          <w:szCs w:val="19"/>
          <w:color w:val="auto"/>
        </w:rPr>
        <w:t>” means that certain perfection certificate, delivered pursuant to Section 4.01(a)(v) as the same may be amended, amended and restated, supplemented or otherwise modified from time to time in accordance with this Agreement.</w:t>
      </w:r>
    </w:p>
    <w:p>
      <w:pPr>
        <w:spacing w:after="0" w:line="1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Perfection Exceptions</w:t>
      </w:r>
      <w:r>
        <w:rPr>
          <w:rFonts w:ascii="Arial" w:cs="Arial" w:eastAsia="Arial" w:hAnsi="Arial"/>
          <w:sz w:val="19"/>
          <w:szCs w:val="19"/>
          <w:color w:val="auto"/>
        </w:rPr>
        <w:t>” means that no Loan Party shall be required to (i) enter into control agreements with respect to, or otherwise perfect any security interest by “control” (or similar arrangements) over commodities accounts, securities accounts or deposit accounts, (ii) perfect the security interest in the following other than by the filing of a UCC financing statement or analogous filing: (1) letter-of-credit rights (as defined in the UCC) or (2) commercial tort claims (as defined in the UCC), (iii) send notices to account debtors or other contractual third-parties unless an Event of Default has not been cured or waived and is continuing, (iv) enter into any security documents to be governed by the law of any jurisdiction in which assets are located other than the United States, any state thereof or the District of Columbia, or (v) deliver landlord waivers, estoppels or collateral access letters.</w:t>
      </w:r>
    </w:p>
    <w:p>
      <w:pPr>
        <w:spacing w:after="0" w:line="18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Asset Swap</w:t>
      </w:r>
      <w:r>
        <w:rPr>
          <w:rFonts w:ascii="Arial" w:cs="Arial" w:eastAsia="Arial" w:hAnsi="Arial"/>
          <w:sz w:val="18"/>
          <w:szCs w:val="18"/>
          <w:color w:val="auto"/>
        </w:rPr>
        <w:t xml:space="preserve">” means the concurrent purchase and sale or exchange of Related Business Assets or a combination of Related Business Assets and cash or Cash Equivalents between the Borrower or any of its Restricted Subsidiaries and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or Cash Equivalents received must be applied in accordance with </w:t>
      </w:r>
      <w:r>
        <w:rPr>
          <w:rFonts w:ascii="Arial" w:cs="Arial" w:eastAsia="Arial" w:hAnsi="Arial"/>
          <w:sz w:val="18"/>
          <w:szCs w:val="18"/>
          <w:u w:val="single" w:color="auto"/>
          <w:color w:val="auto"/>
        </w:rPr>
        <w:t>Sections 7.05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2.05(b)(ii)</w:t>
      </w:r>
      <w:r>
        <w:rPr>
          <w:rFonts w:ascii="Arial" w:cs="Arial" w:eastAsia="Arial" w:hAnsi="Arial"/>
          <w:sz w:val="18"/>
          <w:szCs w:val="18"/>
          <w:color w:val="auto"/>
        </w:rPr>
        <w: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means each of (a) managers and members of management of Holdings (or any Permitted Parent (other than clause (c) of the definition thereof)) or its Subsidiaries that have ownership interests in Holdings (or such Permitted Parent (other than clause</w:t>
      </w:r>
    </w:p>
    <w:p>
      <w:pPr>
        <w:spacing w:after="0" w:line="1" w:lineRule="exact"/>
        <w:rPr>
          <w:sz w:val="20"/>
          <w:szCs w:val="20"/>
          <w:color w:val="auto"/>
        </w:rPr>
      </w:pPr>
    </w:p>
    <w:p>
      <w:pPr>
        <w:jc w:val="both"/>
        <w:ind w:firstLine="8"/>
        <w:spacing w:after="0" w:line="255" w:lineRule="auto"/>
        <w:tabs>
          <w:tab w:leader="none" w:pos="3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of the definition thereof)), (b) any group (within the meaning of Rule 13d-5 under the Exchange Act) of which any of the Persons described in clause (a) above are members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without giving effect to the existence of such group or any other group, any of the Persons described in clause (a), collectively, beneficially own Voting Stock representing 35.0% or more of the total voting power of the Voting Stock of Holdings (or any Permitted Parent (other than clause (c) of the definition thereof)) then held by such group) and (c) any Permitted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(a) and (b), the managers and members of management of Holdings do not represent, neither collectively or individually, more than 10% of the beneficial ownership of Voting Stock of Holdings.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Investments</w:t>
      </w:r>
      <w:r>
        <w:rPr>
          <w:rFonts w:ascii="Arial" w:cs="Arial" w:eastAsia="Arial" w:hAnsi="Arial"/>
          <w:sz w:val="20"/>
          <w:szCs w:val="20"/>
          <w:color w:val="auto"/>
        </w:rPr>
        <w:t>” means:</w:t>
      </w:r>
    </w:p>
    <w:p>
      <w:pPr>
        <w:spacing w:after="0" w:line="216" w:lineRule="exact"/>
        <w:rPr>
          <w:sz w:val="20"/>
          <w:szCs w:val="20"/>
          <w:color w:val="auto"/>
        </w:rPr>
      </w:pPr>
    </w:p>
    <w:p>
      <w:pPr>
        <w:ind w:left="380" w:firstLine="2"/>
        <w:spacing w:after="0" w:line="260" w:lineRule="auto"/>
        <w:tabs>
          <w:tab w:leader="none" w:pos="81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Investment in cash and Cash Equivalents or Investment Grade Securities and Investments that were Cash Equivalents or Investment Grade Securities when made;</w:t>
      </w:r>
    </w:p>
    <w:p>
      <w:pPr>
        <w:spacing w:after="0" w:line="68" w:lineRule="exact"/>
        <w:rPr>
          <w:rFonts w:ascii="Arial" w:cs="Arial" w:eastAsia="Arial" w:hAnsi="Arial"/>
          <w:sz w:val="20"/>
          <w:szCs w:val="20"/>
          <w:color w:val="auto"/>
        </w:rPr>
      </w:pPr>
    </w:p>
    <w:p>
      <w:pPr>
        <w:ind w:left="780" w:hanging="398"/>
        <w:spacing w:after="0"/>
        <w:tabs>
          <w:tab w:leader="none" w:pos="7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Investment in the Borrower or any Restricted Subsidiary;</w:t>
      </w:r>
    </w:p>
    <w:p>
      <w:pPr>
        <w:spacing w:after="0" w:line="107" w:lineRule="exact"/>
        <w:rPr>
          <w:rFonts w:ascii="Arial" w:cs="Arial" w:eastAsia="Arial" w:hAnsi="Arial"/>
          <w:sz w:val="20"/>
          <w:szCs w:val="20"/>
          <w:color w:val="auto"/>
        </w:rPr>
      </w:pPr>
    </w:p>
    <w:p>
      <w:pPr>
        <w:ind w:left="780" w:hanging="398"/>
        <w:spacing w:after="0"/>
        <w:tabs>
          <w:tab w:leader="none" w:pos="7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jc w:val="both"/>
        <w:ind w:left="380" w:firstLine="2"/>
        <w:spacing w:after="0" w:line="243" w:lineRule="auto"/>
        <w:tabs>
          <w:tab w:leader="none" w:pos="804"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Investment (including the Transactions) by the Borrower or any Restricted Subsidiary of the Borrower in a Person that is primarily engaged in a Similar Business if as a result of such Investment (a) such Person becomes a Restricted Subsidiary of the Borrower, including by means of a Division, or (b) such Person, in one transaction or a series of related transactions, is merged, consolidated or amalgamated with or into, or transfers or conveys all or substantially all of its assets to, or is liquidated into, the Borrower or a Restricted Subsidiary of the Borrower (and any Investment held by such Person that was not acquired by such Person in contemplation of so becoming a Restricted Subsidiary or in contemplation of such merger, consolidation, amalgamation, Division, transfer, conveyance or liquidation);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08" w:name="page109"/>
    <w:bookmarkEnd w:id="108"/>
    <w:p>
      <w:pPr>
        <w:ind w:firstLine="2"/>
        <w:spacing w:after="0" w:line="260" w:lineRule="auto"/>
        <w:tabs>
          <w:tab w:leader="none" w:pos="413"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any Investment in securities or other assets and received in connection with an Asset Sale made pursuant to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or any other disposition of assets not constituting an Asset Sale;</w:t>
      </w:r>
    </w:p>
    <w:p>
      <w:pPr>
        <w:spacing w:after="0" w:line="68" w:lineRule="exact"/>
        <w:rPr>
          <w:rFonts w:ascii="Arial" w:cs="Arial" w:eastAsia="Arial" w:hAnsi="Arial"/>
          <w:sz w:val="20"/>
          <w:szCs w:val="20"/>
          <w:color w:val="auto"/>
        </w:rPr>
      </w:pPr>
    </w:p>
    <w:p>
      <w:pPr>
        <w:jc w:val="both"/>
        <w:ind w:firstLine="2"/>
        <w:spacing w:after="0" w:line="278" w:lineRule="auto"/>
        <w:tabs>
          <w:tab w:leader="none" w:pos="4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any Investment (x) existing on the Closing Date and listed on </w:t>
      </w:r>
      <w:r>
        <w:rPr>
          <w:rFonts w:ascii="Arial" w:cs="Arial" w:eastAsia="Arial" w:hAnsi="Arial"/>
          <w:sz w:val="18"/>
          <w:szCs w:val="18"/>
          <w:u w:val="single" w:color="auto"/>
          <w:color w:val="auto"/>
        </w:rPr>
        <w:t>Schedule 7.06</w:t>
      </w:r>
      <w:r>
        <w:rPr>
          <w:rFonts w:ascii="Arial" w:cs="Arial" w:eastAsia="Arial" w:hAnsi="Arial"/>
          <w:sz w:val="18"/>
          <w:szCs w:val="18"/>
          <w:color w:val="auto"/>
        </w:rPr>
        <w:t xml:space="preserve"> hereto, (y) made pursuant to binding commitments in effect on the Closing Date and (z) that replaces, refinances, refunds, renews or extends any Investment described under either of the immediately preceding clauses (x) or (y);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 is in an amount that does not exceed the amount replaced, refinanced, refunded, renewed, modified, amended or extended, except as contemplated pursuant to the terms of such Investment in existence on the Closing Date or as otherwise permitted under this definition or otherwise under Section 7.06;</w:t>
      </w:r>
    </w:p>
    <w:p>
      <w:pPr>
        <w:spacing w:after="0" w:line="56" w:lineRule="exact"/>
        <w:rPr>
          <w:rFonts w:ascii="Arial" w:cs="Arial" w:eastAsia="Arial" w:hAnsi="Arial"/>
          <w:sz w:val="18"/>
          <w:szCs w:val="18"/>
          <w:color w:val="auto"/>
        </w:rPr>
      </w:pPr>
    </w:p>
    <w:p>
      <w:pPr>
        <w:jc w:val="both"/>
        <w:ind w:firstLine="2"/>
        <w:spacing w:after="0" w:line="250" w:lineRule="auto"/>
        <w:tabs>
          <w:tab w:leader="none" w:pos="430" w:val="left"/>
        </w:tabs>
        <w:numPr>
          <w:ilvl w:val="0"/>
          <w:numId w:val="82"/>
        </w:numPr>
        <w:rPr>
          <w:rFonts w:ascii="Arial" w:cs="Arial" w:eastAsia="Arial" w:hAnsi="Arial"/>
          <w:sz w:val="20"/>
          <w:szCs w:val="20"/>
          <w:color w:val="auto"/>
        </w:rPr>
      </w:pPr>
      <w:r>
        <w:rPr>
          <w:rFonts w:ascii="Arial" w:cs="Arial" w:eastAsia="Arial" w:hAnsi="Arial"/>
          <w:sz w:val="20"/>
          <w:szCs w:val="20"/>
          <w:color w:val="auto"/>
        </w:rPr>
        <w:t>loans and advances to, or guarantees of Indebtedness of, employees, directors, officers, managers, consultants or independent contractors in an aggregate amount, taken together with all other Investments made pursuant to this clause (7) that are at the time outstanding, not in excess of $15,000,000;</w:t>
      </w:r>
    </w:p>
    <w:p>
      <w:pPr>
        <w:spacing w:after="0" w:line="77" w:lineRule="exact"/>
        <w:rPr>
          <w:rFonts w:ascii="Arial" w:cs="Arial" w:eastAsia="Arial" w:hAnsi="Arial"/>
          <w:sz w:val="20"/>
          <w:szCs w:val="20"/>
          <w:color w:val="auto"/>
        </w:rPr>
      </w:pPr>
    </w:p>
    <w:p>
      <w:pPr>
        <w:jc w:val="both"/>
        <w:ind w:firstLine="2"/>
        <w:spacing w:after="0" w:line="369" w:lineRule="auto"/>
        <w:tabs>
          <w:tab w:leader="none" w:pos="404" w:val="left"/>
        </w:tabs>
        <w:numPr>
          <w:ilvl w:val="0"/>
          <w:numId w:val="82"/>
        </w:numPr>
        <w:rPr>
          <w:rFonts w:ascii="Arial" w:cs="Arial" w:eastAsia="Arial" w:hAnsi="Arial"/>
          <w:sz w:val="16"/>
          <w:szCs w:val="16"/>
          <w:color w:val="auto"/>
        </w:rPr>
      </w:pPr>
      <w:r>
        <w:rPr>
          <w:rFonts w:ascii="Arial" w:cs="Arial" w:eastAsia="Arial" w:hAnsi="Arial"/>
          <w:sz w:val="16"/>
          <w:szCs w:val="16"/>
          <w:color w:val="auto"/>
        </w:rPr>
        <w:t>loans and advances to officers, directors, employees, managers, consultants and independent contractors for business related travel and entertainment expenses, moving and relocation expenses and other similar expenses, in each case in the ordinary course of business;</w:t>
      </w:r>
    </w:p>
    <w:p>
      <w:pPr>
        <w:spacing w:after="0" w:line="1" w:lineRule="exact"/>
        <w:rPr>
          <w:rFonts w:ascii="Arial" w:cs="Arial" w:eastAsia="Arial" w:hAnsi="Arial"/>
          <w:sz w:val="16"/>
          <w:szCs w:val="16"/>
          <w:color w:val="auto"/>
        </w:rPr>
      </w:pPr>
    </w:p>
    <w:p>
      <w:pPr>
        <w:jc w:val="both"/>
        <w:ind w:firstLine="2"/>
        <w:spacing w:after="0" w:line="274" w:lineRule="auto"/>
        <w:tabs>
          <w:tab w:leader="none" w:pos="4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Investment (x) acquired by the Borrower or any of its Restricted Subsidiaries (a) in exchange for any other Investment or accounts receivable held by the Borrower or any such Restricted Subsidiary in connection with or as a result of a bankruptcy, workout, reorganization or recapitalization of the issuer of such other Investment or accounts receivable, or (b) as a result of a foreclosure by the Borrower or any of its Restricted Subsidiaries with respect to any secured Investment or other transfer of title with respect to any secured Investment in default and (y) received in compromise or resolution of (a) obligations of trade creditors or customers that were incurred in the ordinary course of business of the Borrower or any Restricted Subsidiary, including pursuant to any plan of reorganization or similar arrangement upon the bankruptcy or insolvency of any trade creditor or customer, or (b) litigation, arbitration or other disputes;</w:t>
      </w:r>
    </w:p>
    <w:p>
      <w:pPr>
        <w:spacing w:after="0" w:line="60" w:lineRule="exact"/>
        <w:rPr>
          <w:rFonts w:ascii="Arial" w:cs="Arial" w:eastAsia="Arial" w:hAnsi="Arial"/>
          <w:sz w:val="18"/>
          <w:szCs w:val="18"/>
          <w:color w:val="auto"/>
        </w:rPr>
      </w:pPr>
    </w:p>
    <w:p>
      <w:pPr>
        <w:ind w:firstLine="2"/>
        <w:spacing w:after="0" w:line="260" w:lineRule="auto"/>
        <w:tabs>
          <w:tab w:leader="none" w:pos="409" w:val="left"/>
        </w:tabs>
        <w:numPr>
          <w:ilvl w:val="0"/>
          <w:numId w:val="82"/>
        </w:numPr>
        <w:rPr>
          <w:rFonts w:ascii="Arial" w:cs="Arial" w:eastAsia="Arial" w:hAnsi="Arial"/>
          <w:sz w:val="20"/>
          <w:szCs w:val="20"/>
          <w:color w:val="auto"/>
        </w:rPr>
      </w:pPr>
      <w:r>
        <w:rPr>
          <w:rFonts w:ascii="Arial" w:cs="Arial" w:eastAsia="Arial" w:hAnsi="Arial"/>
          <w:sz w:val="20"/>
          <w:szCs w:val="20"/>
          <w:color w:val="auto"/>
        </w:rPr>
        <w:t>Swap Contracts and Cash Management Services permitted under Section 7.03(b)(10), including any payments in connection with the termination thereof;</w:t>
      </w:r>
    </w:p>
    <w:p>
      <w:pPr>
        <w:spacing w:after="0" w:line="68" w:lineRule="exact"/>
        <w:rPr>
          <w:rFonts w:ascii="Arial" w:cs="Arial" w:eastAsia="Arial" w:hAnsi="Arial"/>
          <w:sz w:val="20"/>
          <w:szCs w:val="20"/>
          <w:color w:val="auto"/>
        </w:rPr>
      </w:pPr>
    </w:p>
    <w:p>
      <w:pPr>
        <w:jc w:val="both"/>
        <w:ind w:firstLine="2"/>
        <w:spacing w:after="0" w:line="257" w:lineRule="auto"/>
        <w:tabs>
          <w:tab w:leader="none" w:pos="433"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any Investment by the Borrower or any of its Restricted Subsidiaries in a Similar Business (other than an Investment in an Unrestricted Subsidiary) in an aggregate amount, taken together with all other Investments made pursuant to this clause (11) that are at the time outstanding, not to exceed the greater of (x) $450,000,000 and (y) 23.5% of Four Quarter Consolidated EBITDA;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Investment pursuant to this clause (11)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(11) for so long as such Person continues to be a Restricted Subsidiary;</w:t>
      </w:r>
    </w:p>
    <w:p>
      <w:pPr>
        <w:spacing w:after="0" w:line="76" w:lineRule="exact"/>
        <w:rPr>
          <w:rFonts w:ascii="Arial" w:cs="Arial" w:eastAsia="Arial" w:hAnsi="Arial"/>
          <w:sz w:val="19"/>
          <w:szCs w:val="19"/>
          <w:color w:val="auto"/>
        </w:rPr>
      </w:pPr>
    </w:p>
    <w:p>
      <w:pPr>
        <w:jc w:val="both"/>
        <w:ind w:firstLine="2"/>
        <w:spacing w:after="0" w:line="260" w:lineRule="auto"/>
        <w:tabs>
          <w:tab w:leader="none" w:pos="40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additional Investments by the Borrower or any of its Restricted Subsidiaries in an aggregate amount, taken together with all other Investments made pursuant to this clause (12) that are at the time outstanding, not to exceed the greater of (x) $550,000,000 and (y) 28.5% of Four Quarter Consolidated EBITDA;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Investment pursuant to this clause (12) is made in any Person that is not a Restricted Subsidiary at the date of the making of such Investment and such Person becomes a Restricted Subsidiary after such date, such Investment shall thereafter be deemed to have been made</w:t>
      </w:r>
    </w:p>
    <w:p>
      <w:pPr>
        <w:spacing w:after="0" w:line="5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09" w:name="page110"/>
    <w:bookmarkEnd w:id="109"/>
    <w:p>
      <w:pPr>
        <w:spacing w:after="0" w:line="260" w:lineRule="auto"/>
        <w:rPr>
          <w:sz w:val="20"/>
          <w:szCs w:val="20"/>
          <w:color w:val="auto"/>
        </w:rPr>
      </w:pPr>
      <w:r>
        <w:rPr>
          <w:rFonts w:ascii="Arial" w:cs="Arial" w:eastAsia="Arial" w:hAnsi="Arial"/>
          <w:sz w:val="20"/>
          <w:szCs w:val="20"/>
          <w:color w:val="auto"/>
        </w:rPr>
        <w:t>pursuant to clause (2) above and shall cease to have been made pursuant to this clause (12) for so long as such Person continues to be a Restricted Subsidiary;</w:t>
      </w:r>
    </w:p>
    <w:p>
      <w:pPr>
        <w:spacing w:after="0" w:line="69" w:lineRule="exact"/>
        <w:rPr>
          <w:sz w:val="20"/>
          <w:szCs w:val="20"/>
          <w:color w:val="auto"/>
        </w:rPr>
      </w:pPr>
    </w:p>
    <w:p>
      <w:pPr>
        <w:ind w:firstLine="2"/>
        <w:spacing w:after="0" w:line="260" w:lineRule="auto"/>
        <w:tabs>
          <w:tab w:leader="none" w:pos="41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transaction to the extent it constitutes an Investment that is permitted and made in accordance with the provisions of Section 6.19(b) (except transactions described in clause (ii), (iii), (iv), (viii), (ix), (xiii) or (xiv) of such Section 6.19(b));</w:t>
      </w:r>
    </w:p>
    <w:p>
      <w:pPr>
        <w:spacing w:after="0" w:line="68" w:lineRule="exact"/>
        <w:rPr>
          <w:rFonts w:ascii="Arial" w:cs="Arial" w:eastAsia="Arial" w:hAnsi="Arial"/>
          <w:sz w:val="20"/>
          <w:szCs w:val="20"/>
          <w:color w:val="auto"/>
        </w:rPr>
      </w:pPr>
    </w:p>
    <w:p>
      <w:pPr>
        <w:jc w:val="both"/>
        <w:ind w:firstLine="2"/>
        <w:spacing w:after="0" w:line="250" w:lineRule="auto"/>
        <w:tabs>
          <w:tab w:leader="none" w:pos="424"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Investments the payment for which consists of Equity Interests (other than Excluded Equity) of the Borrower or any direct or indirect parent of the Borrower,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Equity Interests will not increase the amount available for Restricted Payments under clause (iii) of the first paragraph of Section 7.06;</w:t>
      </w:r>
    </w:p>
    <w:p>
      <w:pPr>
        <w:spacing w:after="0" w:line="77" w:lineRule="exact"/>
        <w:rPr>
          <w:rFonts w:ascii="Arial" w:cs="Arial" w:eastAsia="Arial" w:hAnsi="Arial"/>
          <w:sz w:val="20"/>
          <w:szCs w:val="20"/>
          <w:color w:val="auto"/>
        </w:rPr>
      </w:pPr>
    </w:p>
    <w:p>
      <w:pPr>
        <w:ind w:firstLine="2"/>
        <w:spacing w:after="0" w:line="260" w:lineRule="auto"/>
        <w:tabs>
          <w:tab w:leader="none" w:pos="403"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Investments consisting of the licensing or contribution of intellectual property pursuant to joint marketing arrangements with other Persons;</w:t>
      </w:r>
    </w:p>
    <w:p>
      <w:pPr>
        <w:spacing w:after="0" w:line="68" w:lineRule="exact"/>
        <w:rPr>
          <w:rFonts w:ascii="Arial" w:cs="Arial" w:eastAsia="Arial" w:hAnsi="Arial"/>
          <w:sz w:val="20"/>
          <w:szCs w:val="20"/>
          <w:color w:val="auto"/>
        </w:rPr>
      </w:pPr>
    </w:p>
    <w:p>
      <w:pPr>
        <w:ind w:firstLine="2"/>
        <w:spacing w:after="0" w:line="260" w:lineRule="auto"/>
        <w:tabs>
          <w:tab w:leader="none" w:pos="398"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68" w:lineRule="exact"/>
        <w:rPr>
          <w:rFonts w:ascii="Arial" w:cs="Arial" w:eastAsia="Arial" w:hAnsi="Arial"/>
          <w:sz w:val="20"/>
          <w:szCs w:val="20"/>
          <w:color w:val="auto"/>
        </w:rPr>
      </w:pPr>
    </w:p>
    <w:p>
      <w:pPr>
        <w:jc w:val="both"/>
        <w:ind w:firstLine="2"/>
        <w:spacing w:after="0" w:line="250" w:lineRule="auto"/>
        <w:tabs>
          <w:tab w:leader="none" w:pos="396"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w:t>
      </w:r>
    </w:p>
    <w:p>
      <w:pPr>
        <w:spacing w:after="0" w:line="77" w:lineRule="exact"/>
        <w:rPr>
          <w:rFonts w:ascii="Arial" w:cs="Arial" w:eastAsia="Arial" w:hAnsi="Arial"/>
          <w:sz w:val="20"/>
          <w:szCs w:val="20"/>
          <w:color w:val="auto"/>
        </w:rPr>
      </w:pPr>
    </w:p>
    <w:p>
      <w:pPr>
        <w:jc w:val="both"/>
        <w:ind w:firstLine="2"/>
        <w:spacing w:after="0" w:line="246" w:lineRule="auto"/>
        <w:tabs>
          <w:tab w:leader="none" w:pos="403"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Investments of a Restricted Subsidiary of the Borrower acquired after the Closing Date or of an entity merged into or consolidated with a Restricted Subsidiary of the Borrower in a transaction that is not prohibited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after the Closing Date to the extent that such Investments were not made in contemplation of such acquisition, merger or consolidation and were in existence on the date of such acquisition, merger or consolidation;</w:t>
      </w:r>
    </w:p>
    <w:p>
      <w:pPr>
        <w:spacing w:after="0" w:line="83" w:lineRule="exact"/>
        <w:rPr>
          <w:rFonts w:ascii="Arial" w:cs="Arial" w:eastAsia="Arial" w:hAnsi="Arial"/>
          <w:sz w:val="20"/>
          <w:szCs w:val="20"/>
          <w:color w:val="auto"/>
        </w:rPr>
      </w:pPr>
    </w:p>
    <w:p>
      <w:pPr>
        <w:ind w:firstLine="2"/>
        <w:spacing w:after="0" w:line="260" w:lineRule="auto"/>
        <w:tabs>
          <w:tab w:leader="none" w:pos="431"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Investments consisting of (x) Liens permitted under Section 7.01, or (y) Indebtedness (including guarantees) permitted under Section 7.03;</w:t>
      </w:r>
    </w:p>
    <w:p>
      <w:pPr>
        <w:spacing w:after="0" w:line="68" w:lineRule="exact"/>
        <w:rPr>
          <w:rFonts w:ascii="Arial" w:cs="Arial" w:eastAsia="Arial" w:hAnsi="Arial"/>
          <w:sz w:val="20"/>
          <w:szCs w:val="20"/>
          <w:color w:val="auto"/>
        </w:rPr>
      </w:pPr>
    </w:p>
    <w:p>
      <w:pPr>
        <w:ind w:firstLine="2"/>
        <w:spacing w:after="0" w:line="260" w:lineRule="auto"/>
        <w:tabs>
          <w:tab w:leader="none" w:pos="426"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guarantees of Indebtedness permitted to be incurred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and performance guarantees in the ordinary course of business;</w:t>
      </w:r>
    </w:p>
    <w:p>
      <w:pPr>
        <w:spacing w:after="0" w:line="68" w:lineRule="exact"/>
        <w:rPr>
          <w:rFonts w:ascii="Arial" w:cs="Arial" w:eastAsia="Arial" w:hAnsi="Arial"/>
          <w:sz w:val="20"/>
          <w:szCs w:val="20"/>
          <w:color w:val="auto"/>
        </w:rPr>
      </w:pPr>
    </w:p>
    <w:p>
      <w:pPr>
        <w:ind w:firstLine="2"/>
        <w:spacing w:after="0" w:line="260" w:lineRule="auto"/>
        <w:tabs>
          <w:tab w:leader="none" w:pos="446" w:val="left"/>
        </w:tabs>
        <w:numPr>
          <w:ilvl w:val="0"/>
          <w:numId w:val="83"/>
        </w:numPr>
        <w:rPr>
          <w:rFonts w:ascii="Arial" w:cs="Arial" w:eastAsia="Arial" w:hAnsi="Arial"/>
          <w:sz w:val="20"/>
          <w:szCs w:val="20"/>
          <w:color w:val="auto"/>
        </w:rPr>
      </w:pPr>
      <w:r>
        <w:rPr>
          <w:rFonts w:ascii="Arial" w:cs="Arial" w:eastAsia="Arial" w:hAnsi="Arial"/>
          <w:sz w:val="20"/>
          <w:szCs w:val="20"/>
          <w:color w:val="auto"/>
        </w:rPr>
        <w:t>advances, loans or extensions of trade credit in the ordinary course of business by the Borrower or any of its Restricted Subsidiaries;</w:t>
      </w:r>
    </w:p>
    <w:p>
      <w:pPr>
        <w:spacing w:after="0" w:line="68" w:lineRule="exact"/>
        <w:rPr>
          <w:rFonts w:ascii="Arial" w:cs="Arial" w:eastAsia="Arial" w:hAnsi="Arial"/>
          <w:sz w:val="20"/>
          <w:szCs w:val="20"/>
          <w:color w:val="auto"/>
        </w:rPr>
      </w:pPr>
    </w:p>
    <w:p>
      <w:pPr>
        <w:ind w:left="400" w:hanging="398"/>
        <w:spacing w:after="0"/>
        <w:tabs>
          <w:tab w:leader="none" w:pos="4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Investments consisting of purchases and acquisitions of assets or services in the ordinary course of business;</w:t>
      </w:r>
    </w:p>
    <w:p>
      <w:pPr>
        <w:spacing w:after="0" w:line="107" w:lineRule="exact"/>
        <w:rPr>
          <w:rFonts w:ascii="Arial" w:cs="Arial" w:eastAsia="Arial" w:hAnsi="Arial"/>
          <w:sz w:val="20"/>
          <w:szCs w:val="20"/>
          <w:color w:val="auto"/>
        </w:rPr>
      </w:pPr>
    </w:p>
    <w:p>
      <w:pPr>
        <w:ind w:firstLine="2"/>
        <w:spacing w:after="0" w:line="260" w:lineRule="auto"/>
        <w:tabs>
          <w:tab w:leader="none" w:pos="413"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Uniform Commercial Code Article 3 endorsements for collection or deposit and Uniform Commercial Code Article 4 customary trade arrangements with customers;</w:t>
      </w:r>
    </w:p>
    <w:p>
      <w:pPr>
        <w:spacing w:after="0" w:line="68" w:lineRule="exact"/>
        <w:rPr>
          <w:rFonts w:ascii="Arial" w:cs="Arial" w:eastAsia="Arial" w:hAnsi="Arial"/>
          <w:sz w:val="20"/>
          <w:szCs w:val="20"/>
          <w:color w:val="auto"/>
        </w:rPr>
      </w:pPr>
    </w:p>
    <w:p>
      <w:pPr>
        <w:ind w:firstLine="2"/>
        <w:spacing w:after="0" w:line="260" w:lineRule="auto"/>
        <w:tabs>
          <w:tab w:leader="none" w:pos="411"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intercompany current liabilities owed to Unrestricted Subsidiaries or joint ventures Incurred in the ordinary course of business in connection with the cash management operations of the Borrower and its Subsidiaries;</w:t>
      </w:r>
    </w:p>
    <w:p>
      <w:pPr>
        <w:spacing w:after="0" w:line="68" w:lineRule="exact"/>
        <w:rPr>
          <w:rFonts w:ascii="Arial" w:cs="Arial" w:eastAsia="Arial" w:hAnsi="Arial"/>
          <w:sz w:val="20"/>
          <w:szCs w:val="20"/>
          <w:color w:val="auto"/>
        </w:rPr>
      </w:pPr>
    </w:p>
    <w:p>
      <w:pPr>
        <w:jc w:val="both"/>
        <w:ind w:firstLine="2"/>
        <w:spacing w:after="0" w:line="275" w:lineRule="auto"/>
        <w:tabs>
          <w:tab w:leader="none" w:pos="4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Investments in joint ventures of the Borrower or any of its Restricted Subsidiaries in an aggregate amount, taken together with all other Investments made pursuant to this clause (25) that are at the time outstanding, not to exceed the greater of (x) $320,000,000 and</w:t>
      </w:r>
    </w:p>
    <w:p>
      <w:pPr>
        <w:spacing w:after="0"/>
        <w:rPr>
          <w:rFonts w:ascii="Arial" w:cs="Arial" w:eastAsia="Arial" w:hAnsi="Arial"/>
          <w:sz w:val="18"/>
          <w:szCs w:val="18"/>
          <w:color w:val="auto"/>
        </w:rPr>
      </w:pPr>
      <w:r>
        <w:rPr>
          <w:rFonts w:ascii="Arial" w:cs="Arial" w:eastAsia="Arial" w:hAnsi="Arial"/>
          <w:sz w:val="20"/>
          <w:szCs w:val="20"/>
          <w:color w:val="auto"/>
        </w:rPr>
        <w:t>(y) 16.5% of Four Quarter Consolidated EBITDA;</w:t>
      </w:r>
    </w:p>
    <w:p>
      <w:pPr>
        <w:spacing w:after="0" w:line="7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10" w:name="page111"/>
    <w:bookmarkEnd w:id="110"/>
    <w:p>
      <w:pPr>
        <w:ind w:left="400" w:hanging="398"/>
        <w:spacing w:after="0"/>
        <w:tabs>
          <w:tab w:leader="none" w:pos="4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jc w:val="both"/>
        <w:ind w:firstLine="2"/>
        <w:spacing w:after="0" w:line="246" w:lineRule="auto"/>
        <w:tabs>
          <w:tab w:leader="none" w:pos="396" w:val="left"/>
        </w:tabs>
        <w:numPr>
          <w:ilvl w:val="0"/>
          <w:numId w:val="84"/>
        </w:numPr>
        <w:rPr>
          <w:rFonts w:ascii="Arial" w:cs="Arial" w:eastAsia="Arial" w:hAnsi="Arial"/>
          <w:sz w:val="20"/>
          <w:szCs w:val="20"/>
          <w:color w:val="auto"/>
        </w:rPr>
      </w:pPr>
      <w:r>
        <w:rPr>
          <w:rFonts w:ascii="Arial" w:cs="Arial" w:eastAsia="Arial" w:hAnsi="Arial"/>
          <w:sz w:val="20"/>
          <w:szCs w:val="20"/>
          <w:color w:val="auto"/>
        </w:rPr>
        <w:t>accounts receivable, security deposits and prepayments and other credits granted or made in the ordinary course of business and any Investments received in satisfaction or partial satisfaction thereof from financially troubled account debtors and others, including in connection with the bankruptcy or reorganization of, or settlement of delinquent accounts and disputes with or judgments against, such account debtors and others, in each case in the ordinary course of business;</w:t>
      </w:r>
    </w:p>
    <w:p>
      <w:pPr>
        <w:spacing w:after="0" w:line="83" w:lineRule="exact"/>
        <w:rPr>
          <w:rFonts w:ascii="Arial" w:cs="Arial" w:eastAsia="Arial" w:hAnsi="Arial"/>
          <w:sz w:val="20"/>
          <w:szCs w:val="20"/>
          <w:color w:val="auto"/>
        </w:rPr>
      </w:pPr>
    </w:p>
    <w:p>
      <w:pPr>
        <w:ind w:firstLine="2"/>
        <w:spacing w:after="0" w:line="260" w:lineRule="auto"/>
        <w:tabs>
          <w:tab w:leader="none" w:pos="436" w:val="left"/>
        </w:tabs>
        <w:numPr>
          <w:ilvl w:val="0"/>
          <w:numId w:val="84"/>
        </w:numPr>
        <w:rPr>
          <w:rFonts w:ascii="Arial" w:cs="Arial" w:eastAsia="Arial" w:hAnsi="Arial"/>
          <w:sz w:val="20"/>
          <w:szCs w:val="20"/>
          <w:color w:val="auto"/>
        </w:rPr>
      </w:pPr>
      <w:r>
        <w:rPr>
          <w:rFonts w:ascii="Arial" w:cs="Arial" w:eastAsia="Arial" w:hAnsi="Arial"/>
          <w:sz w:val="20"/>
          <w:szCs w:val="20"/>
          <w:color w:val="auto"/>
        </w:rPr>
        <w:t>Investments acquired as a result of a foreclosure by the Borrower or any Restricted Subsidiary with respect to any secured Investments or other transfer of title with respect to any secured Investment in default;</w:t>
      </w:r>
    </w:p>
    <w:p>
      <w:pPr>
        <w:spacing w:after="0" w:line="68" w:lineRule="exact"/>
        <w:rPr>
          <w:rFonts w:ascii="Arial" w:cs="Arial" w:eastAsia="Arial" w:hAnsi="Arial"/>
          <w:sz w:val="20"/>
          <w:szCs w:val="20"/>
          <w:color w:val="auto"/>
        </w:rPr>
      </w:pPr>
    </w:p>
    <w:p>
      <w:pPr>
        <w:ind w:left="400" w:hanging="398"/>
        <w:spacing w:after="0"/>
        <w:tabs>
          <w:tab w:leader="none" w:pos="4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jc w:val="both"/>
        <w:ind w:firstLine="2"/>
        <w:spacing w:after="0" w:line="246" w:lineRule="auto"/>
        <w:tabs>
          <w:tab w:leader="none" w:pos="397" w:val="left"/>
        </w:tabs>
        <w:numPr>
          <w:ilvl w:val="0"/>
          <w:numId w:val="84"/>
        </w:numPr>
        <w:rPr>
          <w:rFonts w:ascii="Arial" w:cs="Arial" w:eastAsia="Arial" w:hAnsi="Arial"/>
          <w:sz w:val="20"/>
          <w:szCs w:val="20"/>
          <w:color w:val="auto"/>
        </w:rPr>
      </w:pPr>
      <w:r>
        <w:rPr>
          <w:rFonts w:ascii="Arial" w:cs="Arial" w:eastAsia="Arial" w:hAnsi="Arial"/>
          <w:sz w:val="20"/>
          <w:szCs w:val="20"/>
          <w:color w:val="auto"/>
        </w:rPr>
        <w:t>acquisitions of obligations of one or more officers or other employees of any direct or indirect parent of the Borrower, the Borrower or any Subsidiary of the Borrower in connection with such officer’s or employee’s acquisition of Equity Interests of any direct or indirect parent of the Borrower, so long as no cash is actually advanced by the Borrower or any Restricted Subsidiary to such officers or employees in connection with the acquisition of any such obligations;</w:t>
      </w:r>
    </w:p>
    <w:p>
      <w:pPr>
        <w:spacing w:after="0" w:line="83" w:lineRule="exact"/>
        <w:rPr>
          <w:rFonts w:ascii="Arial" w:cs="Arial" w:eastAsia="Arial" w:hAnsi="Arial"/>
          <w:sz w:val="20"/>
          <w:szCs w:val="20"/>
          <w:color w:val="auto"/>
        </w:rPr>
      </w:pPr>
    </w:p>
    <w:p>
      <w:pPr>
        <w:jc w:val="both"/>
        <w:ind w:firstLine="2"/>
        <w:spacing w:after="0" w:line="250" w:lineRule="auto"/>
        <w:tabs>
          <w:tab w:leader="none" w:pos="408" w:val="left"/>
        </w:tabs>
        <w:numPr>
          <w:ilvl w:val="0"/>
          <w:numId w:val="84"/>
        </w:numPr>
        <w:rPr>
          <w:rFonts w:ascii="Arial" w:cs="Arial" w:eastAsia="Arial" w:hAnsi="Arial"/>
          <w:sz w:val="20"/>
          <w:szCs w:val="20"/>
          <w:color w:val="auto"/>
        </w:rPr>
      </w:pPr>
      <w:r>
        <w:rPr>
          <w:rFonts w:ascii="Arial" w:cs="Arial" w:eastAsia="Arial" w:hAnsi="Arial"/>
          <w:sz w:val="20"/>
          <w:szCs w:val="20"/>
          <w:color w:val="auto"/>
        </w:rPr>
        <w:t>guarantees of operating leases (for the avoidance of doubt, excluding Capitalized Lease Obligations as determined without giving effect to the application of GAAP) or of other obligations that do not constitute Indebtedness, in each case, entered into by the Borrower or any Restricted Subsidiary in the ordinary course of business;</w:t>
      </w:r>
    </w:p>
    <w:p>
      <w:pPr>
        <w:spacing w:after="0" w:line="77" w:lineRule="exact"/>
        <w:rPr>
          <w:rFonts w:ascii="Arial" w:cs="Arial" w:eastAsia="Arial" w:hAnsi="Arial"/>
          <w:sz w:val="20"/>
          <w:szCs w:val="20"/>
          <w:color w:val="auto"/>
        </w:rPr>
      </w:pPr>
    </w:p>
    <w:p>
      <w:pPr>
        <w:ind w:left="400" w:hanging="398"/>
        <w:spacing w:after="0"/>
        <w:tabs>
          <w:tab w:leader="none" w:pos="4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ind w:left="400" w:hanging="398"/>
        <w:spacing w:after="0" w:line="230" w:lineRule="exact"/>
        <w:tabs>
          <w:tab w:leader="none" w:pos="4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non</w:t>
      </w:r>
      <w:r>
        <w:rPr>
          <w:rFonts w:ascii="MS PGothic" w:cs="MS PGothic" w:eastAsia="MS PGothic" w:hAnsi="MS PGothic"/>
          <w:sz w:val="20"/>
          <w:szCs w:val="20"/>
          <w:color w:val="auto"/>
        </w:rPr>
        <w:t>‑</w:t>
      </w:r>
      <w:r>
        <w:rPr>
          <w:rFonts w:ascii="Arial" w:cs="Arial" w:eastAsia="Arial" w:hAnsi="Arial"/>
          <w:sz w:val="20"/>
          <w:szCs w:val="20"/>
          <w:color w:val="auto"/>
        </w:rPr>
        <w:t>cash Investments made in connection with tax planning and reorganization activities;</w:t>
      </w:r>
    </w:p>
    <w:p>
      <w:pPr>
        <w:spacing w:after="0" w:line="107" w:lineRule="exact"/>
        <w:rPr>
          <w:rFonts w:ascii="Arial" w:cs="Arial" w:eastAsia="Arial" w:hAnsi="Arial"/>
          <w:sz w:val="20"/>
          <w:szCs w:val="20"/>
          <w:color w:val="auto"/>
        </w:rPr>
      </w:pPr>
    </w:p>
    <w:p>
      <w:pPr>
        <w:ind w:firstLine="2"/>
        <w:spacing w:after="0" w:line="316" w:lineRule="auto"/>
        <w:tabs>
          <w:tab w:leader="none" w:pos="40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Investments made pursuant to obligations entered into when the Investment would have been permitted hereunder so long as such Investment when made reduces the amount available under the clause under which the Investment would have been permitted; and</w:t>
      </w:r>
    </w:p>
    <w:p>
      <w:pPr>
        <w:spacing w:after="0" w:line="21" w:lineRule="exact"/>
        <w:rPr>
          <w:rFonts w:ascii="Arial" w:cs="Arial" w:eastAsia="Arial" w:hAnsi="Arial"/>
          <w:sz w:val="18"/>
          <w:szCs w:val="18"/>
          <w:color w:val="auto"/>
        </w:rPr>
      </w:pPr>
    </w:p>
    <w:p>
      <w:pPr>
        <w:jc w:val="both"/>
        <w:ind w:firstLine="2"/>
        <w:spacing w:after="0" w:line="250" w:lineRule="auto"/>
        <w:tabs>
          <w:tab w:leader="none" w:pos="415" w:val="left"/>
        </w:tabs>
        <w:numPr>
          <w:ilvl w:val="0"/>
          <w:numId w:val="84"/>
        </w:numPr>
        <w:rPr>
          <w:rFonts w:ascii="Arial" w:cs="Arial" w:eastAsia="Arial" w:hAnsi="Arial"/>
          <w:sz w:val="20"/>
          <w:szCs w:val="20"/>
          <w:color w:val="auto"/>
        </w:rPr>
      </w:pPr>
      <w:r>
        <w:rPr>
          <w:rFonts w:ascii="Arial" w:cs="Arial" w:eastAsia="Arial" w:hAnsi="Arial"/>
          <w:sz w:val="20"/>
          <w:szCs w:val="20"/>
          <w:color w:val="auto"/>
        </w:rPr>
        <w:t>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Liens</w:t>
      </w:r>
      <w:r>
        <w:rPr>
          <w:rFonts w:ascii="Arial" w:cs="Arial" w:eastAsia="Arial" w:hAnsi="Arial"/>
          <w:sz w:val="20"/>
          <w:szCs w:val="20"/>
          <w:color w:val="auto"/>
        </w:rPr>
        <w:t>” means, with respect to any Person:</w:t>
      </w:r>
    </w:p>
    <w:p>
      <w:pPr>
        <w:spacing w:after="0" w:line="216" w:lineRule="exact"/>
        <w:rPr>
          <w:sz w:val="20"/>
          <w:szCs w:val="20"/>
          <w:color w:val="auto"/>
        </w:rPr>
      </w:pPr>
    </w:p>
    <w:p>
      <w:pPr>
        <w:jc w:val="both"/>
        <w:ind w:firstLine="2"/>
        <w:spacing w:after="0" w:line="282" w:lineRule="auto"/>
        <w:tabs>
          <w:tab w:leader="none" w:pos="4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Incurred in connection with workers’ compensation laws, unemployment insurance laws or similar legislation, or in connection with bids, tenders, contracts (other than for the payment of Indebtedness) or leases to which such Person is a party, or to secure public or statutory obligations of such Person or to secure surety, stay, customs or appeal bonds to which such Person is a party, or as security for contested taxes or import duties or for the payment of rent, in each case Incurred in the ordinary course of business;</w:t>
      </w:r>
    </w:p>
    <w:p>
      <w:pPr>
        <w:spacing w:after="0" w:line="53" w:lineRule="exact"/>
        <w:rPr>
          <w:rFonts w:ascii="Arial" w:cs="Arial" w:eastAsia="Arial" w:hAnsi="Arial"/>
          <w:sz w:val="18"/>
          <w:szCs w:val="18"/>
          <w:color w:val="auto"/>
        </w:rPr>
      </w:pPr>
    </w:p>
    <w:p>
      <w:pPr>
        <w:jc w:val="both"/>
        <w:ind w:firstLine="2"/>
        <w:spacing w:after="0" w:line="243" w:lineRule="auto"/>
        <w:tabs>
          <w:tab w:leader="none" w:pos="446" w:val="left"/>
        </w:tabs>
        <w:numPr>
          <w:ilvl w:val="0"/>
          <w:numId w:val="85"/>
        </w:numPr>
        <w:rPr>
          <w:rFonts w:ascii="Arial" w:cs="Arial" w:eastAsia="Arial" w:hAnsi="Arial"/>
          <w:sz w:val="20"/>
          <w:szCs w:val="20"/>
          <w:color w:val="auto"/>
        </w:rPr>
      </w:pPr>
      <w:r>
        <w:rPr>
          <w:rFonts w:ascii="Arial" w:cs="Arial" w:eastAsia="Arial" w:hAnsi="Arial"/>
          <w:sz w:val="20"/>
          <w:szCs w:val="20"/>
          <w:color w:val="auto"/>
        </w:rPr>
        <w:t>Liens imposed by law, such as carriers’, warehousemen’s, landlords’, materialmen’s, repairman’s, construction contractors’, mechanics’ or other like Liens, in each case for sums not yet overdue by more than thirty (30) days or being contested in good faith by appropriate proceedings or other Liens arising out of judgments or awards against such Person with respect to which such Person shall then be proceeding with an appeal or other proceedings for review (or which, if due and payable, are being contested in good faith by appropriate proceedings and for which adequate reserves are being maintained, to the extent required by GAAP) or with respect to which the failure to make payment</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11" w:name="page112"/>
    <w:bookmarkEnd w:id="111"/>
    <w:p>
      <w:pPr>
        <w:spacing w:after="0" w:line="260" w:lineRule="auto"/>
        <w:rPr>
          <w:sz w:val="20"/>
          <w:szCs w:val="20"/>
          <w:color w:val="auto"/>
        </w:rPr>
      </w:pPr>
      <w:r>
        <w:rPr>
          <w:rFonts w:ascii="Arial" w:cs="Arial" w:eastAsia="Arial" w:hAnsi="Arial"/>
          <w:sz w:val="20"/>
          <w:szCs w:val="20"/>
          <w:color w:val="auto"/>
        </w:rPr>
        <w:t>could not reasonably be expected to have a Material Adverse Effect as determined in good faith by management of the Borrower or a direct or indirect parent of the Borrower;</w:t>
      </w:r>
    </w:p>
    <w:p>
      <w:pPr>
        <w:spacing w:after="0" w:line="69" w:lineRule="exact"/>
        <w:rPr>
          <w:sz w:val="20"/>
          <w:szCs w:val="20"/>
          <w:color w:val="auto"/>
        </w:rPr>
      </w:pPr>
    </w:p>
    <w:p>
      <w:pPr>
        <w:jc w:val="both"/>
        <w:ind w:firstLine="2"/>
        <w:spacing w:after="0" w:line="259" w:lineRule="auto"/>
        <w:tabs>
          <w:tab w:leader="none" w:pos="409" w:val="left"/>
        </w:tabs>
        <w:numPr>
          <w:ilvl w:val="0"/>
          <w:numId w:val="86"/>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or levies (i) which are not yet overdue for thirty (30) days or not yet due or payable, (ii) which are being contested in good faith by appropriate proceedings and for which adequate reserves are being maintained to the extent required by GAAP, or for property Taxes on property such Person or one of its Subsidiaries has determined to abandon if the sole recourse to such Tax, assessment, charge, levy or claim is to such property or (iii) with respect to which the failure to make payment could not reasonably be expected to have a Material Adverse Effect as determined in good faith by management of the Borrower or a direct or indirect parent of the Borrower;</w:t>
      </w:r>
    </w:p>
    <w:p>
      <w:pPr>
        <w:spacing w:after="0" w:line="70" w:lineRule="exact"/>
        <w:rPr>
          <w:rFonts w:ascii="Arial" w:cs="Arial" w:eastAsia="Arial" w:hAnsi="Arial"/>
          <w:sz w:val="19"/>
          <w:szCs w:val="19"/>
          <w:color w:val="auto"/>
        </w:rPr>
      </w:pPr>
    </w:p>
    <w:p>
      <w:pPr>
        <w:jc w:val="both"/>
        <w:ind w:firstLine="2"/>
        <w:spacing w:after="0" w:line="269" w:lineRule="auto"/>
        <w:tabs>
          <w:tab w:leader="none" w:pos="413" w:val="left"/>
        </w:tabs>
        <w:numPr>
          <w:ilvl w:val="0"/>
          <w:numId w:val="86"/>
        </w:numPr>
        <w:rPr>
          <w:rFonts w:ascii="Arial" w:cs="Arial" w:eastAsia="Arial" w:hAnsi="Arial"/>
          <w:sz w:val="19"/>
          <w:szCs w:val="19"/>
          <w:color w:val="auto"/>
        </w:rPr>
      </w:pPr>
      <w:r>
        <w:rPr>
          <w:rFonts w:ascii="Arial" w:cs="Arial" w:eastAsia="Arial" w:hAnsi="Arial"/>
          <w:sz w:val="19"/>
          <w:szCs w:val="19"/>
          <w:color w:val="auto"/>
        </w:rPr>
        <w:t>Liens in favor of the issuers of performance and surety bonds, bid, indemnity, warranty, release, appeal or similar bonds or with respect to regulatory requirements or letters of credit or bankers’ acceptances issued and completion of guarantees provided for, in each case, pursuant to the request of and for the account of such Person in the ordinary course of its business;</w:t>
      </w:r>
    </w:p>
    <w:p>
      <w:pPr>
        <w:spacing w:after="0" w:line="61" w:lineRule="exact"/>
        <w:rPr>
          <w:rFonts w:ascii="Arial" w:cs="Arial" w:eastAsia="Arial" w:hAnsi="Arial"/>
          <w:sz w:val="19"/>
          <w:szCs w:val="19"/>
          <w:color w:val="auto"/>
        </w:rPr>
      </w:pPr>
    </w:p>
    <w:p>
      <w:pPr>
        <w:jc w:val="both"/>
        <w:ind w:firstLine="2"/>
        <w:spacing w:after="0" w:line="243" w:lineRule="auto"/>
        <w:tabs>
          <w:tab w:leader="none" w:pos="431" w:val="left"/>
        </w:tabs>
        <w:numPr>
          <w:ilvl w:val="0"/>
          <w:numId w:val="86"/>
        </w:numPr>
        <w:rPr>
          <w:rFonts w:ascii="Arial" w:cs="Arial" w:eastAsia="Arial" w:hAnsi="Arial"/>
          <w:sz w:val="20"/>
          <w:szCs w:val="20"/>
          <w:color w:val="auto"/>
        </w:rPr>
      </w:pPr>
      <w:r>
        <w:rPr>
          <w:rFonts w:ascii="Arial" w:cs="Arial" w:eastAsia="Arial" w:hAnsi="Arial"/>
          <w:sz w:val="20"/>
          <w:szCs w:val="20"/>
          <w:color w:val="auto"/>
        </w:rPr>
        <w:t>survey exceptions, encumbrances, ground leases, easements or reservations of, or rights of others for, licenses, rights-of-way, servitudes, sewers, electric lines, drains, telegraph and telephone and cable television lines, gas and oil pipelines and other similar purposes, reservations of rights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in the aggregate materially adversely interfere with the ordinary conduct of the business of such Person;</w:t>
      </w:r>
    </w:p>
    <w:p>
      <w:pPr>
        <w:spacing w:after="0" w:line="87" w:lineRule="exact"/>
        <w:rPr>
          <w:rFonts w:ascii="Arial" w:cs="Arial" w:eastAsia="Arial" w:hAnsi="Arial"/>
          <w:sz w:val="20"/>
          <w:szCs w:val="20"/>
          <w:color w:val="auto"/>
        </w:rPr>
      </w:pPr>
    </w:p>
    <w:p>
      <w:pPr>
        <w:jc w:val="both"/>
        <w:ind w:firstLine="2"/>
        <w:spacing w:after="0" w:line="257" w:lineRule="auto"/>
        <w:tabs>
          <w:tab w:leader="none" w:pos="396"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Liens Incurred to secure obligations in respect of Indebtedness permitted to be Incurred pursuant to Section 7.03(b)(1), (2)(A) or (4) and obligations secured ratably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in the case of Liens securing Indebtedness permitted to be incurred pursuant to clause (4), such Lien extends only to the assets and/or Capital Stock the acquisition, lease, construction, repair, replacement or improvement of which is financed thereby and any replacements, additions and accessions thereto and any income or profits thereof; and (y) in the case of Liens securing Indebtedness permitted to be Incurred pursuant to clause (i) of Section 7.03(b)(1), such Liens are subject to Applicable Intercreditor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individual financings provided by a lender may be cross collateralized to other financings provided by such lender or its affiliates;</w:t>
      </w:r>
    </w:p>
    <w:p>
      <w:pPr>
        <w:spacing w:after="0" w:line="76" w:lineRule="exact"/>
        <w:rPr>
          <w:rFonts w:ascii="Arial" w:cs="Arial" w:eastAsia="Arial" w:hAnsi="Arial"/>
          <w:sz w:val="19"/>
          <w:szCs w:val="19"/>
          <w:color w:val="auto"/>
        </w:rPr>
      </w:pPr>
    </w:p>
    <w:p>
      <w:pPr>
        <w:jc w:val="both"/>
        <w:ind w:firstLine="2"/>
        <w:spacing w:after="0" w:line="259" w:lineRule="auto"/>
        <w:tabs>
          <w:tab w:leader="none" w:pos="42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Liens of the Borrower or any of the Restricted Subsidiaries existing on the Closing Date and listed on </w:t>
      </w:r>
      <w:r>
        <w:rPr>
          <w:rFonts w:ascii="Arial" w:cs="Arial" w:eastAsia="Arial" w:hAnsi="Arial"/>
          <w:sz w:val="19"/>
          <w:szCs w:val="19"/>
          <w:u w:val="single" w:color="auto"/>
          <w:color w:val="auto"/>
        </w:rPr>
        <w:t>Schedule 7.01</w:t>
      </w:r>
      <w:r>
        <w:rPr>
          <w:rFonts w:ascii="Arial" w:cs="Arial" w:eastAsia="Arial" w:hAnsi="Arial"/>
          <w:sz w:val="19"/>
          <w:szCs w:val="19"/>
          <w:color w:val="auto"/>
        </w:rPr>
        <w:t xml:space="preserve"> and any modifications, replacements,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Lien does not extend to any additional property other than (A) after-acquired property that is affixed or incorporated into the property covered by such Lien or (B) proceeds and products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individual financings provided by a lender may be cross collateralized to other financings provided by such lender or its affiliates and (ii) the modification, replacement, renewal, extension or refinancing of the obligations secured or benefited by such Liens (if such obligations constitute Permitted Debt);</w:t>
      </w:r>
    </w:p>
    <w:p>
      <w:pPr>
        <w:spacing w:after="0" w:line="70" w:lineRule="exact"/>
        <w:rPr>
          <w:rFonts w:ascii="Arial" w:cs="Arial" w:eastAsia="Arial" w:hAnsi="Arial"/>
          <w:sz w:val="19"/>
          <w:szCs w:val="19"/>
          <w:color w:val="auto"/>
        </w:rPr>
      </w:pPr>
    </w:p>
    <w:p>
      <w:pPr>
        <w:jc w:val="both"/>
        <w:ind w:firstLine="2"/>
        <w:spacing w:after="0" w:line="260" w:lineRule="auto"/>
        <w:tabs>
          <w:tab w:leader="none" w:pos="417"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Liens on assets of, or Equity Interests in, a Person at the time such Person becomes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Liens are not created or Incurred in connection with, or in contemplation of, such other Person becoming such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such Liens are limited to all or a portion of the assets (and improvements on such assets) that secured (or, under the written arrangements under which the Liens arose, could secure) the obligations to which such Liens relate;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purposes of this clause (8), if a Person becomes a Subsidiary, any Subsidiary</w:t>
      </w:r>
    </w:p>
    <w:p>
      <w:pPr>
        <w:spacing w:after="0" w:line="5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12" w:name="page113"/>
    <w:bookmarkEnd w:id="112"/>
    <w:p>
      <w:pPr>
        <w:spacing w:after="0" w:line="287" w:lineRule="auto"/>
        <w:rPr>
          <w:sz w:val="20"/>
          <w:szCs w:val="20"/>
          <w:color w:val="auto"/>
        </w:rPr>
      </w:pPr>
      <w:r>
        <w:rPr>
          <w:rFonts w:ascii="Arial" w:cs="Arial" w:eastAsia="Arial" w:hAnsi="Arial"/>
          <w:sz w:val="19"/>
          <w:szCs w:val="19"/>
          <w:color w:val="auto"/>
        </w:rPr>
        <w:t>of such Person shall be deemed to become a Subsidiary of the Borrower, and any property or assets of such Person or any Subsidiary of such Person shall be deemed acquired by the Borrower at the time of such merger, amalgamation or consolidation;</w:t>
      </w:r>
    </w:p>
    <w:p>
      <w:pPr>
        <w:spacing w:after="0" w:line="44" w:lineRule="exact"/>
        <w:rPr>
          <w:sz w:val="20"/>
          <w:szCs w:val="20"/>
          <w:color w:val="auto"/>
        </w:rPr>
      </w:pPr>
    </w:p>
    <w:p>
      <w:pPr>
        <w:jc w:val="both"/>
        <w:ind w:firstLine="2"/>
        <w:spacing w:after="0" w:line="269" w:lineRule="auto"/>
        <w:tabs>
          <w:tab w:leader="none" w:pos="4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Liens on assets at the time the Borrower or any Restricted Subsidiary acquired the assets, including any acquisition by means of a merger, amalgamation or consolidation with or into the Borrower or such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Liens are not created or Incurred in connection with, or in contemplation of,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Liens are limited to all or a portion of the property or assets (and improvements on such property or assets) that secured (or, under the written arrangements under which the Liens arose, could secure) the obligations to which such Liens relate;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purposes of this clause</w:t>
      </w:r>
    </w:p>
    <w:p>
      <w:pPr>
        <w:spacing w:after="0" w:line="3" w:lineRule="exact"/>
        <w:rPr>
          <w:rFonts w:ascii="Arial" w:cs="Arial" w:eastAsia="Arial" w:hAnsi="Arial"/>
          <w:sz w:val="18"/>
          <w:szCs w:val="18"/>
          <w:color w:val="auto"/>
        </w:rPr>
      </w:pPr>
    </w:p>
    <w:p>
      <w:pPr>
        <w:jc w:val="both"/>
        <w:spacing w:after="0" w:line="256" w:lineRule="auto"/>
        <w:rPr>
          <w:rFonts w:ascii="Arial" w:cs="Arial" w:eastAsia="Arial" w:hAnsi="Arial"/>
          <w:sz w:val="18"/>
          <w:szCs w:val="18"/>
          <w:color w:val="auto"/>
        </w:rPr>
      </w:pPr>
      <w:r>
        <w:rPr>
          <w:rFonts w:ascii="Arial" w:cs="Arial" w:eastAsia="Arial" w:hAnsi="Arial"/>
          <w:sz w:val="19"/>
          <w:szCs w:val="19"/>
          <w:color w:val="auto"/>
        </w:rPr>
        <w:t>(9), if, in connection with an acquisition by means of a merger, amalgamation or consolidation with or into the Borrower or any Restricted Subsidiary, a Person other than the Borrower or Restricted Subsidiary is the successor company with respect thereto, any Subsidiary of such Person shall be deemed to become a Subsidiary of the Borrower or any Restricted Subsidiary, as applicable, and any property or assets of such Person or any such Subsidiary of such Person shall be deemed acquired by the Borrower or any Restricted Subsidiary, as the case may be, at the time of such merger, amalgamation or consolidation;</w:t>
      </w:r>
    </w:p>
    <w:p>
      <w:pPr>
        <w:spacing w:after="0" w:line="74" w:lineRule="exact"/>
        <w:rPr>
          <w:rFonts w:ascii="Arial" w:cs="Arial" w:eastAsia="Arial" w:hAnsi="Arial"/>
          <w:sz w:val="18"/>
          <w:szCs w:val="18"/>
          <w:color w:val="auto"/>
        </w:rPr>
      </w:pPr>
    </w:p>
    <w:p>
      <w:pPr>
        <w:ind w:firstLine="2"/>
        <w:spacing w:after="0" w:line="260" w:lineRule="auto"/>
        <w:tabs>
          <w:tab w:leader="none" w:pos="4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Liens securing Indebtedness or other obligations of a Restricted Subsidiary owing to the Borrower or another Restricted Subsidiary of the Borrower permitted to be Incurred in accordance with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68" w:lineRule="exact"/>
        <w:rPr>
          <w:rFonts w:ascii="Arial" w:cs="Arial" w:eastAsia="Arial" w:hAnsi="Arial"/>
          <w:sz w:val="20"/>
          <w:szCs w:val="20"/>
          <w:color w:val="auto"/>
        </w:rPr>
      </w:pPr>
    </w:p>
    <w:p>
      <w:pPr>
        <w:ind w:firstLine="2"/>
        <w:spacing w:after="0" w:line="260" w:lineRule="auto"/>
        <w:tabs>
          <w:tab w:leader="none" w:pos="413" w:val="left"/>
        </w:tabs>
        <w:numPr>
          <w:ilvl w:val="0"/>
          <w:numId w:val="87"/>
        </w:numPr>
        <w:rPr>
          <w:rFonts w:ascii="Arial" w:cs="Arial" w:eastAsia="Arial" w:hAnsi="Arial"/>
          <w:sz w:val="20"/>
          <w:szCs w:val="20"/>
          <w:color w:val="auto"/>
        </w:rPr>
      </w:pPr>
      <w:r>
        <w:rPr>
          <w:rFonts w:ascii="Arial" w:cs="Arial" w:eastAsia="Arial" w:hAnsi="Arial"/>
          <w:sz w:val="20"/>
          <w:szCs w:val="20"/>
          <w:color w:val="auto"/>
        </w:rPr>
        <w:t>Liens securing Swap Contracts so long as the related Indebtedness is, and is permitted to be under this Agreement, secured by a Lien on the same property securing such Swap Contracts;</w:t>
      </w:r>
    </w:p>
    <w:p>
      <w:pPr>
        <w:spacing w:after="0" w:line="68" w:lineRule="exact"/>
        <w:rPr>
          <w:rFonts w:ascii="Arial" w:cs="Arial" w:eastAsia="Arial" w:hAnsi="Arial"/>
          <w:sz w:val="20"/>
          <w:szCs w:val="20"/>
          <w:color w:val="auto"/>
        </w:rPr>
      </w:pPr>
    </w:p>
    <w:p>
      <w:pPr>
        <w:jc w:val="both"/>
        <w:ind w:firstLine="2"/>
        <w:spacing w:after="0" w:line="250" w:lineRule="auto"/>
        <w:tabs>
          <w:tab w:leader="none" w:pos="414" w:val="left"/>
        </w:tabs>
        <w:numPr>
          <w:ilvl w:val="0"/>
          <w:numId w:val="87"/>
        </w:numPr>
        <w:rPr>
          <w:rFonts w:ascii="Arial" w:cs="Arial" w:eastAsia="Arial" w:hAnsi="Arial"/>
          <w:sz w:val="20"/>
          <w:szCs w:val="20"/>
          <w:color w:val="auto"/>
        </w:rPr>
      </w:pPr>
      <w:r>
        <w:rPr>
          <w:rFonts w:ascii="Arial" w:cs="Arial" w:eastAsia="Arial" w:hAnsi="Arial"/>
          <w:sz w:val="20"/>
          <w:szCs w:val="20"/>
          <w:color w:val="auto"/>
        </w:rPr>
        <w:t>Liens on specific items of inventory or other goods and proceeds of any Person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77" w:lineRule="exact"/>
        <w:rPr>
          <w:rFonts w:ascii="Arial" w:cs="Arial" w:eastAsia="Arial" w:hAnsi="Arial"/>
          <w:sz w:val="20"/>
          <w:szCs w:val="20"/>
          <w:color w:val="auto"/>
        </w:rPr>
      </w:pPr>
    </w:p>
    <w:p>
      <w:pPr>
        <w:ind w:left="400" w:hanging="398"/>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leases, subleases, licenses, sublicenses, occupancy agreements or assignments of or in respect of real or personal property;</w:t>
      </w:r>
    </w:p>
    <w:p>
      <w:pPr>
        <w:spacing w:after="0" w:line="130" w:lineRule="exact"/>
        <w:rPr>
          <w:rFonts w:ascii="Arial" w:cs="Arial" w:eastAsia="Arial" w:hAnsi="Arial"/>
          <w:sz w:val="18"/>
          <w:szCs w:val="18"/>
          <w:color w:val="auto"/>
        </w:rPr>
      </w:pPr>
    </w:p>
    <w:p>
      <w:pPr>
        <w:ind w:firstLine="2"/>
        <w:spacing w:after="0" w:line="260" w:lineRule="auto"/>
        <w:tabs>
          <w:tab w:leader="none" w:pos="405" w:val="left"/>
        </w:tabs>
        <w:numPr>
          <w:ilvl w:val="0"/>
          <w:numId w:val="87"/>
        </w:numPr>
        <w:rPr>
          <w:rFonts w:ascii="Arial" w:cs="Arial" w:eastAsia="Arial" w:hAnsi="Arial"/>
          <w:sz w:val="20"/>
          <w:szCs w:val="20"/>
          <w:color w:val="auto"/>
        </w:rPr>
      </w:pPr>
      <w:r>
        <w:rPr>
          <w:rFonts w:ascii="Arial" w:cs="Arial" w:eastAsia="Arial" w:hAnsi="Arial"/>
          <w:sz w:val="20"/>
          <w:szCs w:val="20"/>
          <w:color w:val="auto"/>
        </w:rPr>
        <w:t>Liens arising from Uniform Commercial Code financing statement filings regarding operating leases entered into by the Borrower and its Restricted Subsidiaries in the ordinary course of business;</w:t>
      </w:r>
    </w:p>
    <w:p>
      <w:pPr>
        <w:spacing w:after="0" w:line="68" w:lineRule="exact"/>
        <w:rPr>
          <w:rFonts w:ascii="Arial" w:cs="Arial" w:eastAsia="Arial" w:hAnsi="Arial"/>
          <w:sz w:val="20"/>
          <w:szCs w:val="20"/>
          <w:color w:val="auto"/>
        </w:rPr>
      </w:pPr>
    </w:p>
    <w:p>
      <w:pPr>
        <w:ind w:left="400" w:hanging="398"/>
        <w:spacing w:after="0"/>
        <w:tabs>
          <w:tab w:leader="none" w:pos="4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Liens in favor of the Borrower or any Subsidiary Guarantor;</w:t>
      </w:r>
    </w:p>
    <w:p>
      <w:pPr>
        <w:spacing w:after="0" w:line="107" w:lineRule="exact"/>
        <w:rPr>
          <w:rFonts w:ascii="Arial" w:cs="Arial" w:eastAsia="Arial" w:hAnsi="Arial"/>
          <w:sz w:val="20"/>
          <w:szCs w:val="20"/>
          <w:color w:val="auto"/>
        </w:rPr>
      </w:pPr>
    </w:p>
    <w:p>
      <w:pPr>
        <w:jc w:val="both"/>
        <w:ind w:firstLine="2"/>
        <w:spacing w:after="0" w:line="246" w:lineRule="auto"/>
        <w:tabs>
          <w:tab w:leader="none" w:pos="413" w:val="left"/>
        </w:tabs>
        <w:numPr>
          <w:ilvl w:val="0"/>
          <w:numId w:val="87"/>
        </w:numPr>
        <w:rPr>
          <w:rFonts w:ascii="Arial" w:cs="Arial" w:eastAsia="Arial" w:hAnsi="Arial"/>
          <w:sz w:val="20"/>
          <w:szCs w:val="20"/>
          <w:color w:val="auto"/>
        </w:rPr>
      </w:pPr>
      <w:r>
        <w:rPr>
          <w:rFonts w:ascii="Arial" w:cs="Arial" w:eastAsia="Arial" w:hAnsi="Arial"/>
          <w:sz w:val="20"/>
          <w:szCs w:val="20"/>
          <w:color w:val="auto"/>
        </w:rPr>
        <w:t>(i) Liens on Receivables Assets, or created in respect of bank accounts into which only the collections in respect of Receivables Assets have been, sold, conveyed, assigned or otherwise transferred or purported to be so sold, conveyed, assigned or otherwise transferred in connection with a Qualified Receivables Factoring and/or Qualified Receivables Financing and (ii) Liens securing Indebtedness or other obligations of any Receivables Subsidiary;</w:t>
      </w:r>
    </w:p>
    <w:p>
      <w:pPr>
        <w:spacing w:after="0" w:line="83" w:lineRule="exact"/>
        <w:rPr>
          <w:rFonts w:ascii="Arial" w:cs="Arial" w:eastAsia="Arial" w:hAnsi="Arial"/>
          <w:sz w:val="20"/>
          <w:szCs w:val="20"/>
          <w:color w:val="auto"/>
        </w:rPr>
      </w:pPr>
    </w:p>
    <w:p>
      <w:pPr>
        <w:ind w:firstLine="2"/>
        <w:spacing w:after="0" w:line="260" w:lineRule="auto"/>
        <w:tabs>
          <w:tab w:leader="none" w:pos="412" w:val="left"/>
        </w:tabs>
        <w:numPr>
          <w:ilvl w:val="0"/>
          <w:numId w:val="87"/>
        </w:numPr>
        <w:rPr>
          <w:rFonts w:ascii="Arial" w:cs="Arial" w:eastAsia="Arial" w:hAnsi="Arial"/>
          <w:sz w:val="20"/>
          <w:szCs w:val="20"/>
          <w:color w:val="auto"/>
        </w:rPr>
      </w:pPr>
      <w:r>
        <w:rPr>
          <w:rFonts w:ascii="Arial" w:cs="Arial" w:eastAsia="Arial" w:hAnsi="Arial"/>
          <w:sz w:val="20"/>
          <w:szCs w:val="20"/>
          <w:color w:val="auto"/>
        </w:rPr>
        <w:t>deposits made or other security provided in the ordinary course of business to secure liability to insurance carriers or under self-insurance arrangements in respect of such obligations;</w:t>
      </w:r>
    </w:p>
    <w:p>
      <w:pPr>
        <w:spacing w:after="0" w:line="68" w:lineRule="exact"/>
        <w:rPr>
          <w:rFonts w:ascii="Arial" w:cs="Arial" w:eastAsia="Arial" w:hAnsi="Arial"/>
          <w:sz w:val="20"/>
          <w:szCs w:val="20"/>
          <w:color w:val="auto"/>
        </w:rPr>
      </w:pPr>
    </w:p>
    <w:p>
      <w:pPr>
        <w:ind w:left="400" w:hanging="398"/>
        <w:spacing w:after="0"/>
        <w:tabs>
          <w:tab w:leader="none" w:pos="4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Liens on the Equity Interests of Unrestricted Subsidiaries;</w:t>
      </w:r>
    </w:p>
    <w:p>
      <w:pPr>
        <w:spacing w:after="0" w:line="107" w:lineRule="exact"/>
        <w:rPr>
          <w:rFonts w:ascii="Arial" w:cs="Arial" w:eastAsia="Arial" w:hAnsi="Arial"/>
          <w:sz w:val="20"/>
          <w:szCs w:val="20"/>
          <w:color w:val="auto"/>
        </w:rPr>
      </w:pPr>
    </w:p>
    <w:p>
      <w:pPr>
        <w:ind w:left="400" w:hanging="398"/>
        <w:spacing w:after="0"/>
        <w:tabs>
          <w:tab w:leader="none" w:pos="4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grants of intellectual property, software and other technology licenses;</w:t>
      </w:r>
    </w:p>
    <w:p>
      <w:pPr>
        <w:spacing w:after="0" w:line="107" w:lineRule="exact"/>
        <w:rPr>
          <w:rFonts w:ascii="Arial" w:cs="Arial" w:eastAsia="Arial" w:hAnsi="Arial"/>
          <w:sz w:val="20"/>
          <w:szCs w:val="20"/>
          <w:color w:val="auto"/>
        </w:rPr>
      </w:pPr>
    </w:p>
    <w:p>
      <w:pPr>
        <w:jc w:val="both"/>
        <w:ind w:firstLine="2"/>
        <w:spacing w:after="0" w:line="250" w:lineRule="auto"/>
        <w:tabs>
          <w:tab w:leader="none" w:pos="421" w:val="left"/>
        </w:tabs>
        <w:numPr>
          <w:ilvl w:val="0"/>
          <w:numId w:val="87"/>
        </w:numPr>
        <w:rPr>
          <w:rFonts w:ascii="Arial" w:cs="Arial" w:eastAsia="Arial" w:hAnsi="Arial"/>
          <w:sz w:val="20"/>
          <w:szCs w:val="20"/>
          <w:color w:val="auto"/>
        </w:rPr>
      </w:pPr>
      <w:r>
        <w:rPr>
          <w:rFonts w:ascii="Arial" w:cs="Arial" w:eastAsia="Arial" w:hAnsi="Arial"/>
          <w:sz w:val="20"/>
          <w:szCs w:val="20"/>
          <w:color w:val="auto"/>
        </w:rPr>
        <w:t>judgment and attachment Liens not giving rise to an Event of Default pursuant to Section 8.01(f), (g) or (h) and notices of lis pendens and associated rights related to litigation being contested in good faith by appropriate proceedings and for which adequate reserves have been made;</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13" w:name="page114"/>
    <w:bookmarkEnd w:id="113"/>
    <w:p>
      <w:pPr>
        <w:ind w:firstLine="2"/>
        <w:spacing w:after="0" w:line="260" w:lineRule="auto"/>
        <w:tabs>
          <w:tab w:leader="none" w:pos="409" w:val="left"/>
        </w:tabs>
        <w:numPr>
          <w:ilvl w:val="0"/>
          <w:numId w:val="88"/>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in the ordinary course of business;</w:t>
      </w:r>
    </w:p>
    <w:p>
      <w:pPr>
        <w:spacing w:after="0" w:line="68" w:lineRule="exact"/>
        <w:rPr>
          <w:rFonts w:ascii="Arial" w:cs="Arial" w:eastAsia="Arial" w:hAnsi="Arial"/>
          <w:sz w:val="20"/>
          <w:szCs w:val="20"/>
          <w:color w:val="auto"/>
        </w:rPr>
      </w:pPr>
    </w:p>
    <w:p>
      <w:pPr>
        <w:ind w:firstLine="2"/>
        <w:spacing w:after="0" w:line="260" w:lineRule="auto"/>
        <w:tabs>
          <w:tab w:leader="none" w:pos="409" w:val="left"/>
        </w:tabs>
        <w:numPr>
          <w:ilvl w:val="0"/>
          <w:numId w:val="88"/>
        </w:numPr>
        <w:rPr>
          <w:rFonts w:ascii="Arial" w:cs="Arial" w:eastAsia="Arial" w:hAnsi="Arial"/>
          <w:sz w:val="20"/>
          <w:szCs w:val="20"/>
          <w:color w:val="auto"/>
        </w:rPr>
      </w:pPr>
      <w:r>
        <w:rPr>
          <w:rFonts w:ascii="Arial" w:cs="Arial" w:eastAsia="Arial" w:hAnsi="Arial"/>
          <w:sz w:val="20"/>
          <w:szCs w:val="20"/>
          <w:color w:val="auto"/>
        </w:rPr>
        <w:t>Liens Incurred to secure Cash Management Services and other “bank products”, including those owed to a lender under the ABL Credit Agreement (or any Affiliate of such lender);</w:t>
      </w:r>
    </w:p>
    <w:p>
      <w:pPr>
        <w:spacing w:after="0" w:line="68" w:lineRule="exact"/>
        <w:rPr>
          <w:rFonts w:ascii="Arial" w:cs="Arial" w:eastAsia="Arial" w:hAnsi="Arial"/>
          <w:sz w:val="20"/>
          <w:szCs w:val="20"/>
          <w:color w:val="auto"/>
        </w:rPr>
      </w:pPr>
    </w:p>
    <w:p>
      <w:pPr>
        <w:jc w:val="both"/>
        <w:ind w:firstLine="2"/>
        <w:spacing w:after="0" w:line="275" w:lineRule="auto"/>
        <w:tabs>
          <w:tab w:leader="none" w:pos="408"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to secure any refinancing, refunding, extension, renewal or replacement (or successive refinancings, refundings, extensions, renewals or replacements) as a whole, or in part, of any Indebtedness secured by any Lien referred to in clauses (6), (7), (8), (9), (11) or</w:t>
      </w:r>
    </w:p>
    <w:p>
      <w:pPr>
        <w:jc w:val="both"/>
        <w:ind w:firstLine="2"/>
        <w:spacing w:after="0" w:line="270" w:lineRule="auto"/>
        <w:tabs>
          <w:tab w:leader="none" w:pos="3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such new Lien shall be limited to all or part of the same property that secured (or, under the written arrangements under which the original Lien arose, could secure) the original Lien (plus any replacements, additions, accessions and improvements on such property), (y) the Indebtedness secured by such Lien at such time is not increased to any amount greater than the sum of (A) the outstanding principal amount or, if greater, committed amount of the Indebtedness described under clauses (6), (7), (8), (9), (11) or (24) of this definition at the time the original Lien became a Permitted Lien, and (B) an amount necessary to pay any Refinancing Expenses related to such refinancing, refunding, extension, renewal or replacement and (z) any amounts Incurred under this clause (23) as refinancing indebtedness of clause (24) of this definition hereunder shall be secured to the same extent, including with respect to any subordination provisions, and subject to Applicable Intercreditor Arrangements;</w:t>
      </w:r>
    </w:p>
    <w:p>
      <w:pPr>
        <w:spacing w:after="0" w:line="65" w:lineRule="exact"/>
        <w:rPr>
          <w:sz w:val="20"/>
          <w:szCs w:val="20"/>
          <w:color w:val="auto"/>
        </w:rPr>
      </w:pPr>
    </w:p>
    <w:p>
      <w:pPr>
        <w:jc w:val="both"/>
        <w:ind w:firstLine="2"/>
        <w:spacing w:after="0" w:line="255" w:lineRule="auto"/>
        <w:tabs>
          <w:tab w:leader="none" w:pos="409"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Liens securing Pari Passu Indebtedness permitted to be Incurred pursuant to Section 7.03 if at the time of any Incurrence of such Pari Passu Indebtedness and after giving Pro Forma Effect thereto (i) with respect to any such Pari Passu Indebtedness that will be secured by a Lien on the Collateral on a first lien “equal and ratable” basis with the Liens securing the Obligations, the Consolidated First Lien Net Leverage Ratio would be less than or equal to (x) 3.00 to 1.00 or (y) if Incurred in connection with an acquisition or similar Investment, the Consolidated First Lien Net Leverage Ratio immediately prior to such incurrence, or (ii) with respect to any such Pari Passu Indebtedness that will be secured by a Lien on the Collateral on a “junior” basis to the Liens securing the Obligations, the Consolidated Senior Secured Net Leverage Ratio would be less than or equal to (x) 3.50 to 1.00 or (y) if Incurred in connection with an acquisition or similar Investment, the Consolidated Senior Secured Net Leverage Ratio immediately prior to such incurrence;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 clauses (i) and (ii), such Liens are subject to Applicable Intercreditor Arrangements;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Pari Passu Indebtedness in the form of term loans secured by Liens on the Collateral in reliance on clause (i) above (to the extent denominated in Dollars) shall be subject to the MFN Provision;</w:t>
      </w:r>
    </w:p>
    <w:p>
      <w:pPr>
        <w:spacing w:after="0" w:line="78" w:lineRule="exact"/>
        <w:rPr>
          <w:rFonts w:ascii="Arial" w:cs="Arial" w:eastAsia="Arial" w:hAnsi="Arial"/>
          <w:sz w:val="19"/>
          <w:szCs w:val="19"/>
          <w:color w:val="auto"/>
        </w:rPr>
      </w:pPr>
    </w:p>
    <w:p>
      <w:pPr>
        <w:ind w:firstLine="2"/>
        <w:spacing w:after="0" w:line="260" w:lineRule="auto"/>
        <w:tabs>
          <w:tab w:leader="none" w:pos="404" w:val="left"/>
        </w:tabs>
        <w:numPr>
          <w:ilvl w:val="0"/>
          <w:numId w:val="89"/>
        </w:numPr>
        <w:rPr>
          <w:rFonts w:ascii="Arial" w:cs="Arial" w:eastAsia="Arial" w:hAnsi="Arial"/>
          <w:sz w:val="20"/>
          <w:szCs w:val="20"/>
          <w:color w:val="auto"/>
        </w:rPr>
      </w:pPr>
      <w:r>
        <w:rPr>
          <w:rFonts w:ascii="Arial" w:cs="Arial" w:eastAsia="Arial" w:hAnsi="Arial"/>
          <w:sz w:val="20"/>
          <w:szCs w:val="20"/>
          <w:color w:val="auto"/>
        </w:rPr>
        <w:t>other Liens securing obligations the principal amount of which does not exceed the greater of (x) $350,000,000 and (y) 18.00% of Four Quarter Consolidated EBITDA at any one time outstanding;</w:t>
      </w:r>
    </w:p>
    <w:p>
      <w:pPr>
        <w:spacing w:after="0" w:line="68" w:lineRule="exact"/>
        <w:rPr>
          <w:rFonts w:ascii="Arial" w:cs="Arial" w:eastAsia="Arial" w:hAnsi="Arial"/>
          <w:sz w:val="20"/>
          <w:szCs w:val="20"/>
          <w:color w:val="auto"/>
        </w:rPr>
      </w:pPr>
    </w:p>
    <w:p>
      <w:pPr>
        <w:ind w:left="420" w:hanging="418"/>
        <w:spacing w:after="0"/>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on Equity Interests or the assets of a joint venture to secure Indebtedness of such joint venture Incurred pursuant to clause</w:t>
      </w:r>
    </w:p>
    <w:p>
      <w:pPr>
        <w:spacing w:after="0" w:line="38" w:lineRule="exact"/>
        <w:rPr>
          <w:rFonts w:ascii="Arial" w:cs="Arial" w:eastAsia="Arial" w:hAnsi="Arial"/>
          <w:sz w:val="18"/>
          <w:szCs w:val="18"/>
          <w:color w:val="auto"/>
        </w:rPr>
      </w:pPr>
    </w:p>
    <w:p>
      <w:pPr>
        <w:ind w:left="380" w:hanging="378"/>
        <w:spacing w:after="0"/>
        <w:tabs>
          <w:tab w:leader="none" w:pos="3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of </w:t>
      </w:r>
      <w:r>
        <w:rPr>
          <w:rFonts w:ascii="Arial" w:cs="Arial" w:eastAsia="Arial" w:hAnsi="Arial"/>
          <w:sz w:val="20"/>
          <w:szCs w:val="20"/>
          <w:u w:val="single" w:color="auto"/>
          <w:color w:val="auto"/>
        </w:rPr>
        <w:t>Section 7.03(b)</w:t>
      </w:r>
      <w:r>
        <w:rPr>
          <w:rFonts w:ascii="Arial" w:cs="Arial" w:eastAsia="Arial" w:hAnsi="Arial"/>
          <w:sz w:val="20"/>
          <w:szCs w:val="20"/>
          <w:color w:val="auto"/>
        </w:rPr>
        <w:t>;</w:t>
      </w:r>
    </w:p>
    <w:p>
      <w:pPr>
        <w:spacing w:after="0" w:line="91" w:lineRule="exact"/>
        <w:rPr>
          <w:rFonts w:ascii="Arial" w:cs="Arial" w:eastAsia="Arial" w:hAnsi="Arial"/>
          <w:sz w:val="20"/>
          <w:szCs w:val="20"/>
          <w:color w:val="auto"/>
        </w:rPr>
      </w:pPr>
    </w:p>
    <w:p>
      <w:pPr>
        <w:ind w:left="400" w:hanging="398"/>
        <w:spacing w:after="0"/>
        <w:tabs>
          <w:tab w:leader="none" w:pos="4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ind w:left="400" w:hanging="398"/>
        <w:spacing w:after="0"/>
        <w:tabs>
          <w:tab w:leader="none" w:pos="4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Liens created solely for the benefit of (or to secure) all of the Obligations;</w:t>
      </w:r>
    </w:p>
    <w:p>
      <w:pPr>
        <w:spacing w:after="0" w:line="107" w:lineRule="exact"/>
        <w:rPr>
          <w:rFonts w:ascii="Arial" w:cs="Arial" w:eastAsia="Arial" w:hAnsi="Arial"/>
          <w:sz w:val="20"/>
          <w:szCs w:val="20"/>
          <w:color w:val="auto"/>
        </w:rPr>
      </w:pPr>
    </w:p>
    <w:p>
      <w:pPr>
        <w:jc w:val="both"/>
        <w:ind w:firstLine="2"/>
        <w:spacing w:after="0" w:line="250" w:lineRule="auto"/>
        <w:tabs>
          <w:tab w:leader="none" w:pos="401"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Liens on property or assets used to redeem, repay, defease or to satisfy and discharge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redemption, repayment, defeasance or satisfaction and discharge is not prohibited by this Agreement and that such deposit shall be deemed for purposes of Section 7.06 (to the extent applicable) to be a prepayment of such Indebtedness;</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14" w:name="page115"/>
    <w:bookmarkEnd w:id="114"/>
    <w:p>
      <w:pPr>
        <w:ind w:firstLine="2"/>
        <w:spacing w:after="0" w:line="260" w:lineRule="auto"/>
        <w:tabs>
          <w:tab w:leader="none" w:pos="398"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and exportation of goods in the ordinary course of business;</w:t>
      </w:r>
    </w:p>
    <w:p>
      <w:pPr>
        <w:spacing w:after="0" w:line="68" w:lineRule="exact"/>
        <w:rPr>
          <w:rFonts w:ascii="Arial" w:cs="Arial" w:eastAsia="Arial" w:hAnsi="Arial"/>
          <w:sz w:val="20"/>
          <w:szCs w:val="20"/>
          <w:color w:val="auto"/>
        </w:rPr>
      </w:pPr>
    </w:p>
    <w:p>
      <w:pPr>
        <w:jc w:val="both"/>
        <w:ind w:firstLine="2"/>
        <w:spacing w:after="0" w:line="244" w:lineRule="auto"/>
        <w:tabs>
          <w:tab w:leader="none" w:pos="426"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Liens (i) of a collection bank arising under Section 4-210 of the Uniform Commercial Code,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86" w:lineRule="exact"/>
        <w:rPr>
          <w:rFonts w:ascii="Arial" w:cs="Arial" w:eastAsia="Arial" w:hAnsi="Arial"/>
          <w:sz w:val="20"/>
          <w:szCs w:val="20"/>
          <w:color w:val="auto"/>
        </w:rPr>
      </w:pPr>
    </w:p>
    <w:p>
      <w:pPr>
        <w:jc w:val="both"/>
        <w:ind w:firstLine="2"/>
        <w:spacing w:after="0" w:line="244" w:lineRule="auto"/>
        <w:tabs>
          <w:tab w:leader="none" w:pos="396"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Liens that are contractual rights of set-off (i) relating to the establishment of depository relations with banks not given in connection with the issuance of Indebtedness; (ii) relating to pooled deposit or sweep accounts of the Borrower or any Restricted Subsidiary to permit satisfaction of overdraft or similar obligations incurred in the ordinary course of business of the Borrower and its Restricted Subsidiaries; or (iii) relating to purchase orders and other agreements entered into with customers of the Borrower or any of its Restricted Subsidiaries in the ordinary course of business;</w:t>
      </w:r>
    </w:p>
    <w:p>
      <w:pPr>
        <w:spacing w:after="0" w:line="86" w:lineRule="exact"/>
        <w:rPr>
          <w:rFonts w:ascii="Arial" w:cs="Arial" w:eastAsia="Arial" w:hAnsi="Arial"/>
          <w:sz w:val="20"/>
          <w:szCs w:val="20"/>
          <w:color w:val="auto"/>
        </w:rPr>
      </w:pPr>
    </w:p>
    <w:p>
      <w:pPr>
        <w:jc w:val="both"/>
        <w:ind w:firstLine="2"/>
        <w:spacing w:after="0" w:line="250" w:lineRule="auto"/>
        <w:tabs>
          <w:tab w:leader="none" w:pos="397"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Liens on cash proceeds of Indebtedness (and related escrow accounts) in connection with the issuance of such Indebtedness into (and pending the release from) a customary escrow arrangement, to the extent such Indebtedness is incurred in compliance with Section 7.03;</w:t>
      </w:r>
    </w:p>
    <w:p>
      <w:pPr>
        <w:spacing w:after="0" w:line="77" w:lineRule="exact"/>
        <w:rPr>
          <w:rFonts w:ascii="Arial" w:cs="Arial" w:eastAsia="Arial" w:hAnsi="Arial"/>
          <w:sz w:val="20"/>
          <w:szCs w:val="20"/>
          <w:color w:val="auto"/>
        </w:rPr>
      </w:pPr>
    </w:p>
    <w:p>
      <w:pPr>
        <w:ind w:firstLine="2"/>
        <w:spacing w:after="0" w:line="260" w:lineRule="auto"/>
        <w:tabs>
          <w:tab w:leader="none" w:pos="39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encumbrance or restriction (including put and call arrangements) with respect to Equity Interests of any joint venture or similar arrangement pursuant to any joint venture or similar agreement;</w:t>
      </w:r>
    </w:p>
    <w:p>
      <w:pPr>
        <w:spacing w:after="0" w:line="68" w:lineRule="exact"/>
        <w:rPr>
          <w:rFonts w:ascii="Arial" w:cs="Arial" w:eastAsia="Arial" w:hAnsi="Arial"/>
          <w:sz w:val="20"/>
          <w:szCs w:val="20"/>
          <w:color w:val="auto"/>
        </w:rPr>
      </w:pPr>
    </w:p>
    <w:p>
      <w:pPr>
        <w:ind w:left="400" w:hanging="398"/>
        <w:spacing w:after="0"/>
        <w:tabs>
          <w:tab w:leader="none" w:pos="4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securing the financing of the premiums with respect thereto;</w:t>
      </w:r>
    </w:p>
    <w:p>
      <w:pPr>
        <w:spacing w:after="0" w:line="107" w:lineRule="exact"/>
        <w:rPr>
          <w:rFonts w:ascii="Arial" w:cs="Arial" w:eastAsia="Arial" w:hAnsi="Arial"/>
          <w:sz w:val="20"/>
          <w:szCs w:val="20"/>
          <w:color w:val="auto"/>
        </w:rPr>
      </w:pPr>
    </w:p>
    <w:p>
      <w:pPr>
        <w:ind w:left="400" w:hanging="398"/>
        <w:spacing w:after="0"/>
        <w:tabs>
          <w:tab w:leader="none" w:pos="4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Liens on vehicles or equipment of the Borrower or any Restricted Subsidiary granted in the ordinary course of business;</w:t>
      </w:r>
    </w:p>
    <w:p>
      <w:pPr>
        <w:spacing w:after="0" w:line="119" w:lineRule="exact"/>
        <w:rPr>
          <w:rFonts w:ascii="Arial" w:cs="Arial" w:eastAsia="Arial" w:hAnsi="Arial"/>
          <w:sz w:val="19"/>
          <w:szCs w:val="19"/>
          <w:color w:val="auto"/>
        </w:rPr>
      </w:pPr>
    </w:p>
    <w:p>
      <w:pPr>
        <w:ind w:firstLine="2"/>
        <w:spacing w:after="0" w:line="240" w:lineRule="exact"/>
        <w:tabs>
          <w:tab w:leader="none" w:pos="399"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Liens on assets of non</w:t>
      </w:r>
      <w:r>
        <w:rPr>
          <w:rFonts w:ascii="MS PGothic" w:cs="MS PGothic" w:eastAsia="MS PGothic" w:hAnsi="MS PGothic"/>
          <w:sz w:val="20"/>
          <w:szCs w:val="20"/>
          <w:color w:val="auto"/>
        </w:rPr>
        <w:t>‑</w:t>
      </w:r>
      <w:r>
        <w:rPr>
          <w:rFonts w:ascii="Arial" w:cs="Arial" w:eastAsia="Arial" w:hAnsi="Arial"/>
          <w:sz w:val="20"/>
          <w:szCs w:val="20"/>
          <w:color w:val="auto"/>
        </w:rPr>
        <w:t>Loan Parties securing Indebtedness of non-Loan Parties permitted to be Incurred in accordance with Section 7.03, which Liens shall not extend to any assets of any Loan Parties;</w:t>
      </w:r>
    </w:p>
    <w:p>
      <w:pPr>
        <w:spacing w:after="0" w:line="87" w:lineRule="exact"/>
        <w:rPr>
          <w:rFonts w:ascii="Arial" w:cs="Arial" w:eastAsia="Arial" w:hAnsi="Arial"/>
          <w:sz w:val="20"/>
          <w:szCs w:val="20"/>
          <w:color w:val="auto"/>
        </w:rPr>
      </w:pPr>
    </w:p>
    <w:p>
      <w:pPr>
        <w:jc w:val="both"/>
        <w:ind w:firstLine="2"/>
        <w:spacing w:after="0" w:line="263" w:lineRule="auto"/>
        <w:tabs>
          <w:tab w:leader="none" w:pos="417" w:val="left"/>
        </w:tabs>
        <w:numPr>
          <w:ilvl w:val="0"/>
          <w:numId w:val="92"/>
        </w:numPr>
        <w:rPr>
          <w:rFonts w:ascii="Arial" w:cs="Arial" w:eastAsia="Arial" w:hAnsi="Arial"/>
          <w:sz w:val="19"/>
          <w:szCs w:val="19"/>
          <w:color w:val="auto"/>
        </w:rPr>
      </w:pPr>
      <w:r>
        <w:rPr>
          <w:rFonts w:ascii="Arial" w:cs="Arial" w:eastAsia="Arial" w:hAnsi="Arial"/>
          <w:sz w:val="19"/>
          <w:szCs w:val="19"/>
          <w:color w:val="auto"/>
        </w:rPr>
        <w:t>Liens disclosed by the final title insurance policies delivered subsequent to the Closing Date and any replacement, extension or renewal of any such Liens (so long as the Indebtedness and other obligations secured by such replacement, extension or renewal Liens are permitted by this Agreement); provided that such replacement, extension or renewal Liens do not cover any property other than the property that was subject to such Liens prior to such replacement, extension or renewal;</w:t>
      </w:r>
    </w:p>
    <w:p>
      <w:pPr>
        <w:spacing w:after="0" w:line="68" w:lineRule="exact"/>
        <w:rPr>
          <w:rFonts w:ascii="Arial" w:cs="Arial" w:eastAsia="Arial" w:hAnsi="Arial"/>
          <w:sz w:val="19"/>
          <w:szCs w:val="19"/>
          <w:color w:val="auto"/>
        </w:rPr>
      </w:pPr>
    </w:p>
    <w:p>
      <w:pPr>
        <w:jc w:val="both"/>
        <w:ind w:firstLine="2"/>
        <w:spacing w:after="0" w:line="282" w:lineRule="auto"/>
        <w:tabs>
          <w:tab w:leader="none" w:pos="4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Liens solely on any cash earnest money deposits made by the Borrower or any Restricted Subsidiary in connection with any letter of intent or other agreement in respect of any Permitted Investment, (b) Liens on advances of cash or Cash Equivalents in favor of the seller of any property to be acquired in a Permitted Investment to be applied against the purchase price for such Investment and (c) Liens on cash collateral in respect of letters of credit entered into in the ordinary course of business;</w:t>
      </w:r>
    </w:p>
    <w:p>
      <w:pPr>
        <w:spacing w:after="0" w:line="53" w:lineRule="exact"/>
        <w:rPr>
          <w:rFonts w:ascii="Arial" w:cs="Arial" w:eastAsia="Arial" w:hAnsi="Arial"/>
          <w:sz w:val="18"/>
          <w:szCs w:val="18"/>
          <w:color w:val="auto"/>
        </w:rPr>
      </w:pPr>
    </w:p>
    <w:p>
      <w:pPr>
        <w:ind w:left="400" w:hanging="398"/>
        <w:spacing w:after="0"/>
        <w:tabs>
          <w:tab w:leader="none" w:pos="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prior rights of consignees and their lenders under consignment arrangements entered into in the ordinary course of business;</w:t>
      </w:r>
    </w:p>
    <w:p>
      <w:pPr>
        <w:spacing w:after="0" w:line="130" w:lineRule="exact"/>
        <w:rPr>
          <w:rFonts w:ascii="Arial" w:cs="Arial" w:eastAsia="Arial" w:hAnsi="Arial"/>
          <w:sz w:val="18"/>
          <w:szCs w:val="18"/>
          <w:color w:val="auto"/>
        </w:rPr>
      </w:pPr>
    </w:p>
    <w:p>
      <w:pPr>
        <w:ind w:firstLine="2"/>
        <w:spacing w:after="0" w:line="260" w:lineRule="auto"/>
        <w:tabs>
          <w:tab w:leader="none" w:pos="412"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Liens on securities that are the subject of repurchase agreements constituting Cash Equivalents under clause (4) of the definition thereof;</w:t>
      </w:r>
    </w:p>
    <w:p>
      <w:pPr>
        <w:spacing w:after="0" w:line="5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15" w:name="page116"/>
    <w:bookmarkEnd w:id="115"/>
    <w:p>
      <w:pPr>
        <w:ind w:left="380" w:firstLine="2"/>
        <w:spacing w:after="0" w:line="287" w:lineRule="auto"/>
        <w:tabs>
          <w:tab w:leader="none" w:pos="798" w:val="left"/>
        </w:tabs>
        <w:numPr>
          <w:ilvl w:val="0"/>
          <w:numId w:val="93"/>
        </w:numPr>
        <w:rPr>
          <w:rFonts w:ascii="Arial" w:cs="Arial" w:eastAsia="Arial" w:hAnsi="Arial"/>
          <w:sz w:val="19"/>
          <w:szCs w:val="19"/>
          <w:color w:val="auto"/>
        </w:rPr>
      </w:pPr>
      <w:r>
        <w:rPr>
          <w:rFonts w:ascii="Arial" w:cs="Arial" w:eastAsia="Arial" w:hAnsi="Arial"/>
          <w:sz w:val="19"/>
          <w:szCs w:val="19"/>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44" w:lineRule="exact"/>
        <w:rPr>
          <w:rFonts w:ascii="Arial" w:cs="Arial" w:eastAsia="Arial" w:hAnsi="Arial"/>
          <w:sz w:val="19"/>
          <w:szCs w:val="19"/>
          <w:color w:val="auto"/>
        </w:rPr>
      </w:pPr>
    </w:p>
    <w:p>
      <w:pPr>
        <w:jc w:val="both"/>
        <w:ind w:left="380" w:firstLine="2"/>
        <w:spacing w:after="0" w:line="250" w:lineRule="auto"/>
        <w:tabs>
          <w:tab w:leader="none" w:pos="7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rights reserved or vested in any Person by the terms of any lease, license, franchise, grant or permit held by the Borrower or any of its Restricted Subsidiaries or by a statutory provision, to terminate any such lease, license, franchise, grant or permit, or to require annual or periodic payments as a condition to the continuance thereof;</w:t>
      </w:r>
    </w:p>
    <w:p>
      <w:pPr>
        <w:spacing w:after="0" w:line="77" w:lineRule="exact"/>
        <w:rPr>
          <w:rFonts w:ascii="Arial" w:cs="Arial" w:eastAsia="Arial" w:hAnsi="Arial"/>
          <w:sz w:val="20"/>
          <w:szCs w:val="20"/>
          <w:color w:val="auto"/>
        </w:rPr>
      </w:pPr>
    </w:p>
    <w:p>
      <w:pPr>
        <w:ind w:left="780" w:hanging="398"/>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restrictive covenants affecting the use to which real property may be put; provided that such covenants are complied with; and</w:t>
      </w:r>
    </w:p>
    <w:p>
      <w:pPr>
        <w:spacing w:after="0" w:line="130" w:lineRule="exact"/>
        <w:rPr>
          <w:rFonts w:ascii="Arial" w:cs="Arial" w:eastAsia="Arial" w:hAnsi="Arial"/>
          <w:sz w:val="18"/>
          <w:szCs w:val="18"/>
          <w:color w:val="auto"/>
        </w:rPr>
      </w:pPr>
    </w:p>
    <w:p>
      <w:pPr>
        <w:ind w:left="380" w:firstLine="2"/>
        <w:spacing w:after="0" w:line="260" w:lineRule="auto"/>
        <w:tabs>
          <w:tab w:leader="none" w:pos="776" w:val="left"/>
        </w:tabs>
        <w:numPr>
          <w:ilvl w:val="0"/>
          <w:numId w:val="93"/>
        </w:numPr>
        <w:rPr>
          <w:rFonts w:ascii="Arial" w:cs="Arial" w:eastAsia="Arial" w:hAnsi="Arial"/>
          <w:sz w:val="20"/>
          <w:szCs w:val="20"/>
          <w:color w:val="auto"/>
        </w:rPr>
      </w:pPr>
      <w:r>
        <w:rPr>
          <w:rFonts w:ascii="Arial" w:cs="Arial" w:eastAsia="Arial" w:hAnsi="Arial"/>
          <w:sz w:val="20"/>
          <w:szCs w:val="20"/>
          <w:color w:val="auto"/>
        </w:rPr>
        <w:t>Liens incurred or deemed incurred in the ordinary course of business in connection with supply-chain financing programs or similar arrangements.</w:t>
      </w:r>
    </w:p>
    <w:p>
      <w:pPr>
        <w:spacing w:after="0" w:line="69" w:lineRule="exact"/>
        <w:rPr>
          <w:sz w:val="20"/>
          <w:szCs w:val="20"/>
          <w:color w:val="auto"/>
        </w:rPr>
      </w:pPr>
    </w:p>
    <w:p>
      <w:pPr>
        <w:jc w:val="both"/>
        <w:ind w:left="760" w:firstLine="749"/>
        <w:spacing w:after="0" w:line="269" w:lineRule="auto"/>
        <w:rPr>
          <w:sz w:val="20"/>
          <w:szCs w:val="20"/>
          <w:color w:val="auto"/>
        </w:rPr>
      </w:pPr>
      <w:r>
        <w:rPr>
          <w:rFonts w:ascii="Arial" w:cs="Arial" w:eastAsia="Arial" w:hAnsi="Arial"/>
          <w:sz w:val="18"/>
          <w:szCs w:val="18"/>
          <w:color w:val="auto"/>
        </w:rPr>
        <w:t>For all purposes hereunder, (w) a Lien need not be Incurred solely by reference to one category of Permitted Liens described in this definition but may be Incurred under any combination of such categories (including in part under one such category and in part under any other such category), (x) in the event that a Lien (or any portion thereof) meets the criteria of one or more of such categories of Permitted Liens, the Borrower shall, in its sole discretion, classify or reclassify such Lien (or any portion thereof) in any manner that complies with this definition, (y) in the event that a portion of the Indebtedness secured by a Lien could be classified as secured in part pursuant to clause (6) (solely with respect to Indebtedness Incurred pursuant to the Ratio-Based Incremental Facility) or (24) above (giving effect to the Incurrence of such portion of such Indebtedness), the Borrower in its sole discretion, may classify such portion of such Indebtedness (and any obligations in respect thereof) as having been secured pursuant to clause (6) (solely with respect to Indebtedness Incurred pursuant to the Ratio-Based Incremental Facility) or (24) above and thereafter the remainder of the Indebtedness as having been secured pursuant to one or more of the other clauses of this definition and (z) in the event that a portion of the Indebtedness secured by a Lien could be classified as secured in part pursuant to clause (6) (solely with respect to Indebtedness Incurred pursuant to the Ratio-Based Incremental Facility) or (24) above (giving effect to the Incurrence of such portion of such Indebtedness), any calculation of the Consolidated First Lien Net Leverage Ratio on such date of determination shall not include any such Indebtedness (and shall not give effect to any netting of Indebtedness from the proceeds thereof) to the extent secured pursuant to any such other clause of this definition.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Parent</w:t>
      </w:r>
      <w:r>
        <w:rPr>
          <w:rFonts w:ascii="Arial" w:cs="Arial" w:eastAsia="Arial" w:hAnsi="Arial"/>
          <w:sz w:val="18"/>
          <w:szCs w:val="18"/>
          <w:color w:val="auto"/>
        </w:rPr>
        <w:t>” means (a) any direct or indirect parent of the Borrower so long as a Permitted Holder pursuant to clause (a) or</w:t>
      </w:r>
    </w:p>
    <w:p>
      <w:pPr>
        <w:spacing w:after="0" w:line="39" w:lineRule="exact"/>
        <w:rPr>
          <w:sz w:val="20"/>
          <w:szCs w:val="20"/>
          <w:color w:val="auto"/>
        </w:rPr>
      </w:pPr>
    </w:p>
    <w:p>
      <w:pPr>
        <w:jc w:val="both"/>
        <w:ind w:firstLine="8"/>
        <w:spacing w:after="0"/>
        <w:tabs>
          <w:tab w:leader="none" w:pos="287" w:val="left"/>
        </w:tabs>
        <w:numPr>
          <w:ilvl w:val="0"/>
          <w:numId w:val="94"/>
        </w:numPr>
        <w:rPr>
          <w:rFonts w:ascii="Arial" w:cs="Arial" w:eastAsia="Arial" w:hAnsi="Arial"/>
          <w:sz w:val="20"/>
          <w:szCs w:val="20"/>
          <w:color w:val="auto"/>
        </w:rPr>
      </w:pPr>
      <w:r>
        <w:rPr>
          <w:rFonts w:ascii="Arial" w:cs="Arial" w:eastAsia="Arial" w:hAnsi="Arial"/>
          <w:sz w:val="20"/>
          <w:szCs w:val="20"/>
          <w:color w:val="auto"/>
        </w:rPr>
        <w:t>of the definition thereof holds 35.0% or more of the Voting Stock of such direct or indirect parent of the Borrower, (b) Holdings, so long as it is a Permitted Holder pursuant to clause (a) or (b) of the definition thereof, and (c) any Public Company (or Wholly Owned Subsidiary of such Public Company) to the extent and until such time as any Person or group (other than a Permitted Holder under clause (a) or (b) thereof) is deemed to be or become a beneficial owner of Voting Stock of such Public Company representing more than 35.0% of the total voting power of the Voting Stock of such Public Company.</w:t>
      </w:r>
    </w:p>
    <w:p>
      <w:pPr>
        <w:spacing w:after="0" w:line="1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Refinancing</w:t>
      </w:r>
      <w:r>
        <w:rPr>
          <w:rFonts w:ascii="Arial" w:cs="Arial" w:eastAsia="Arial" w:hAnsi="Arial"/>
          <w:sz w:val="19"/>
          <w:szCs w:val="19"/>
          <w:color w:val="auto"/>
        </w:rPr>
        <w:t xml:space="preserve">” means, with respect to any Person, any modification, amendment, refinancing, refunding, renewal, replacement, exchange or extension of any Indebtedness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thereof does not exceed the principal amount (or accreted value, if applicable) of the Indebtedness so modified, refinanced, refunded, renewed, replaced, exchanged or extended except by an amount equal to accrued and unpaid interest and 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16" w:name="page117"/>
    <w:bookmarkEnd w:id="116"/>
    <w:p>
      <w:pPr>
        <w:jc w:val="both"/>
        <w:spacing w:after="0" w:line="304" w:lineRule="auto"/>
        <w:rPr>
          <w:sz w:val="20"/>
          <w:szCs w:val="20"/>
          <w:color w:val="auto"/>
        </w:rPr>
      </w:pPr>
      <w:r>
        <w:rPr>
          <w:rFonts w:ascii="Arial" w:cs="Arial" w:eastAsia="Arial" w:hAnsi="Arial"/>
          <w:sz w:val="16"/>
          <w:szCs w:val="16"/>
          <w:color w:val="auto"/>
        </w:rPr>
        <w:t>premium thereon plus other reasonable amounts paid, and fees and expenses reasonably incurred (including OID and upfront fees), in connection with such modification, refinancing, refunding, renewal, replacement, exchange or extension and by an amount equal to any existing commitments unutilized thereunder; (b) other than with respect to Indebtedness under Section 7.03(b)(4) or with respect to the initial maturity date for Extendable Bridge Loans/Interim Debt,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replaced, exchanged or extended; (c) if the Indebtedness being modified, refinanced, refunded, renewed, replaced, exchanged or extended is subordinated in right of payment to the Obligations, such modification, refinancing, refunding, renewal, replacement, exchange or extension is subordinated in right of payment to the Obligations on subordination terms, taken as a whole, as favorable in all material respects to the Lenders (including, if applicable, as to collateral) as those subordination terms contained in the documentation governing the Indebtedness being modified, refinanced, refunded, renewed, replaced, exchanged or extended or otherwise acceptable to the Administrative Agent; (d) if the Indebtedness being modified, amended, refinanced, refunded, renewed, replaced, exchanged or extended is (i) unsecured, such modification, amendment, refinancing, refunding, renewal, replacement, exchange or extension is unsecured, or (ii) if secured by Liens on the Collateral, such modification, refinancing, refunding, replacement, renewal or extension is secured to the same extent, including with respect to any subordination provisions, and subject to Applicable Intercreditor Arrangements; (e) the terms and conditions (including, if applicable, as to collateral) of any such modified, refinanced, refunded, renewed, replaced, exchanged or extended (other than to the extent permitted by any other clause of this definition or with respect to interest rate, optional prepayment premiums and optional redemption provisions) Indebtedness are, either (i) substantially identical to or less favorable to the investors providing such Permitted Refinancing, taken as a whole, than the terms and conditions of the Indebtedness being modified, refinanced, refunded, renewed, replaced, exchanged or extended, or</w:t>
      </w:r>
    </w:p>
    <w:p>
      <w:pPr>
        <w:spacing w:after="0" w:line="200" w:lineRule="exact"/>
        <w:rPr>
          <w:sz w:val="20"/>
          <w:szCs w:val="20"/>
          <w:color w:val="auto"/>
        </w:rPr>
      </w:pPr>
    </w:p>
    <w:p>
      <w:pPr>
        <w:spacing w:after="0" w:line="215" w:lineRule="exact"/>
        <w:rPr>
          <w:sz w:val="20"/>
          <w:szCs w:val="20"/>
          <w:color w:val="auto"/>
        </w:rPr>
      </w:pPr>
    </w:p>
    <w:p>
      <w:pPr>
        <w:jc w:val="both"/>
        <w:ind w:firstLine="8"/>
        <w:spacing w:after="0" w:line="268" w:lineRule="auto"/>
        <w:tabs>
          <w:tab w:leader="none" w:pos="30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when taken as a whole (other than interest rate, prepayment premiums and redemption provisions), not more restrictive to the Borrower and the Restricted Subsidiaries than those set forth in this Agreement or are customary for similar indebtedness in light of then-prevailing market conditions at the time of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Borrower’s option, delivery of a certificate of a Responsible Officer of the Borrower to the Administrative Agent in good faith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 set out in this clause (e), shall be conclusive evidence that such terms and conditions satisfy such requirement unless the Administrative Agent provides notice to the Borrower of its objection during such five Business Day period (including a reasonable description of the basis upon which it objects)), in each case, except for terms and conditions only applicable to periods after the Latest Maturity Date; (f) such modification, amendment, refinancing, refunding, renewal, replacement, exchange or extension is incurred by the Person who is or would have been permitted to be the obligor or guarantor (or any successor thereto) on the Indebtedness being modified, amended, refinanced, refunded, renewed, replaced or extended (it being understood that the roles of such obligors as a borrower or a guarantor with respect to such obligations may be interchanged); and (g) at the time thereof, other than with respect to Indebtedness under Section 7.03(b)(4) and Section 7.03(b)(10), no Event of Default under Sections 8.01(f) or (g) shall have occurred and be continuing.</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individual, corporation, partnership, limited liability company, joint venture, association, joint stock company, trust, unincorporated organization, government or any agency or political subdivision thereof or any other entity.</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17" w:name="page118"/>
    <w:bookmarkEnd w:id="117"/>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Pledged Debt</w:t>
      </w:r>
      <w:r>
        <w:rPr>
          <w:rFonts w:ascii="Arial" w:cs="Arial" w:eastAsia="Arial" w:hAnsi="Arial"/>
          <w:sz w:val="20"/>
          <w:szCs w:val="20"/>
          <w:color w:val="auto"/>
        </w:rPr>
        <w:t>” has the meaning specified in the Security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Pledged Equity Interests</w:t>
      </w:r>
      <w:r>
        <w:rPr>
          <w:rFonts w:ascii="Arial" w:cs="Arial" w:eastAsia="Arial" w:hAnsi="Arial"/>
          <w:sz w:val="20"/>
          <w:szCs w:val="20"/>
          <w:color w:val="auto"/>
        </w:rPr>
        <w:t>” has the meaning specified in the Security Agreement.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Preferred Stock</w:t>
      </w:r>
      <w:r>
        <w:rPr>
          <w:rFonts w:ascii="Arial" w:cs="Arial" w:eastAsia="Arial" w:hAnsi="Arial"/>
          <w:sz w:val="20"/>
          <w:szCs w:val="20"/>
          <w:color w:val="auto"/>
        </w:rPr>
        <w:t>” means any Equity Interest with preferential right of payment of dividends or upon liquidation, dissolution or winding up.</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Prepayment-Based Incremental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0"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Primary Disqualified Institution</w:t>
      </w:r>
      <w:r>
        <w:rPr>
          <w:rFonts w:ascii="Arial" w:cs="Arial" w:eastAsia="Arial" w:hAnsi="Arial"/>
          <w:sz w:val="20"/>
          <w:szCs w:val="20"/>
          <w:color w:val="auto"/>
        </w:rPr>
        <w:t>” has the meaning specified in the definition of “Disqualified Institution.”</w:t>
      </w:r>
    </w:p>
    <w:p>
      <w:pPr>
        <w:spacing w:after="0" w:line="21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Prime Lending Rate</w:t>
      </w:r>
      <w:r>
        <w:rPr>
          <w:rFonts w:ascii="Arial" w:cs="Arial" w:eastAsia="Arial" w:hAnsi="Arial"/>
          <w:sz w:val="19"/>
          <w:szCs w:val="19"/>
          <w:color w:val="auto"/>
        </w:rPr>
        <w:t>” means, for any day, the rate of interest last quoted by The Wall Street Journal as the “Prime Rate” in the U.S. for such day or, if The Wall Street Journal ceases to quote such rate, the highest per annum interest rate published by the FRB in Federal Reserve Statistical Release H.15 (519) (Selected Interest Rates) as the “bank prime loan” rate for such day or, if such rate is no longer quoted therein, any similar rate quoted therein (as determined by the Administrative Agent) or any similar release by the FRB (as determined by the Administrative Agent), in each case, for such day. Each change in the Prime Lending Rate shall be effective on the date that such change is publicly announced or quoted as being effective.</w:t>
      </w:r>
    </w:p>
    <w:p>
      <w:pPr>
        <w:spacing w:after="0" w:line="178"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Forma Basis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Pro Forma Effect</w:t>
      </w:r>
      <w:r>
        <w:rPr>
          <w:rFonts w:ascii="Arial" w:cs="Arial" w:eastAsia="Arial" w:hAnsi="Arial"/>
          <w:sz w:val="16"/>
          <w:szCs w:val="16"/>
          <w:color w:val="auto"/>
        </w:rPr>
        <w:t xml:space="preserve"> ” mean, with respect to the calculation of any test, financial ratio, basket or covenant under this Agreement, including the Consolidated First Lien Net Leverage Ratio, Consolidated Total Leverage Ratio, the Consolidated Total Net Leverage Ratio, Consolidated Senior Secured Net Leverage Ratio and the Fixed Charge Coverage Ratio and the calculation of Consolidated Cash Interest Expense, Consolidated Interest Expense, Consolidated Total Assets, Consolidated Net Income, Consolidated EBITDA and Four Quarter Consolidated EBITDA, of any Person and its Restricted Subsidiaries, as of any date, that pro forma effect will be given to the Transactions, any Specified Transaction, any acquisition, merger, amalgamation, consolidation, Division, Investment, any issuance, Incurrence, assumption or repayment or redemption of Indebtedness (including Indebtedness issued, Incurred or assumed or repaid or redeemed as a result of, or to finance, any relevant transaction and for which any such test, financial ratio, basket or covenant is being calculated), any issuance or redemption of Preferred Stock or Disqualified Stock, all sales, transfers and other dispositions or discontinuance of any Subsidiary, line of business, division, segment or operating unit, any operational change (including the entry into any material contract or arrangement) or any designation of a Restricted Subsidiary to an Unrestricted Subsidiary or of an Unrestricted Subsidiary to a Restricted Subsidiary, in each case that have occurred during the four consecutive fiscal quarter period of such Person being used to calculate such test, financial ratio, basket or covenant (the “</w:t>
      </w:r>
      <w:r>
        <w:rPr>
          <w:rFonts w:ascii="Arial" w:cs="Arial" w:eastAsia="Arial" w:hAnsi="Arial"/>
          <w:sz w:val="16"/>
          <w:szCs w:val="16"/>
          <w:u w:val="single" w:color="auto"/>
          <w:color w:val="auto"/>
        </w:rPr>
        <w:t>Reference Period</w:t>
      </w:r>
      <w:r>
        <w:rPr>
          <w:rFonts w:ascii="Arial" w:cs="Arial" w:eastAsia="Arial" w:hAnsi="Arial"/>
          <w:sz w:val="16"/>
          <w:szCs w:val="16"/>
          <w:color w:val="auto"/>
        </w:rPr>
        <w:t xml:space="preserve"> ”), or subsequent to the end of the Reference Period but prior to such date or prior to or substantially simultaneously with the event for which a determination under this definition is made (including</w:t>
      </w:r>
    </w:p>
    <w:p>
      <w:pPr>
        <w:spacing w:after="0" w:line="189" w:lineRule="exact"/>
        <w:rPr>
          <w:sz w:val="20"/>
          <w:szCs w:val="20"/>
          <w:color w:val="auto"/>
        </w:rPr>
      </w:pPr>
    </w:p>
    <w:p>
      <w:pPr>
        <w:jc w:val="both"/>
        <w:ind w:firstLine="8"/>
        <w:spacing w:after="0"/>
        <w:tabs>
          <w:tab w:leader="none" w:pos="278"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any such event occurring at a Person who became a Restricted Subsidiary of the subject Person or was merged, amalgamated or consolidated with or into the subject Person or any other Restricted Subsidiary of the subject Person after the commencement of the Reference Period and (ii) with respect to any proposed Investment or acquisition of the subject Person for which committed financing is or is sought to be obtained, the event for which a determination under this definition is made may occur after the date upon which the relevant determination or calculation is made), in each case, as if each such event occurred on the first day of the Reference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pro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18" w:name="page119"/>
    <w:bookmarkEnd w:id="118"/>
    <w:p>
      <w:pPr>
        <w:jc w:val="both"/>
        <w:spacing w:after="0" w:line="274" w:lineRule="auto"/>
        <w:rPr>
          <w:sz w:val="20"/>
          <w:szCs w:val="20"/>
          <w:color w:val="auto"/>
        </w:rPr>
      </w:pPr>
      <w:r>
        <w:rPr>
          <w:rFonts w:ascii="Arial" w:cs="Arial" w:eastAsia="Arial" w:hAnsi="Arial"/>
          <w:sz w:val="18"/>
          <w:szCs w:val="18"/>
          <w:color w:val="auto"/>
        </w:rPr>
        <w:t>forma effect will be given to reasonably identifiable and quantifiable pro forma cost savings or expense reductions related to operational efficiencies (including the entry into or renegotiation of any material contract or arrangement), strategic initiatives or purchasing improvements and other cost savings, improvements or synergies, in each case, that have been realized, or are reasonably expected to be realized, by such Person and its Restricted Subsidiaries based upon actions to be taken within 24 months after the consummation of the action (or, in respect of the Transactions, 36 months) as if such cost savings, expense reductions, improvements and synergies occurred (or were realized) on the first day of the Reference Period and (y) no amount shall be added back pursuant to this definition to the extent duplicative of amounts that are otherwise included in computing Consolidated EBITDA for such Reference Period.</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For purposes of making any computation referred to above:</w:t>
      </w:r>
    </w:p>
    <w:p>
      <w:pPr>
        <w:spacing w:after="0" w:line="216" w:lineRule="exact"/>
        <w:rPr>
          <w:sz w:val="20"/>
          <w:szCs w:val="20"/>
          <w:color w:val="auto"/>
        </w:rPr>
      </w:pPr>
    </w:p>
    <w:p>
      <w:pPr>
        <w:jc w:val="both"/>
        <w:ind w:left="760" w:firstLine="745"/>
        <w:spacing w:after="0" w:line="246" w:lineRule="auto"/>
        <w:tabs>
          <w:tab w:leader="none" w:pos="2027" w:val="left"/>
        </w:tabs>
        <w:numPr>
          <w:ilvl w:val="0"/>
          <w:numId w:val="97"/>
        </w:numPr>
        <w:rPr>
          <w:rFonts w:ascii="Arial" w:cs="Arial" w:eastAsia="Arial" w:hAnsi="Arial"/>
          <w:sz w:val="20"/>
          <w:szCs w:val="20"/>
          <w:color w:val="auto"/>
        </w:rPr>
      </w:pPr>
      <w:r>
        <w:rPr>
          <w:rFonts w:ascii="Arial" w:cs="Arial" w:eastAsia="Arial" w:hAnsi="Arial"/>
          <w:sz w:val="20"/>
          <w:szCs w:val="20"/>
          <w:color w:val="auto"/>
        </w:rPr>
        <w:t>if any Indebtedness bears a floating rate of interest and is being given pro forma effect, the interest on such Indebtedness shall be calculated as if the rate in effect on the date for which a determination under this definition is made had been the applicable rate for the entire period (taking into account any swap agreements applicable to such Indebtedness if such swap agreement has a remaining term in excess of 12 months);</w:t>
      </w:r>
    </w:p>
    <w:p>
      <w:pPr>
        <w:spacing w:after="0" w:line="110" w:lineRule="exact"/>
        <w:rPr>
          <w:rFonts w:ascii="Arial" w:cs="Arial" w:eastAsia="Arial" w:hAnsi="Arial"/>
          <w:sz w:val="20"/>
          <w:szCs w:val="20"/>
          <w:color w:val="auto"/>
        </w:rPr>
      </w:pPr>
    </w:p>
    <w:p>
      <w:pPr>
        <w:jc w:val="both"/>
        <w:ind w:left="760" w:firstLine="745"/>
        <w:spacing w:after="0" w:line="269" w:lineRule="auto"/>
        <w:tabs>
          <w:tab w:leader="none" w:pos="20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interest on an obligation under a Capitalized Lease Obligation shall be deemed to accrue at an interest rate reasonably determined by a responsible financial or accounting officer, in his or her capacity as such and not in his or her personal capacity, of the Borrower to be the rate of interest implicit in such obligation in accordance with GAAP;</w:t>
      </w:r>
    </w:p>
    <w:p>
      <w:pPr>
        <w:spacing w:after="0" w:line="102" w:lineRule="exact"/>
        <w:rPr>
          <w:rFonts w:ascii="Arial" w:cs="Arial" w:eastAsia="Arial" w:hAnsi="Arial"/>
          <w:sz w:val="19"/>
          <w:szCs w:val="19"/>
          <w:color w:val="auto"/>
        </w:rPr>
      </w:pPr>
    </w:p>
    <w:p>
      <w:pPr>
        <w:jc w:val="both"/>
        <w:ind w:left="760" w:firstLine="745"/>
        <w:spacing w:after="0" w:line="250" w:lineRule="auto"/>
        <w:tabs>
          <w:tab w:leader="none" w:pos="1999"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18" w:lineRule="exact"/>
        <w:rPr>
          <w:rFonts w:ascii="Arial" w:cs="Arial" w:eastAsia="Arial" w:hAnsi="Arial"/>
          <w:sz w:val="20"/>
          <w:szCs w:val="20"/>
          <w:color w:val="auto"/>
        </w:rPr>
      </w:pPr>
    </w:p>
    <w:p>
      <w:pPr>
        <w:ind w:left="760" w:firstLine="745"/>
        <w:spacing w:after="0" w:line="316" w:lineRule="auto"/>
        <w:tabs>
          <w:tab w:leader="none" w:pos="19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interest on any Indebtedness under a revolving credit facility or a Qualified Receivables Financing computed on a pro forma basis shall be computed based upon the average daily balance of such Indebtedness during the applicable period; and</w:t>
      </w:r>
    </w:p>
    <w:p>
      <w:pPr>
        <w:spacing w:after="0" w:line="48" w:lineRule="exact"/>
        <w:rPr>
          <w:rFonts w:ascii="Arial" w:cs="Arial" w:eastAsia="Arial" w:hAnsi="Arial"/>
          <w:sz w:val="18"/>
          <w:szCs w:val="18"/>
          <w:color w:val="auto"/>
        </w:rPr>
      </w:pPr>
    </w:p>
    <w:p>
      <w:pPr>
        <w:ind w:left="760" w:firstLine="745"/>
        <w:spacing w:after="0" w:line="260" w:lineRule="auto"/>
        <w:tabs>
          <w:tab w:leader="none" w:pos="1954"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the extent not already covered above, any such calculation may include adjustments calculated in accordance with Regulation S-X.</w:t>
      </w:r>
    </w:p>
    <w:p>
      <w:pPr>
        <w:spacing w:after="0" w:line="200" w:lineRule="exact"/>
        <w:rPr>
          <w:sz w:val="20"/>
          <w:szCs w:val="20"/>
          <w:color w:val="auto"/>
        </w:rPr>
      </w:pPr>
    </w:p>
    <w:p>
      <w:pPr>
        <w:spacing w:after="0" w:line="28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Any pro forma calculation may include, without limitation and without duplication, (1) adjustments calculated in accordance with Regulation S-X, (2) adjustments calculated to give effect to any Pro Forma Cost Savings and (3) all adjustments of the nature included in the confidential information memorandum dated January 2019, to the extent such adjustments, without duplication, continue to be applicable to the Reference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adjustments that consist of reductions in costs and other operating improvements or synergies shall be calculated in accordance with, and satisfy the requirements specified in, the definition of “Pro Forma Cost Savings.”</w:t>
      </w:r>
    </w:p>
    <w:p>
      <w:pPr>
        <w:spacing w:after="0" w:line="19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Forma Cost Savings</w:t>
      </w:r>
      <w:r>
        <w:rPr>
          <w:rFonts w:ascii="Arial" w:cs="Arial" w:eastAsia="Arial" w:hAnsi="Arial"/>
          <w:sz w:val="18"/>
          <w:szCs w:val="18"/>
          <w:color w:val="auto"/>
        </w:rPr>
        <w:t>” means, without duplication of any amounts referenced in the definition of “Pro Forma Basis,” an amount equal to the amount of cost savings, operating expense reductions, operating improvements (including the entry into, amendment or renegotiation of any material contract or arrangement) and synergies, in each case, projected in good faith to be realized (calculated on a pro forma basis as though such items had been realized on the first day of such period) as a result of actions taken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19" w:name="page120"/>
    <w:bookmarkEnd w:id="119"/>
    <w:p>
      <w:pPr>
        <w:jc w:val="both"/>
        <w:spacing w:after="0" w:line="272" w:lineRule="auto"/>
        <w:rPr>
          <w:sz w:val="20"/>
          <w:szCs w:val="20"/>
          <w:color w:val="auto"/>
        </w:rPr>
      </w:pPr>
      <w:r>
        <w:rPr>
          <w:rFonts w:ascii="Arial" w:cs="Arial" w:eastAsia="Arial" w:hAnsi="Arial"/>
          <w:sz w:val="18"/>
          <w:szCs w:val="18"/>
          <w:color w:val="auto"/>
        </w:rPr>
        <w:t xml:space="preserve">to be taken by the Borrower (or any successor thereto) or any Restricted Subsidiary, net of the amount of actual benefits realized or expected to be realized during such period that are otherwise included in the calculation of Consolidated EBITDA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cost savings, operating expense reductions, operating improvements and synergies are reasonably identifiable (as determined in good faith by a responsible financial or accounting officer, in his or her capacity as such and not in his or her personal capacity, of the Borrower (or any successor thereto) or of any direct or indirect parent of the Borrower) and are reasonably anticipated to be realized within 24 months after the consummation of any change (or, in respect of the Transactions, 36 months) that is expected to result in such cost savings, expense reductions, operating improvements or synergies;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cost savings, operating expense reductions, operating improvements and synergies shall be added pursuant to this definition to the extent duplicative of any expenses or charges otherwise added to Consolidated Net Income or Consolidated EBITDA, whether through a pro forma adjustment, add back, exclusion or otherwise, for such period.</w:t>
      </w:r>
    </w:p>
    <w:p>
      <w:pPr>
        <w:spacing w:after="0" w:line="17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 Share</w:t>
      </w:r>
      <w:r>
        <w:rPr>
          <w:rFonts w:ascii="Arial" w:cs="Arial" w:eastAsia="Arial" w:hAnsi="Arial"/>
          <w:sz w:val="19"/>
          <w:szCs w:val="19"/>
          <w:color w:val="auto"/>
        </w:rPr>
        <w:t xml:space="preserve">” means, with respect to each Lender at any time, a fraction (expressed as a percentage, carried out to the ninth decimal place, and subject to adjustment as provided in Section 2.18), the numerator of which is the amount of the Commitments of such Lender under the applicable Facility or Facilities at such time and the denominator of which is the amount of the Aggregate Commitments under the applicable Facility or Facilities at such time; provided, that if the commitment of each Lender to make Loans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jc w:val="both"/>
        <w:ind w:firstLine="80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Public Company</w:t>
      </w:r>
      <w:r>
        <w:rPr>
          <w:rFonts w:ascii="Arial" w:cs="Arial" w:eastAsia="Arial" w:hAnsi="Arial"/>
          <w:sz w:val="20"/>
          <w:szCs w:val="20"/>
          <w:color w:val="auto"/>
        </w:rPr>
        <w:t>” means any Person with a class or series of Voting Stock that is traded on a stock exchange or in the over-the-counter market.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Purchasing Borrower Party</w:t>
      </w:r>
      <w:r>
        <w:rPr>
          <w:rFonts w:ascii="Arial" w:cs="Arial" w:eastAsia="Arial" w:hAnsi="Arial"/>
          <w:sz w:val="20"/>
          <w:szCs w:val="20"/>
          <w:color w:val="auto"/>
        </w:rPr>
        <w:t xml:space="preserve">” means Holdings or any Subsidiary of Holdings that makes a Discounted Voluntary Prepayment pursuant to </w:t>
      </w:r>
      <w:r>
        <w:rPr>
          <w:rFonts w:ascii="Arial" w:cs="Arial" w:eastAsia="Arial" w:hAnsi="Arial"/>
          <w:sz w:val="20"/>
          <w:szCs w:val="20"/>
          <w:u w:val="single" w:color="auto"/>
          <w:color w:val="auto"/>
        </w:rPr>
        <w:t>Section 2.05(c)</w:t>
      </w:r>
      <w:r>
        <w:rPr>
          <w:rFonts w:ascii="Arial" w:cs="Arial" w:eastAsia="Arial" w:hAnsi="Arial"/>
          <w:sz w:val="20"/>
          <w:szCs w:val="20"/>
          <w:color w:val="auto"/>
        </w:rPr>
        <w: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Receivables Factoring</w:t>
      </w:r>
      <w:r>
        <w:rPr>
          <w:rFonts w:ascii="Arial" w:cs="Arial" w:eastAsia="Arial" w:hAnsi="Arial"/>
          <w:sz w:val="20"/>
          <w:szCs w:val="20"/>
          <w:color w:val="auto"/>
        </w:rPr>
        <w:t>” means any Factoring Transaction that meets the following conditions:</w:t>
      </w:r>
    </w:p>
    <w:p>
      <w:pPr>
        <w:spacing w:after="0" w:line="216" w:lineRule="exact"/>
        <w:rPr>
          <w:sz w:val="20"/>
          <w:szCs w:val="20"/>
          <w:color w:val="auto"/>
        </w:rPr>
      </w:pPr>
    </w:p>
    <w:p>
      <w:pPr>
        <w:ind w:firstLine="757"/>
        <w:spacing w:after="0" w:line="240" w:lineRule="exact"/>
        <w:tabs>
          <w:tab w:leader="none" w:pos="1217"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Factoring Transaction is non</w:t>
      </w:r>
      <w:r>
        <w:rPr>
          <w:rFonts w:ascii="MS PGothic" w:cs="MS PGothic" w:eastAsia="MS PGothic" w:hAnsi="MS PGothic"/>
          <w:sz w:val="18"/>
          <w:szCs w:val="18"/>
          <w:color w:val="auto"/>
        </w:rPr>
        <w:t>‑</w:t>
      </w:r>
      <w:r>
        <w:rPr>
          <w:rFonts w:ascii="Arial" w:cs="Arial" w:eastAsia="Arial" w:hAnsi="Arial"/>
          <w:sz w:val="18"/>
          <w:szCs w:val="18"/>
          <w:color w:val="auto"/>
        </w:rPr>
        <w:t>recourse to, and does not obligate, the Borrower or any Restricted Subsidiary, or their respective properties or assets (other than Receivables Assets) in any way other than pursuant to Standard Securitization Undertakings,</w:t>
      </w:r>
    </w:p>
    <w:p>
      <w:pPr>
        <w:spacing w:after="0" w:line="195" w:lineRule="exact"/>
        <w:rPr>
          <w:rFonts w:ascii="Arial" w:cs="Arial" w:eastAsia="Arial" w:hAnsi="Arial"/>
          <w:sz w:val="18"/>
          <w:szCs w:val="18"/>
          <w:color w:val="auto"/>
        </w:rPr>
      </w:pPr>
    </w:p>
    <w:p>
      <w:pPr>
        <w:ind w:firstLine="757"/>
        <w:spacing w:after="0" w:line="287" w:lineRule="auto"/>
        <w:tabs>
          <w:tab w:leader="none" w:pos="1198" w:val="left"/>
        </w:tabs>
        <w:numPr>
          <w:ilvl w:val="0"/>
          <w:numId w:val="98"/>
        </w:numPr>
        <w:rPr>
          <w:rFonts w:ascii="Arial" w:cs="Arial" w:eastAsia="Arial" w:hAnsi="Arial"/>
          <w:sz w:val="19"/>
          <w:szCs w:val="19"/>
          <w:color w:val="auto"/>
        </w:rPr>
      </w:pPr>
      <w:r>
        <w:rPr>
          <w:rFonts w:ascii="Arial" w:cs="Arial" w:eastAsia="Arial" w:hAnsi="Arial"/>
          <w:sz w:val="19"/>
          <w:szCs w:val="19"/>
          <w:color w:val="auto"/>
        </w:rPr>
        <w:t>all sales, conveyances, assignments and/or contributions of Receivables Assets by the Borrower or any Restricted Subsidiary are made at Fair Market Value in the context of a Factoring Transaction (as determined in good faith by the Borrower), and</w:t>
      </w:r>
    </w:p>
    <w:p>
      <w:pPr>
        <w:spacing w:after="0" w:line="152" w:lineRule="exact"/>
        <w:rPr>
          <w:rFonts w:ascii="Arial" w:cs="Arial" w:eastAsia="Arial" w:hAnsi="Arial"/>
          <w:sz w:val="19"/>
          <w:szCs w:val="19"/>
          <w:color w:val="auto"/>
        </w:rPr>
      </w:pPr>
    </w:p>
    <w:p>
      <w:pPr>
        <w:jc w:val="both"/>
        <w:ind w:firstLine="757"/>
        <w:spacing w:after="0" w:line="250" w:lineRule="auto"/>
        <w:tabs>
          <w:tab w:leader="none" w:pos="1196" w:val="left"/>
        </w:tabs>
        <w:numPr>
          <w:ilvl w:val="0"/>
          <w:numId w:val="98"/>
        </w:numPr>
        <w:rPr>
          <w:rFonts w:ascii="Arial" w:cs="Arial" w:eastAsia="Arial" w:hAnsi="Arial"/>
          <w:sz w:val="20"/>
          <w:szCs w:val="20"/>
          <w:color w:val="auto"/>
        </w:rPr>
      </w:pPr>
      <w:r>
        <w:rPr>
          <w:rFonts w:ascii="Arial" w:cs="Arial" w:eastAsia="Arial" w:hAnsi="Arial"/>
          <w:sz w:val="20"/>
          <w:szCs w:val="20"/>
          <w:color w:val="auto"/>
        </w:rPr>
        <w:t>such Factoring Transaction (including financing terms, covenants, termination events (if any) and other provisions thereof) is on market terms at the time such Factoring Transaction is first entered into (as determined in good faith by the Borrower) and may include Standard Securitization Undertakings.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0" w:name="page121"/>
    <w:bookmarkEnd w:id="120"/>
    <w:p>
      <w:pPr>
        <w:ind w:firstLine="749"/>
        <w:spacing w:after="0" w:line="260" w:lineRule="auto"/>
        <w:rPr>
          <w:sz w:val="20"/>
          <w:szCs w:val="20"/>
          <w:color w:val="auto"/>
        </w:rPr>
      </w:pPr>
      <w:r>
        <w:rPr>
          <w:rFonts w:ascii="Arial" w:cs="Arial" w:eastAsia="Arial" w:hAnsi="Arial"/>
          <w:sz w:val="20"/>
          <w:szCs w:val="20"/>
          <w:color w:val="auto"/>
        </w:rPr>
        <w:t>The grant of a security interest in any accounts receivable of the Borrower or any of its Restricted Subsidiaries (other than a Receivables Subsidiary) to secure any credit agreement shall not be deemed a Qualified Receivables Factoring.</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Receivables Financing</w:t>
      </w:r>
      <w:r>
        <w:rPr>
          <w:rFonts w:ascii="Arial" w:cs="Arial" w:eastAsia="Arial" w:hAnsi="Arial"/>
          <w:sz w:val="20"/>
          <w:szCs w:val="20"/>
          <w:color w:val="auto"/>
        </w:rPr>
        <w:t>” means any Receivables Financing that meets the following conditions:</w:t>
      </w:r>
    </w:p>
    <w:p>
      <w:pPr>
        <w:spacing w:after="0" w:line="216" w:lineRule="exact"/>
        <w:rPr>
          <w:sz w:val="20"/>
          <w:szCs w:val="20"/>
          <w:color w:val="auto"/>
        </w:rPr>
      </w:pPr>
    </w:p>
    <w:p>
      <w:pPr>
        <w:jc w:val="both"/>
        <w:ind w:firstLine="757"/>
        <w:spacing w:after="0" w:line="250" w:lineRule="auto"/>
        <w:tabs>
          <w:tab w:leader="none" w:pos="1198" w:val="left"/>
        </w:tabs>
        <w:numPr>
          <w:ilvl w:val="0"/>
          <w:numId w:val="99"/>
        </w:numPr>
        <w:rPr>
          <w:rFonts w:ascii="Arial" w:cs="Arial" w:eastAsia="Arial" w:hAnsi="Arial"/>
          <w:sz w:val="20"/>
          <w:szCs w:val="20"/>
          <w:color w:val="auto"/>
        </w:rPr>
      </w:pPr>
      <w:r>
        <w:rPr>
          <w:rFonts w:ascii="Arial" w:cs="Arial" w:eastAsia="Arial" w:hAnsi="Arial"/>
          <w:sz w:val="20"/>
          <w:szCs w:val="20"/>
          <w:color w:val="auto"/>
        </w:rPr>
        <w:t>all sales, conveyances, assignments and/or contributions of Receivables Assets by the Borrower or any Restricted Subsidiary to any Receivables Subsidiary are made at Fair Market Value in the context of a Receivables Financing (as determined in good faith by the Borrower), and</w:t>
      </w:r>
    </w:p>
    <w:p>
      <w:pPr>
        <w:spacing w:after="0" w:line="185" w:lineRule="exact"/>
        <w:rPr>
          <w:rFonts w:ascii="Arial" w:cs="Arial" w:eastAsia="Arial" w:hAnsi="Arial"/>
          <w:sz w:val="20"/>
          <w:szCs w:val="20"/>
          <w:color w:val="auto"/>
        </w:rPr>
      </w:pPr>
    </w:p>
    <w:p>
      <w:pPr>
        <w:jc w:val="both"/>
        <w:ind w:firstLine="757"/>
        <w:spacing w:after="0" w:line="250" w:lineRule="auto"/>
        <w:tabs>
          <w:tab w:leader="none" w:pos="1213"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financing terms, covenants, termination events and other provisions thereof shall be on market terms at the time such Receivables Financing is first entered into (as determined in good faith by the Borrower) and may include Standard Securitization Undertakings.</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grant of a security interest in any accounts receivable of the Borrower or any of its Restricted Subsidiaries (other than a Receivables Subsidiary) to secure any credit agreement shall not be deemed a Qualified Receivables Financing.</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Ratio-Based Incremental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Ratio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33"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Receivables Assets</w:t>
      </w:r>
      <w:r>
        <w:rPr>
          <w:rFonts w:ascii="Arial" w:cs="Arial" w:eastAsia="Arial" w:hAnsi="Arial"/>
          <w:sz w:val="19"/>
          <w:szCs w:val="19"/>
          <w:color w:val="auto"/>
        </w:rPr>
        <w:t>” means accounts receivable (whether now existing or arising in the future) of the Borrower or any of its Subsidiaries, and all collateral securing such accounts receivable, all contracts and all guarantees or other payment support obligations (including, without limitation, letters of credit, promissory notes or trade credit insurance) in respect of such accounts receivable, proceeds of such accounts receivable and other assets which are customarily transferred or in respect of which security interests are customarily granted in connection with non</w:t>
      </w:r>
      <w:r>
        <w:rPr>
          <w:rFonts w:ascii="MS PGothic" w:cs="MS PGothic" w:eastAsia="MS PGothic" w:hAnsi="MS PGothic"/>
          <w:sz w:val="19"/>
          <w:szCs w:val="19"/>
          <w:color w:val="auto"/>
        </w:rPr>
        <w:t>‑</w:t>
      </w:r>
      <w:r>
        <w:rPr>
          <w:rFonts w:ascii="Arial" w:cs="Arial" w:eastAsia="Arial" w:hAnsi="Arial"/>
          <w:sz w:val="19"/>
          <w:szCs w:val="19"/>
          <w:color w:val="auto"/>
        </w:rPr>
        <w:t>recourse, asset securitization or factoring transactions involving accounts receivable and any Swap Contracts entered into by the Borrower or any such Subsidiary in connection with such accounts receivable.</w:t>
      </w:r>
    </w:p>
    <w:p>
      <w:pPr>
        <w:spacing w:after="0" w:line="20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Receivables Fees</w:t>
      </w:r>
      <w:r>
        <w:rPr>
          <w:rFonts w:ascii="Arial" w:cs="Arial" w:eastAsia="Arial" w:hAnsi="Arial"/>
          <w:sz w:val="20"/>
          <w:szCs w:val="20"/>
          <w:color w:val="auto"/>
        </w:rPr>
        <w:t>” means distributions or payments made directly or by means of discounts with respect to any participation interest issued or sold in connection with, and other fees paid to a Person that is not a Restricted Subsidiary in connection with, any Receivables Financing or Factoring Transaction.</w:t>
      </w:r>
    </w:p>
    <w:p>
      <w:pPr>
        <w:spacing w:after="0" w:line="18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Receivables Financing</w:t>
      </w:r>
      <w:r>
        <w:rPr>
          <w:rFonts w:ascii="Arial" w:cs="Arial" w:eastAsia="Arial" w:hAnsi="Arial"/>
          <w:sz w:val="20"/>
          <w:szCs w:val="20"/>
          <w:color w:val="auto"/>
        </w:rPr>
        <w:t>” means any transaction or series of transactions that may be entered into by the Borrower or any of its Subsidiaries pursuant to which Borrower or any of its Subsidiaries may sell, contribute, convey, assign or otherwise transfer Receivables Assets to (a) a Receivables Subsidiary (in the case of a transfer by the Borrower or any of its Subsidiaries), and (b) any other Person (in the case of a transfer by a Receivables Subsidiary), which in either case, may include a backup or precautionary grant of security interest in such Receivables Assets so sold, contributed, conveyed, assigned or otherwise transferred. For the avoidance of doubt, ABL Debt shall not constitute a Receivables Financing.</w:t>
      </w:r>
    </w:p>
    <w:p>
      <w:pPr>
        <w:spacing w:after="0" w:line="19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Receivables Repurchase Obligation</w:t>
      </w:r>
      <w:r>
        <w:rPr>
          <w:rFonts w:ascii="Arial" w:cs="Arial" w:eastAsia="Arial" w:hAnsi="Arial"/>
          <w:sz w:val="20"/>
          <w:szCs w:val="20"/>
          <w:color w:val="auto"/>
        </w:rPr>
        <w:t>” means (i) any obligation of a seller of receivables in a Qualified Receivables Factoring or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or (ii) any right of a seller of receivables in a Qualified Receivables Factoring or Qualified Receivables Financing to repurchase defaulted receivables for the purposes of claiming sales tax bad debt relief.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1" w:name="page122"/>
    <w:bookmarkEnd w:id="121"/>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Receivables Subsidiary</w:t>
      </w:r>
      <w:r>
        <w:rPr>
          <w:rFonts w:ascii="Arial" w:cs="Arial" w:eastAsia="Arial" w:hAnsi="Arial"/>
          <w:sz w:val="18"/>
          <w:szCs w:val="18"/>
          <w:color w:val="auto"/>
        </w:rPr>
        <w:t>” means a Wholly Owned Restricted Subsidiary of the Borrower (or another Person formed for the purposes of engaging in a Qualified Receivables Financing with the Borrower and/or one or more of its Subsidiaries (including, a special purpose securitization vehicle (or similar entity)) in which the Borrower or any Subsidiary of the Borrower or a direct or indirect parent of the Borrower makes an Investment (or which otherwise owes to the Borrower or one of its Subsidiaries any deferral of part of the purchase price of the Receivables Assets for the purpose of credit enhancement given under the Qualified Receivables Financing) and to which the Borrower or any Subsidiary of the Borrower or a direct or indirect parent of the Borrower sells, conveys, assigns or otherwise transfers Receivables Assets (which may include a backup or precautionary grant of security interest in such Receivables Assets sold, conveyed, assigned or otherwise transferred or purported to be so sold, conveyed, assigned or otherwise transferred)) which engages in no activities other than in connection with the purchase, acquisition or financing of Receivables Assets of the Borrower and its Subsidiaries or a direct or indirect parent of the Borrower, all proceeds thereof and all rights (contractual or other), collateral and other assets relating thereto, and any business or activities incidental or related to such business, and which is designated by the Board of Directors of the Borrower or any direct or indirect parent thereof (as provided below) as a Receivables Subsidiary and:</w:t>
      </w:r>
    </w:p>
    <w:p>
      <w:pPr>
        <w:spacing w:after="0" w:line="176" w:lineRule="exact"/>
        <w:rPr>
          <w:sz w:val="20"/>
          <w:szCs w:val="20"/>
          <w:color w:val="auto"/>
        </w:rPr>
      </w:pPr>
    </w:p>
    <w:p>
      <w:pPr>
        <w:jc w:val="both"/>
        <w:ind w:firstLine="757"/>
        <w:spacing w:after="0" w:line="276" w:lineRule="auto"/>
        <w:tabs>
          <w:tab w:leader="none" w:pos="11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the Borrower or any Restricted Subsidiary (other than a Receivables Subsidiary, excluding guarantees of obligations (other than the principal of, and interest on, Indebtedness) pursuant to Standard Securitization Undertakings), (ii) is recourse to or obligates Borrower or any Restricted Subsidiary (other than a Receivables Subsidiary) in any way other than pursuant to Standard Securitization Undertakings, or (iii) subjects any property or asset of the Borrower or any Restricted Subsidiary (other than a Receivables Subsidiary), directly or indirectly, contingently or otherwise, to the satisfaction thereof, other than pursuant to Standard Securitization Undertakings,</w:t>
      </w:r>
    </w:p>
    <w:p>
      <w:pPr>
        <w:spacing w:after="0" w:line="164" w:lineRule="exact"/>
        <w:rPr>
          <w:rFonts w:ascii="Arial" w:cs="Arial" w:eastAsia="Arial" w:hAnsi="Arial"/>
          <w:sz w:val="18"/>
          <w:szCs w:val="18"/>
          <w:color w:val="auto"/>
        </w:rPr>
      </w:pPr>
    </w:p>
    <w:p>
      <w:pPr>
        <w:jc w:val="both"/>
        <w:ind w:firstLine="757"/>
        <w:spacing w:after="0" w:line="291" w:lineRule="auto"/>
        <w:tabs>
          <w:tab w:leader="none" w:pos="12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which neither the Borrower nor any Restricted Subsidiary (other than a Receivables Subsidiary)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51" w:lineRule="exact"/>
        <w:rPr>
          <w:rFonts w:ascii="Arial" w:cs="Arial" w:eastAsia="Arial" w:hAnsi="Arial"/>
          <w:sz w:val="18"/>
          <w:szCs w:val="18"/>
          <w:color w:val="auto"/>
        </w:rPr>
      </w:pPr>
    </w:p>
    <w:p>
      <w:pPr>
        <w:ind w:firstLine="757"/>
        <w:spacing w:after="0" w:line="260" w:lineRule="auto"/>
        <w:tabs>
          <w:tab w:leader="none" w:pos="121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to which neither the Borrower nor any other Subsidiary of the Borrower has any obligation to maintain or preserve such entity’s financial condition or cause such entity to achieve certain levels of operating results.</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Any such designation by the Board of Directors of the Borrower or any direct or indirect parent hereof shall be evidenced to the Administrative Agent by filing with the Administrative Agent a certified copy of the resolution of the Board of Directors of the Borrower or such parent giving effect to such designation and an Officer’s Certificate certifying that such designation complied with the foregoing conditions.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Reference Period</w:t>
      </w:r>
      <w:r>
        <w:rPr>
          <w:rFonts w:ascii="Arial" w:cs="Arial" w:eastAsia="Arial" w:hAnsi="Arial"/>
          <w:sz w:val="20"/>
          <w:szCs w:val="20"/>
          <w:color w:val="auto"/>
        </w:rPr>
        <w:t>” has the meaning specified in the definition of “Pro Forma Basis”.</w:t>
      </w:r>
    </w:p>
    <w:p>
      <w:pPr>
        <w:spacing w:after="0" w:line="21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Time</w:t>
      </w:r>
      <w:r>
        <w:rPr>
          <w:rFonts w:ascii="Arial" w:cs="Arial" w:eastAsia="Arial" w:hAnsi="Arial"/>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four US Government Securities Business Days prior to such setting or (3) if such Benchmark is not the Term SOFR Rate or Daily Simple SOFR, the time determined by the Administrative Agent in its reasonable discretion.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2" w:name="page123"/>
    <w:bookmarkEnd w:id="122"/>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Refinancing</w:t>
      </w:r>
      <w:r>
        <w:rPr>
          <w:rFonts w:ascii="Arial" w:cs="Arial" w:eastAsia="Arial" w:hAnsi="Arial"/>
          <w:sz w:val="20"/>
          <w:szCs w:val="20"/>
          <w:color w:val="auto"/>
        </w:rPr>
        <w:t>” has the meaning specified in the definition of the “Transactions.”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Refinancing Amendment</w:t>
      </w:r>
      <w:r>
        <w:rPr>
          <w:rFonts w:ascii="Arial" w:cs="Arial" w:eastAsia="Arial" w:hAnsi="Arial"/>
          <w:sz w:val="20"/>
          <w:szCs w:val="20"/>
          <w:color w:val="auto"/>
        </w:rPr>
        <w:t xml:space="preserve">” means an amendment to this Agreement, in form and substance reasonably satisfactory to the Administrative Agent, among the Borrower, the Administrative Agent and the Lenders providing Specified Refinancing Debt, effecting the incurrence of such Specified Refinancing Debt in accordance with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8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Refinancing Expenses</w:t>
      </w:r>
      <w:r>
        <w:rPr>
          <w:rFonts w:ascii="Arial" w:cs="Arial" w:eastAsia="Arial" w:hAnsi="Arial"/>
          <w:sz w:val="19"/>
          <w:szCs w:val="19"/>
          <w:color w:val="auto"/>
        </w:rPr>
        <w:t>” means, in connection with any refinancing of any Indebtedness, Disqualified Stock or Preferred Stock otherwise permitted by this Agreement, the aggregate principal amount of additional Indebtedness, Disqualified Stock or Preferred Stock Incurred to pay (1) accrued and unpaid interest, (2) the increased principal amount of any Indebtedness being refinanced resulting from the in-kind payment of interest on such Indebtedness (or in the case of Disqualified Stock or Preferred Stock being refinanced, additional shares of such Disqualified Stock or Preferred Stock); (3) the aggregate amount of original issue discount on the Indebtedness, Disqualified Stock or Preferred Stock being refinanced; (4) premiums (including tender premiums) and other costs associated with the redemption, repurchase, retirement, discharge or defeasance of Indebtedness, Disqualified Stock or Preferred Stock being refinanced, and (5) all fees and expenses (including underwriting discounts, commitment, ticking and similar fees, expenses and discounts) associated with the repayment of the Indebtedness, Disqualified Stock or Preferred Stock being refinanced and the incurrence of the Indebtedness, Disqualified Stock or Preferred Stock incurred in connection with such refinancing.</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Refinancing Indebtedness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7.03(b)</w:t>
      </w:r>
    </w:p>
    <w:p>
      <w:pPr>
        <w:spacing w:after="0" w:line="216" w:lineRule="exact"/>
        <w:rPr>
          <w:sz w:val="20"/>
          <w:szCs w:val="20"/>
          <w:color w:val="auto"/>
        </w:rPr>
      </w:pPr>
    </w:p>
    <w:p>
      <w:pPr>
        <w:jc w:val="both"/>
        <w:ind w:firstLine="8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Refinancing Notes</w:t>
      </w:r>
      <w:r>
        <w:rPr>
          <w:rFonts w:ascii="Arial" w:cs="Arial" w:eastAsia="Arial" w:hAnsi="Arial"/>
          <w:sz w:val="18"/>
          <w:szCs w:val="18"/>
          <w:color w:val="auto"/>
        </w:rPr>
        <w:t xml:space="preserve">” means one or more series of senior unsecured notes, or senior secured notes secured by the Collateral on a first lien “equal and ratable” basis with the Liens securing the Obligations or senior secured notes secured by the Collateral on a “junior” basis to the Liens securing the Obligations, in each case issued in respect of a refinancing of outstanding Indebtedness of the Borrowers under any one or more Term Loan Tranches;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Refinancing Notes shall be secured, then (i) such Refinancing Notes shall only be secured by a security interest in the Collateral that secured the Term Loan Tranche being refinanced, and (ii) such Refinancing Notes shall be issued subject to Applicable Intercreditor Arrangements; (b) other than with respect to the initial maturity date for Extendable Bridge Loans/Interim Debt and Refinancing Notes in an amount not in excess of the Inside Maturity Basket at the time of Incurrence, no Refinancing Notes shall (i) mature prior to the Latest Maturity Date of the Term Loan Tranche being refinanced or (ii) be subject to any amortization prior to the final maturity thereof, or be subject to any mandatory redemption or prepayment provisions or rights (except (x) customary assets sale, casualty events or similar event, change of control provisions, special mandatory redemptions in connection with customary escrow arrangements and customary acceleration rights after an event of default and (y) customary “AHYDO” payments); (c) the covenants, events of default, guarantees, collateral and other terms of such Refinancing Notes are customary for similar debt securities in light of then-prevailing market conditions at the time of issuance (as determined by the Borrower in good faith) (it being understood that no Refinancing Notes shall include any financial maintenance covenants, but that customary cross-acceleration provisions may be included and that any negative covenants with respect to indebtedness, investments, liens or restricted payments shall be incurrence-based)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Borrower’s option, delivery of a certificate of a Responsible Officer of the Borrower to the Administrative Agent in good faith at least five Business Days (or such shorter period as may be agreed by the Administrative Agent) prior to the incurrence of such Refinancing Notes, together with a reasonably detailed description of the material terms and conditions of such Refinancing Notes or drafts of the documentation relating thereto, stating that the Borrower has determined in good faith that such terms and conditions satisfy the requirement set forth in this clause (c), shall be conclusive evidence that such terms and conditions satisfy such requirement unless the Administrative Agent provides notice to the Borrower of its objection during such five Business Day period (or shorter) (including a reasonable description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3" w:name="page124"/>
    <w:bookmarkEnd w:id="123"/>
    <w:p>
      <w:pPr>
        <w:jc w:val="both"/>
        <w:spacing w:after="0" w:line="260" w:lineRule="auto"/>
        <w:rPr>
          <w:sz w:val="20"/>
          <w:szCs w:val="20"/>
          <w:color w:val="auto"/>
        </w:rPr>
      </w:pPr>
      <w:r>
        <w:rPr>
          <w:rFonts w:ascii="Arial" w:cs="Arial" w:eastAsia="Arial" w:hAnsi="Arial"/>
          <w:sz w:val="19"/>
          <w:szCs w:val="19"/>
          <w:color w:val="auto"/>
        </w:rPr>
        <w:t>basis upon which it objects)); (d) such Refinancing Notes may not have obligors or Liens that are more extensive than those which applied to the Indebtedness being refinanced (it being understood that the roles of such obligors as a borrower or a guarantor with respect to such obligations may be interchanged); and (e) the Net Cash Proceeds of such Refinancing Notes shall be applied, substantially concurrently with the incurrence thereof, to the pro rata prepayment of outstanding Term Loans under the applicable Term Loan Tranche being so refinanced and the payment of fees, expenses and premiums, if any, payable in connection therewith.</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Refunding Capital Stock</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S-X</w:t>
      </w:r>
      <w:r>
        <w:rPr>
          <w:rFonts w:ascii="Arial" w:cs="Arial" w:eastAsia="Arial" w:hAnsi="Arial"/>
          <w:sz w:val="20"/>
          <w:szCs w:val="20"/>
          <w:color w:val="auto"/>
        </w:rPr>
        <w:t>” means Regulation S-X under the Securities Act of 1933, as amended.</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Business Assets</w:t>
      </w:r>
      <w:r>
        <w:rPr>
          <w:rFonts w:ascii="Arial" w:cs="Arial" w:eastAsia="Arial" w:hAnsi="Arial"/>
          <w:sz w:val="20"/>
          <w:szCs w:val="20"/>
          <w:color w:val="auto"/>
        </w:rPr>
        <w:t xml:space="preserve">” means assets (other than cash or Cash Equivalents) used or useful in a Similar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assets received by the Borrower or a Restricted Subsidiary in exchange for assets transferred by the Borrower or a Restricted Subsidiary will not be deemed to be Related Business Assets if they consist of securities of a Person, unless upon receipt of the securities of such Person, such Person would become a Restricted Subsidiary.</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means, with respect to any Person, such Person’s Affiliates and the partners, directors, officers, employees, agents, attorneys-in-fact, trustees and advisors of such Person and of such Person’s Affiliates.</w:t>
      </w:r>
    </w:p>
    <w:p>
      <w:pPr>
        <w:spacing w:after="0" w:line="17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(including the abandonment or disposal of any barrels, containers or other closed receptacles containing any Hazardous Material) into the Environment or into, from or through any building or structure.</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Governmental Body</w:t>
      </w:r>
      <w:r>
        <w:rPr>
          <w:rFonts w:ascii="Arial" w:cs="Arial" w:eastAsia="Arial" w:hAnsi="Arial"/>
          <w:sz w:val="20"/>
          <w:szCs w:val="20"/>
          <w:color w:val="auto"/>
        </w:rPr>
        <w:t>” means the Federal Reserve Board and/or the NYFRB, or a committee officially endorsed or convened by the Federal Reserve Board and/or the NYFRB or, in each case, any successor thereto.</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Transaction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Replacement Assets</w:t>
      </w:r>
      <w:r>
        <w:rPr>
          <w:rFonts w:ascii="Arial" w:cs="Arial" w:eastAsia="Arial" w:hAnsi="Arial"/>
          <w:sz w:val="20"/>
          <w:szCs w:val="20"/>
          <w:color w:val="auto"/>
        </w:rPr>
        <w:t>” means (1) tangible assets that will be used or useful in a Similar Business or (2) substantially all the assets of a Similar Business or a majority of the Voting Stock of any Person engaged in a Similar Business that will become on the date of acquisition thereof a Restricted Subsidiary.</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Reportable Event</w:t>
      </w:r>
      <w:r>
        <w:rPr>
          <w:rFonts w:ascii="Arial" w:cs="Arial" w:eastAsia="Arial" w:hAnsi="Arial"/>
          <w:sz w:val="20"/>
          <w:szCs w:val="20"/>
          <w:color w:val="auto"/>
        </w:rPr>
        <w:t>” means any “reportable event,” as defined in Section 4043(c) of ERISA or the regulations issued thereunder, with respect to a Pension Plan other than those events as to which notice is waived pursuant to Department of Labor Reg. § 4043 as in effect on the date hereof (no matter how such notice requirement may be changed in the future).</w:t>
      </w:r>
    </w:p>
    <w:p>
      <w:pPr>
        <w:spacing w:after="0" w:line="186"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Repricing Transaction</w:t>
      </w:r>
      <w:r>
        <w:rPr>
          <w:rFonts w:ascii="Arial" w:cs="Arial" w:eastAsia="Arial" w:hAnsi="Arial"/>
          <w:sz w:val="20"/>
          <w:szCs w:val="20"/>
          <w:color w:val="auto"/>
        </w:rPr>
        <w:t>” means (i) any prepayment or repayment of any Tranche of Initial Term Loans, in whole or in part, with the proceeds of, or conversion or exchange of any portion of such Initial Term Loans into, any new or replacement Tranche of syndicated term loans under credit facilities incurred for the primary purpose of repaying, refinancing, or replacing such Initial Term Loans with loans bearing interest with an All-in Yield less than the All-in Yield applicable to such portion of the Initial Term Loans (as such comparative yields are determined in the reasonable judgment of the Administrative Agent in consultation with the Borrower, consistent with generally accepted financial practices) and (ii)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4" w:name="page125"/>
    <w:bookmarkEnd w:id="124"/>
    <w:p>
      <w:pPr>
        <w:jc w:val="both"/>
        <w:spacing w:after="0" w:line="246" w:lineRule="auto"/>
        <w:rPr>
          <w:sz w:val="20"/>
          <w:szCs w:val="20"/>
          <w:color w:val="auto"/>
        </w:rPr>
      </w:pPr>
      <w:r>
        <w:rPr>
          <w:rFonts w:ascii="Arial" w:cs="Arial" w:eastAsia="Arial" w:hAnsi="Arial"/>
          <w:sz w:val="20"/>
          <w:szCs w:val="20"/>
          <w:color w:val="auto"/>
        </w:rPr>
        <w:t xml:space="preserve">amendment to any Tranche of the Facility which reduces the All-in Yield applicable to such Initial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Repricing Transaction shall not include any event described above that is not consummated for the primary purpose of lowering the effective interest cost or weighted average yield applicable to the Initial Term Loans, including, without limitation, in the context of a transaction involving a Change of Control.</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Request for Credit Extension</w:t>
      </w:r>
      <w:r>
        <w:rPr>
          <w:rFonts w:ascii="Arial" w:cs="Arial" w:eastAsia="Arial" w:hAnsi="Arial"/>
          <w:sz w:val="19"/>
          <w:szCs w:val="19"/>
          <w:color w:val="auto"/>
        </w:rPr>
        <w:t>” means with respect to a Borrowing, conversion or continuation of Loans, a Committed Loan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Lenders</w:t>
      </w:r>
      <w:r>
        <w:rPr>
          <w:rFonts w:ascii="Arial" w:cs="Arial" w:eastAsia="Arial" w:hAnsi="Arial"/>
          <w:sz w:val="18"/>
          <w:szCs w:val="18"/>
          <w:color w:val="auto"/>
        </w:rPr>
        <w:t xml:space="preserve">” means, as of any date of determination, Lenders having more than 50% of the sum of the Total Outstandings;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Total Outstandings held or deemed held by any Defaulting Lender or any Affiliate Lender (other than any Debt Fund Affiliate) shall in each case be excluded for purposes of making a determination of Required Lenders.</w:t>
      </w:r>
    </w:p>
    <w:p>
      <w:pPr>
        <w:spacing w:after="0" w:line="152" w:lineRule="exact"/>
        <w:rPr>
          <w:sz w:val="20"/>
          <w:szCs w:val="20"/>
          <w:color w:val="auto"/>
        </w:rPr>
      </w:pPr>
    </w:p>
    <w:p>
      <w:pPr>
        <w:jc w:val="both"/>
        <w:ind w:firstLine="749"/>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xml:space="preserve">” means the chief executive officer, president, vice president, chief financial officer, treasurer or assistant treasurer or other similar officer of a Loan Party and, as to any document delivered on the Closing Date (except as otherwise expressly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 any vice president, secretary or assistant secretary.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Investment</w:t>
      </w:r>
      <w:r>
        <w:rPr>
          <w:rFonts w:ascii="Arial" w:cs="Arial" w:eastAsia="Arial" w:hAnsi="Arial"/>
          <w:sz w:val="20"/>
          <w:szCs w:val="20"/>
          <w:color w:val="auto"/>
        </w:rPr>
        <w:t>” means an Investment other than a Permitted Investment.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Subsidiary</w:t>
      </w:r>
      <w:r>
        <w:rPr>
          <w:rFonts w:ascii="Arial" w:cs="Arial" w:eastAsia="Arial" w:hAnsi="Arial"/>
          <w:sz w:val="20"/>
          <w:szCs w:val="20"/>
          <w:color w:val="auto"/>
        </w:rPr>
        <w:t>” means any Subsidiary of a Person other than an Unrestricted Subsidiary of such Person. Unless otherwise indicated, all references to Restricted Subsidiaries shall mean Restricted Subsidiaries of the Borrower.</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Retained Declined Proceeds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Retired Capital Stock</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S&amp;P</w:t>
      </w:r>
      <w:r>
        <w:rPr>
          <w:rFonts w:ascii="Arial" w:cs="Arial" w:eastAsia="Arial" w:hAnsi="Arial"/>
          <w:sz w:val="20"/>
          <w:szCs w:val="20"/>
          <w:color w:val="auto"/>
        </w:rPr>
        <w:t>” means Standard &amp; Poor’s Ratings Services, a Standard &amp; Poor’s Financial Services LLC business or any successor to the rating agency business thereof.</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Sale/Leaseback Transaction</w:t>
      </w:r>
      <w:r>
        <w:rPr>
          <w:rFonts w:ascii="Arial" w:cs="Arial" w:eastAsia="Arial" w:hAnsi="Arial"/>
          <w:sz w:val="20"/>
          <w:szCs w:val="20"/>
          <w:color w:val="auto"/>
        </w:rPr>
        <w:t>” means an arrangement relating to property owned as of the Closing Date or thereafter acquired by the Borrower or a Restricted Subsidiary whereby the Borrower or a Restricted Subsidiary transfers such property to a Person and the Borrower or such Restricted Subsidiary leases it from such Person, other than leases between the Borrower and a Restricted Subsidiary of the Borrower or between Restricted Subsidiaries of the Borrower.</w:t>
      </w:r>
    </w:p>
    <w:p>
      <w:pPr>
        <w:spacing w:after="0" w:line="191" w:lineRule="exact"/>
        <w:rPr>
          <w:sz w:val="20"/>
          <w:szCs w:val="20"/>
          <w:color w:val="auto"/>
        </w:rPr>
      </w:pPr>
    </w:p>
    <w:p>
      <w:pPr>
        <w:jc w:val="both"/>
        <w:ind w:firstLine="80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Sanctioned Country</w:t>
      </w:r>
      <w:r>
        <w:rPr>
          <w:rFonts w:ascii="Arial" w:cs="Arial" w:eastAsia="Arial" w:hAnsi="Arial"/>
          <w:sz w:val="20"/>
          <w:szCs w:val="20"/>
          <w:color w:val="auto"/>
        </w:rPr>
        <w:t>” means, at any time, a country or territory which is the subject or target of any Sanctions (at the time of this Agreement, Cuba, Iran, North Korea, Syria, and the Crimea region of Ukraine).</w:t>
      </w:r>
    </w:p>
    <w:p>
      <w:pPr>
        <w:spacing w:after="0" w:line="17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Sanctioned Person</w:t>
      </w:r>
      <w:r>
        <w:rPr>
          <w:rFonts w:ascii="Arial" w:cs="Arial" w:eastAsia="Arial" w:hAnsi="Arial"/>
          <w:sz w:val="18"/>
          <w:szCs w:val="18"/>
          <w:color w:val="auto"/>
        </w:rPr>
        <w:t>” means, at any time, any Person that is the subject or target of Sanctions, including (a) any Person listed in any Sanctions-related list of designated Persons maintained by the Office of Foreign Assets Control of the U.S. Department of the Treasury, the U.S. Department of State, the European Union, or any European Union member state, the United Kingdom, or by the United Nations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5" w:name="page126"/>
    <w:bookmarkEnd w:id="125"/>
    <w:p>
      <w:pPr>
        <w:jc w:val="both"/>
        <w:spacing w:after="0" w:line="260" w:lineRule="auto"/>
        <w:rPr>
          <w:sz w:val="20"/>
          <w:szCs w:val="20"/>
          <w:color w:val="auto"/>
        </w:rPr>
      </w:pPr>
      <w:r>
        <w:rPr>
          <w:rFonts w:ascii="Arial" w:cs="Arial" w:eastAsia="Arial" w:hAnsi="Arial"/>
          <w:sz w:val="20"/>
          <w:szCs w:val="20"/>
          <w:color w:val="auto"/>
        </w:rPr>
        <w:t>Security Council, (b) any Person operating, organized or resident in a Sanctioned Country or (c) any Person owned, directly or indirectly, or controlled by any such Person or Persons described in (a) or (b).</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Sanctions</w:t>
      </w:r>
      <w:r>
        <w:rPr>
          <w:rFonts w:ascii="Arial" w:cs="Arial" w:eastAsia="Arial" w:hAnsi="Arial"/>
          <w:sz w:val="20"/>
          <w:szCs w:val="20"/>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its Member States, Her Majesty’s Treasury of the United Kingdom, or the United Nations Security Council.</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w:t>
      </w:r>
      <w:r>
        <w:rPr>
          <w:rFonts w:ascii="Arial" w:cs="Arial" w:eastAsia="Arial" w:hAnsi="Arial"/>
          <w:sz w:val="19"/>
          <w:szCs w:val="19"/>
          <w:color w:val="auto"/>
        </w:rPr>
        <w:t>” means the Securities and Exchange Commission, or any Governmental Authority succeeding to any of its principal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20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Cash Management Agreement</w:t>
      </w:r>
      <w:r>
        <w:rPr>
          <w:rFonts w:ascii="Arial" w:cs="Arial" w:eastAsia="Arial" w:hAnsi="Arial"/>
          <w:sz w:val="20"/>
          <w:szCs w:val="20"/>
          <w:color w:val="auto"/>
        </w:rPr>
        <w:t>” means any Cash Management Agreement that is entered into by and between any Loan Party or Restricted Subsidiary and any Cash Management Bank and designated by the Borrower in writing to the Administrative Agent and the relevant Cash Management Bank as a “Secured Cash Management Agreement”; provided, however, that no Cash Management Agreement may be designated as a Secured Cash Management Agreement if the obligations thereunder constitute ABL Debt or are otherwise secured pursuant to the ABL Credit Agreement.</w:t>
      </w:r>
    </w:p>
    <w:p>
      <w:pPr>
        <w:spacing w:after="0" w:line="19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Secured Hedge Agreement</w:t>
      </w:r>
      <w:r>
        <w:rPr>
          <w:rFonts w:ascii="Arial" w:cs="Arial" w:eastAsia="Arial" w:hAnsi="Arial"/>
          <w:sz w:val="18"/>
          <w:szCs w:val="18"/>
          <w:color w:val="auto"/>
        </w:rPr>
        <w:t>” means any Swap Contract permitted under Article VII that is entered into by and between any Loan Party or Restricted Subsidiary and any Hedge Bank and designated by the Borrower and the applicable Hedge Bank in writing to the Administrative Agent as a “Secured Hedge Agreement”; provided, however, that no hedge agreement may be designated as a Secured Hedge Agreement if the obligations thereunder constitute ABL Debt or are otherwise secured pursuant to the ABL Credit Agreement.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Obligations</w:t>
      </w:r>
      <w:r>
        <w:rPr>
          <w:rFonts w:ascii="Arial" w:cs="Arial" w:eastAsia="Arial" w:hAnsi="Arial"/>
          <w:sz w:val="20"/>
          <w:szCs w:val="20"/>
          <w:color w:val="auto"/>
        </w:rPr>
        <w:t>” has the meaning specified in the Security Agreement.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Parties</w:t>
      </w:r>
      <w:r>
        <w:rPr>
          <w:rFonts w:ascii="Arial" w:cs="Arial" w:eastAsia="Arial" w:hAnsi="Arial"/>
          <w:sz w:val="20"/>
          <w:szCs w:val="20"/>
          <w:color w:val="auto"/>
        </w:rPr>
        <w:t>” means, collectively, the Administrative Agent, the Collateral Agent, the Lenders, the Hedge Banks to the extent they are party to one or more Secured Hedge Agreements, the Cash Management Banks to the extent they are party to one or more Secured Cash Management Agreements and each co-agent or subagent appointed by the Administrative Agent or the Collateral Agent from time to time pursuant to Article IX.</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Security Agreement</w:t>
      </w:r>
      <w:r>
        <w:rPr>
          <w:rFonts w:ascii="Arial" w:cs="Arial" w:eastAsia="Arial" w:hAnsi="Arial"/>
          <w:sz w:val="20"/>
          <w:szCs w:val="20"/>
          <w:color w:val="auto"/>
        </w:rPr>
        <w:t xml:space="preserve">” means, collectively, the Security Agreement dated as of the Closing Date and executed by the Loan Parties,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together with each other security agreement and security agreement supplement executed and delivered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Security Agreement Collateral</w:t>
      </w:r>
      <w:r>
        <w:rPr>
          <w:rFonts w:ascii="Arial" w:cs="Arial" w:eastAsia="Arial" w:hAnsi="Arial"/>
          <w:sz w:val="20"/>
          <w:szCs w:val="20"/>
          <w:color w:val="auto"/>
        </w:rPr>
        <w:t xml:space="preserve">” means, collectively, all property pledged or granted as collateral pursuant to the Security Agreement (a) on the Closing Date or (b) thereafter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or otherwise pursuant to the Security Agreement, including the “Collateral” as defined therein.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Security Agreement Supplement</w:t>
      </w:r>
      <w:r>
        <w:rPr>
          <w:rFonts w:ascii="Arial" w:cs="Arial" w:eastAsia="Arial" w:hAnsi="Arial"/>
          <w:sz w:val="20"/>
          <w:szCs w:val="20"/>
          <w:color w:val="auto"/>
        </w:rPr>
        <w:t>” has the meaning specified in the Security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Senior Co-Manager</w:t>
      </w:r>
      <w:r>
        <w:rPr>
          <w:rFonts w:ascii="Arial" w:cs="Arial" w:eastAsia="Arial" w:hAnsi="Arial"/>
          <w:sz w:val="20"/>
          <w:szCs w:val="20"/>
          <w:color w:val="auto"/>
        </w:rPr>
        <w:t>” means each entity listed as Senior Co-Manager on the cover page hereto.</w:t>
      </w:r>
    </w:p>
    <w:p>
      <w:pPr>
        <w:spacing w:after="0" w:line="216" w:lineRule="exact"/>
        <w:rPr>
          <w:sz w:val="20"/>
          <w:szCs w:val="20"/>
          <w:color w:val="auto"/>
        </w:rPr>
      </w:pPr>
    </w:p>
    <w:p>
      <w:pPr>
        <w:jc w:val="both"/>
        <w:ind w:firstLine="159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Notes</w:t>
      </w:r>
      <w:r>
        <w:rPr>
          <w:rFonts w:ascii="Arial" w:cs="Arial" w:eastAsia="Arial" w:hAnsi="Arial"/>
          <w:sz w:val="18"/>
          <w:szCs w:val="18"/>
          <w:color w:val="auto"/>
        </w:rPr>
        <w:t>” means, collectively, (a) the Borrower’s $650,000,000 in aggregate principal amount outstanding of 5.000% Senior Notes due 2021, (b) the Borrower’s $650,000,000 in aggregate principal amount outstanding of 5.500% Senior Notes due 2024, (c) CommScope Technologies LLC’s $1,500,000,000 in aggregate principal amount outstanding of 6.000% Senior Notes due 2025, (d)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6" w:name="page127"/>
    <w:bookmarkEnd w:id="126"/>
    <w:p>
      <w:pPr>
        <w:jc w:val="both"/>
        <w:spacing w:after="0" w:line="260" w:lineRule="auto"/>
        <w:rPr>
          <w:sz w:val="20"/>
          <w:szCs w:val="20"/>
          <w:color w:val="auto"/>
        </w:rPr>
      </w:pPr>
      <w:r>
        <w:rPr>
          <w:rFonts w:ascii="Arial" w:cs="Arial" w:eastAsia="Arial" w:hAnsi="Arial"/>
          <w:sz w:val="20"/>
          <w:szCs w:val="20"/>
          <w:color w:val="auto"/>
        </w:rPr>
        <w:t>CommScope Technologies LLC’s $750,000,000 in aggregate principal amount outstanding of 5.000% Senior Notes due 2027 and (e) the Closing Date Senior Notes.</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Senior Notes Indenture</w:t>
      </w:r>
      <w:r>
        <w:rPr>
          <w:rFonts w:ascii="Arial" w:cs="Arial" w:eastAsia="Arial" w:hAnsi="Arial"/>
          <w:sz w:val="20"/>
          <w:szCs w:val="20"/>
          <w:color w:val="auto"/>
        </w:rPr>
        <w:t>” means any indenture, note purchase agreement or other agreement pursuant to which the Senior Notes are issued, in each case as in effect on Closing Date, as thereafter amended, modified, replaced, waived, supplemented or restated from time to time subject to the requirements of this Agreement.</w:t>
      </w:r>
    </w:p>
    <w:p>
      <w:pPr>
        <w:spacing w:after="0" w:line="18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Similar Business</w:t>
      </w:r>
      <w:r>
        <w:rPr>
          <w:rFonts w:ascii="Arial" w:cs="Arial" w:eastAsia="Arial" w:hAnsi="Arial"/>
          <w:sz w:val="18"/>
          <w:szCs w:val="18"/>
          <w:color w:val="auto"/>
        </w:rPr>
        <w:t>” means any business engaged in by the Borrower or any of its Restricted Subsidiaries on the Closing Date and any business or other activities that are reasonably similar, ancillary, complementary or related to, or a reasonable extension, development or expansion of, the businesses in which the Borrower and its Restricted Subsidiaries are engaged on the Closing Date.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Administrator’s Website</w:t>
      </w:r>
      <w:r>
        <w:rPr>
          <w:rFonts w:ascii="Arial" w:cs="Arial" w:eastAsia="Arial" w:hAnsi="Arial"/>
          <w:sz w:val="20"/>
          <w:szCs w:val="20"/>
          <w:color w:val="auto"/>
        </w:rPr>
        <w:t>” means the NYFRB’s website, currently at http://www.newyorkfed.org, or any successor source for the secured overnight financing rate identified as such by the SOFR Administrator from time to time.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Determination Date</w:t>
      </w:r>
      <w:r>
        <w:rPr>
          <w:rFonts w:ascii="Arial" w:cs="Arial" w:eastAsia="Arial" w:hAnsi="Arial"/>
          <w:sz w:val="20"/>
          <w:szCs w:val="20"/>
          <w:color w:val="auto"/>
        </w:rPr>
        <w:t>” has the meaning specified in the definition of “Daily Simple SOFR”.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Rate Day</w:t>
      </w:r>
      <w:r>
        <w:rPr>
          <w:rFonts w:ascii="Arial" w:cs="Arial" w:eastAsia="Arial" w:hAnsi="Arial"/>
          <w:sz w:val="20"/>
          <w:szCs w:val="20"/>
          <w:color w:val="auto"/>
        </w:rPr>
        <w:t>” has the meaning specified in the definition of “Daily Simple SOFR”.</w:t>
      </w:r>
    </w:p>
    <w:p>
      <w:pPr>
        <w:spacing w:after="0" w:line="21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Solvent</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Solvency</w:t>
      </w:r>
      <w:r>
        <w:rPr>
          <w:rFonts w:ascii="Arial" w:cs="Arial" w:eastAsia="Arial" w:hAnsi="Arial"/>
          <w:sz w:val="18"/>
          <w:szCs w:val="18"/>
          <w:color w:val="auto"/>
        </w:rPr>
        <w:t>” means, with respect to any Person on any date of determination, that on such date (a) the aggregate fair value of the assets and property of such Person is greater than the total amount of liabilities, including contingent liabilities, of such Person and is sufficient to enable payment of all such Person’s obligations due and accruing due, (b) the aggregate present fair salable value of the assets of such Person is greater than or equal to the total amount that will be required to pay the probable liabilities, including contingent liabilities, of such Person as they become absolute and matured and is sufficient to enable payment of all such Person’s obligations due and accruing due, (c) the capital of such Person is not unreasonably small in relation to its business as contemplated on such date of determination, (d) such Person has not and does not intend to, and does not believe that it will, incur debts or other obligations, including current obligations, beyond its ability to pay such debts and liabilities as they become due (whether at maturity or otherwise) and is not for any reason unable to pay its debts or meet its obligations as they generally become due, and (e) such Person is “solvent” within the meaning given to that term and similar terms under Laws applicable to such Person relating to fraudulent transfers and conveyances, transactions at an undervalue, unfair preferences or equivalent concepts. The amount of contingent liabilities at any time shall be computed as the amount that, in the light of all the facts and circumstances existing at such time, represents the amount that can reasonably be expected to become an actual or matured liability or, if a different methodology is prescribed by applicable Laws, as prescribed by such Laws.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10.07(g)</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Acquisition Agreement Representations</w:t>
      </w:r>
      <w:r>
        <w:rPr>
          <w:rFonts w:ascii="Arial" w:cs="Arial" w:eastAsia="Arial" w:hAnsi="Arial"/>
          <w:sz w:val="20"/>
          <w:szCs w:val="20"/>
          <w:color w:val="auto"/>
        </w:rPr>
        <w:t>” means the representations made by Arris with respect to Arris and its subsidiaries in the Acquisition Agreement as are material to the interests of the Lenders, but only to the extent that Holdings (or its affiliates party thereto) have the right (taking into account any applicable grace periods or cure provisions) to terminate its (or their respective) obligations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7" w:name="page128"/>
    <w:bookmarkEnd w:id="127"/>
    <w:p>
      <w:pPr>
        <w:jc w:val="both"/>
        <w:spacing w:after="0" w:line="260" w:lineRule="auto"/>
        <w:rPr>
          <w:sz w:val="20"/>
          <w:szCs w:val="20"/>
          <w:color w:val="auto"/>
        </w:rPr>
      </w:pPr>
      <w:r>
        <w:rPr>
          <w:rFonts w:ascii="Arial" w:cs="Arial" w:eastAsia="Arial" w:hAnsi="Arial"/>
          <w:sz w:val="20"/>
          <w:szCs w:val="20"/>
          <w:color w:val="auto"/>
        </w:rPr>
        <w:t>under the Acquisition Agreement, or the right to decline to consummate the Arris Acquisition, as a result of a breach of such representations in the Acquisition Agreement.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Refinancing Agent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Refinancing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Refinancing Term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Refinancing Term Loans</w:t>
      </w:r>
      <w:r>
        <w:rPr>
          <w:rFonts w:ascii="Arial" w:cs="Arial" w:eastAsia="Arial" w:hAnsi="Arial"/>
          <w:sz w:val="20"/>
          <w:szCs w:val="20"/>
          <w:color w:val="auto"/>
        </w:rPr>
        <w:t>” means Specified Refinancing Debt constituting term loans.</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Representations</w:t>
      </w:r>
      <w:r>
        <w:rPr>
          <w:rFonts w:ascii="Arial" w:cs="Arial" w:eastAsia="Arial" w:hAnsi="Arial"/>
          <w:sz w:val="20"/>
          <w:szCs w:val="20"/>
          <w:color w:val="auto"/>
        </w:rPr>
        <w:t>” means the representations and warranties made solely by the Borrower, Holdings and the Subsidiary Guarantors in Sections 5.01(a) and (b), 5.02(a), 5.04, 5.13, 5.17, 5.20, 5.21 and 5.22 (in each case, after giving effect to the Transactions, and in the case of the representations and warranties made pursuant to Sections 5.21 and 5.22, to be limited to the use of proceeds not violating the Laws referenced therein).</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Transaction</w:t>
      </w:r>
      <w:r>
        <w:rPr>
          <w:rFonts w:ascii="Arial" w:cs="Arial" w:eastAsia="Arial" w:hAnsi="Arial"/>
          <w:sz w:val="18"/>
          <w:szCs w:val="18"/>
          <w:color w:val="auto"/>
        </w:rPr>
        <w:t>” means any incurrence or repayment of Indebtedness (excluding Indebtedness incurred for working capital purposes other than pursuant to this Agreement) or Investment (including any proposed Investment or acquisition) that results in a Person becoming a Subsidiary, any designation of a Subsidiary as a Restricted Subsidiary or as an Unrestricted Subsidiary, any acquisition or any disposition that results in a Restricted Subsidiary ceasing to be a Subsidiary of the Borrower, any Investment constituting an acquisition of assets constituting a business unit, line of business or division of another Person or any disposition of a business unit, line of business or division of the Borrower or any of the Restricted Subsidiaries, in each case whether by merger, consolidation, amalgamation, Division or otherwise or any material restructuring of the Borrower or implementation of any initiative not in the ordinary course of business.</w:t>
      </w:r>
    </w:p>
    <w:p>
      <w:pPr>
        <w:spacing w:after="0" w:line="168"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Standard Securitization Undertakings</w:t>
      </w:r>
      <w:r>
        <w:rPr>
          <w:rFonts w:ascii="Arial" w:cs="Arial" w:eastAsia="Arial" w:hAnsi="Arial"/>
          <w:sz w:val="16"/>
          <w:szCs w:val="16"/>
          <w:color w:val="auto"/>
        </w:rPr>
        <w:t xml:space="preserve"> ” means representations, warranties, covenants, indemnities and guarantees of performance entered into by the Borrower or any Subsidiary of the Borrower which the Borrower has determined in good faith to be customary in a Factoring Transaction or Receivables Financing including, without limitation, those relating to the servicing of the assets of a Receivables Subsidiary, it being understood that any Receivables Repurchase Obligation shall be deemed to be a Standard Securitization Undertaking.</w:t>
      </w:r>
    </w:p>
    <w:p>
      <w:pPr>
        <w:spacing w:after="0" w:line="12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Stated Maturity</w:t>
      </w:r>
      <w:r>
        <w:rPr>
          <w:rFonts w:ascii="Arial" w:cs="Arial" w:eastAsia="Arial" w:hAnsi="Arial"/>
          <w:sz w:val="20"/>
          <w:szCs w:val="20"/>
          <w:color w:val="auto"/>
        </w:rPr>
        <w:t>” means, with respect to any installment of interest or principal on any series of Indebtedness, the date on which such payment of interest or principal was scheduled to be paid in the documentation governing such Indebtedness, and shall not include any contingent obligations to repay, redeem or repurchase any such interest or principal prior to the date originally scheduled for the payment thereof unless such contingency has occurred.</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Subordinated Indebtedness</w:t>
      </w:r>
      <w:r>
        <w:rPr>
          <w:rFonts w:ascii="Arial" w:cs="Arial" w:eastAsia="Arial" w:hAnsi="Arial"/>
          <w:sz w:val="20"/>
          <w:szCs w:val="20"/>
          <w:color w:val="auto"/>
        </w:rPr>
        <w:t>” means (a) with respect to the Borrower, any Indebtedness of the Borrower which is by its terms expressly subordinated in right of payment to the Obligations and (b) with respect to any Guarantor, any Indebtedness of such Guarantor which is by its terms expressly subordinated in right of payment to its Guarantee of the Obligations.</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(1) any corporation, association or other business entity (other than a partnership, joint venture or limited liability company) of which more than 50% of the total voting power of the Voting Stock is at the time of determination owned or controlled, directly or indirectly, by such Person or one or more of the other Subsidiaries of that Person or a combination thereof, (2) any partnership, joint venture or limited liability company of which (x) more than 50% of the capital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8" w:name="page129"/>
    <w:bookmarkEnd w:id="128"/>
    <w:p>
      <w:pPr>
        <w:jc w:val="both"/>
        <w:spacing w:after="0" w:line="244" w:lineRule="auto"/>
        <w:rPr>
          <w:sz w:val="20"/>
          <w:szCs w:val="20"/>
          <w:color w:val="auto"/>
        </w:rPr>
      </w:pPr>
      <w:r>
        <w:rPr>
          <w:rFonts w:ascii="Arial" w:cs="Arial" w:eastAsia="Arial" w:hAnsi="Arial"/>
          <w:sz w:val="20"/>
          <w:szCs w:val="20"/>
          <w:color w:val="auto"/>
        </w:rPr>
        <w:t>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Restricted Subsidiary of such Person is a controlling general partner or otherwise controls such entity and (3) any Person that is consolidated in the consolidated financial statements of the specified Person in accordance with GAAP.</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Guarantor</w:t>
      </w:r>
      <w:r>
        <w:rPr>
          <w:rFonts w:ascii="Arial" w:cs="Arial" w:eastAsia="Arial" w:hAnsi="Arial"/>
          <w:sz w:val="20"/>
          <w:szCs w:val="20"/>
          <w:color w:val="auto"/>
        </w:rPr>
        <w:t>” means, collectively, the Restricted Subsidiaries of the Borrower that are Guarantors.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Guaranty</w:t>
      </w:r>
      <w:r>
        <w:rPr>
          <w:rFonts w:ascii="Arial" w:cs="Arial" w:eastAsia="Arial" w:hAnsi="Arial"/>
          <w:sz w:val="20"/>
          <w:szCs w:val="20"/>
          <w:color w:val="auto"/>
        </w:rPr>
        <w:t xml:space="preserve"> ” means, collectively, the Subsidiary Guaranty made by the Subsidiary Guarantors in favor of the Administrative Agent on behalf of the Secured Parties, substantially in the form of </w:t>
      </w:r>
      <w:r>
        <w:rPr>
          <w:rFonts w:ascii="Arial" w:cs="Arial" w:eastAsia="Arial" w:hAnsi="Arial"/>
          <w:sz w:val="20"/>
          <w:szCs w:val="20"/>
          <w:u w:val="single" w:color="auto"/>
          <w:color w:val="auto"/>
        </w:rPr>
        <w:t>Exhibit D-2</w:t>
      </w:r>
      <w:r>
        <w:rPr>
          <w:rFonts w:ascii="Arial" w:cs="Arial" w:eastAsia="Arial" w:hAnsi="Arial"/>
          <w:sz w:val="20"/>
          <w:szCs w:val="20"/>
          <w:color w:val="auto"/>
        </w:rPr>
        <w:t xml:space="preserve">, together with each other guaranty and guaranty supplement delivered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Supplemental Administrative Agent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Supplemental Administrative Agents</w:t>
      </w:r>
      <w:r>
        <w:rPr>
          <w:rFonts w:ascii="Arial" w:cs="Arial" w:eastAsia="Arial" w:hAnsi="Arial"/>
          <w:sz w:val="20"/>
          <w:szCs w:val="20"/>
          <w:color w:val="auto"/>
        </w:rPr>
        <w:t>” shall have the corresponding meaning.</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Supplemental Collateral Agent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Supplemental Collateral Agents</w:t>
      </w:r>
      <w:r>
        <w:rPr>
          <w:rFonts w:ascii="Arial" w:cs="Arial" w:eastAsia="Arial" w:hAnsi="Arial"/>
          <w:sz w:val="20"/>
          <w:szCs w:val="20"/>
          <w:color w:val="auto"/>
        </w:rPr>
        <w:t>” shall have the corresponding meaning.</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80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Syndication Agent</w:t>
      </w:r>
      <w:r>
        <w:rPr>
          <w:rFonts w:ascii="Arial" w:cs="Arial" w:eastAsia="Arial" w:hAnsi="Arial"/>
          <w:sz w:val="20"/>
          <w:szCs w:val="20"/>
          <w:color w:val="auto"/>
        </w:rPr>
        <w:t>” means each entity listed as Co-Syndication Agent on the cover page hereto.</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Takeover Offer</w:t>
      </w:r>
      <w:r>
        <w:rPr>
          <w:rFonts w:ascii="Arial" w:cs="Arial" w:eastAsia="Arial" w:hAnsi="Arial"/>
          <w:sz w:val="20"/>
          <w:szCs w:val="20"/>
          <w:color w:val="auto"/>
        </w:rPr>
        <w:t>” has the meaning specified in the Acquisition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29" w:name="page130"/>
    <w:bookmarkEnd w:id="129"/>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w:t>
      </w:r>
      <w:r>
        <w:rPr>
          <w:rFonts w:ascii="Arial" w:cs="Arial" w:eastAsia="Arial" w:hAnsi="Arial"/>
          <w:sz w:val="19"/>
          <w:szCs w:val="19"/>
          <w:color w:val="auto"/>
        </w:rPr>
        <w:t>” means any present or future tax, levy, impost, duty, assessment, charge, fee, deduction or withholding of any nature and whatever called, imposed by any Governmental Authority, including any interest, additions to tax and penalties applicable thereto.</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 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3.01(f)</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Benchmark</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Adjusted Term SOFR Rate.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Commitment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xml:space="preserve">” means an advance made by any Lender under a Term Loan Facility (including different Tranches of Term Loans from time to time outstanding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but excluding New Term Loans and Specified Refinancing Term Loans).</w:t>
      </w:r>
    </w:p>
    <w:p>
      <w:pPr>
        <w:spacing w:after="0" w:line="13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Facility</w:t>
      </w:r>
      <w:r>
        <w:rPr>
          <w:rFonts w:ascii="Arial" w:cs="Arial" w:eastAsia="Arial" w:hAnsi="Arial"/>
          <w:sz w:val="20"/>
          <w:szCs w:val="20"/>
          <w:color w:val="auto"/>
        </w:rPr>
        <w:t>” means the extension of credit made hereunder in the form of Initial Term Loans or other Tranches of Term Loans permitted hereunder.</w:t>
      </w:r>
    </w:p>
    <w:p>
      <w:pPr>
        <w:spacing w:after="0" w:line="177"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Note</w:t>
      </w:r>
      <w:r>
        <w:rPr>
          <w:rFonts w:ascii="Arial" w:cs="Arial" w:eastAsia="Arial" w:hAnsi="Arial"/>
          <w:sz w:val="19"/>
          <w:szCs w:val="19"/>
          <w:color w:val="auto"/>
        </w:rPr>
        <w:t xml:space="preserve">” means a promissory note of the Borrower payable to any Lender, in substantially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evidencing the indebtedness of the Borrower to such Lender resulting from the Term Loans made or held by such Lender.</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Determination Day</w:t>
      </w:r>
      <w:r>
        <w:rPr>
          <w:rFonts w:ascii="Arial" w:cs="Arial" w:eastAsia="Arial" w:hAnsi="Arial"/>
          <w:sz w:val="20"/>
          <w:szCs w:val="20"/>
          <w:color w:val="auto"/>
        </w:rPr>
        <w:t>” has the meaning assigned to it under the definition of Term SOFR Reference Rate.</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SOFR Rate</w:t>
      </w:r>
      <w:r>
        <w:rPr>
          <w:rFonts w:ascii="Arial" w:cs="Arial" w:eastAsia="Arial" w:hAnsi="Arial"/>
          <w:sz w:val="18"/>
          <w:szCs w:val="18"/>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5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SOFR Reference Rate</w:t>
      </w:r>
      <w:r>
        <w:rPr>
          <w:rFonts w:ascii="Arial" w:cs="Arial" w:eastAsia="Arial" w:hAnsi="Arial"/>
          <w:sz w:val="18"/>
          <w:szCs w:val="18"/>
          <w:color w:val="auto"/>
        </w:rPr>
        <w:t>” means, for any day and time (such day, the “</w:t>
      </w:r>
      <w:r>
        <w:rPr>
          <w:rFonts w:ascii="Arial" w:cs="Arial" w:eastAsia="Arial" w:hAnsi="Arial"/>
          <w:sz w:val="18"/>
          <w:szCs w:val="18"/>
          <w:b w:val="1"/>
          <w:bCs w:val="1"/>
          <w:i w:val="1"/>
          <w:iCs w:val="1"/>
          <w:color w:val="auto"/>
        </w:rPr>
        <w:t>Term SOFR Determination Day</w:t>
      </w:r>
      <w:r>
        <w:rPr>
          <w:rFonts w:ascii="Arial" w:cs="Arial" w:eastAsia="Arial" w:hAnsi="Arial"/>
          <w:sz w:val="18"/>
          <w:szCs w:val="18"/>
          <w:color w:val="auto"/>
        </w:rPr>
        <w:t>”), with respect to any Term Benchmark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Test Period</w:t>
      </w:r>
      <w:r>
        <w:rPr>
          <w:rFonts w:ascii="Arial" w:cs="Arial" w:eastAsia="Arial" w:hAnsi="Arial"/>
          <w:sz w:val="20"/>
          <w:szCs w:val="20"/>
          <w:color w:val="auto"/>
        </w:rPr>
        <w:t>” means the most recent period of four consecutive fiscal quarters of Holdings ended on or prior to such time (taken as one accounting period) in respect of which financial statements for each such quarter or fiscal year in such period are internally available (as determined in good faith by the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0" w:name="page131"/>
    <w:bookmarkEnd w:id="130"/>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Threshold Amount</w:t>
      </w:r>
      <w:r>
        <w:rPr>
          <w:rFonts w:ascii="Arial" w:cs="Arial" w:eastAsia="Arial" w:hAnsi="Arial"/>
          <w:sz w:val="20"/>
          <w:szCs w:val="20"/>
          <w:color w:val="auto"/>
        </w:rPr>
        <w:t>” means $75,000,000.</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Outstandings</w:t>
      </w:r>
      <w:r>
        <w:rPr>
          <w:rFonts w:ascii="Arial" w:cs="Arial" w:eastAsia="Arial" w:hAnsi="Arial"/>
          <w:sz w:val="20"/>
          <w:szCs w:val="20"/>
          <w:color w:val="auto"/>
        </w:rPr>
        <w:t>” means the aggregate Outstanding Amount of all Loans.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 Costs</w:t>
      </w:r>
      <w:r>
        <w:rPr>
          <w:rFonts w:ascii="Arial" w:cs="Arial" w:eastAsia="Arial" w:hAnsi="Arial"/>
          <w:sz w:val="20"/>
          <w:szCs w:val="20"/>
          <w:color w:val="auto"/>
        </w:rPr>
        <w:t>” has the meaning specified in the definition of the “Transactions.”</w:t>
      </w:r>
    </w:p>
    <w:p>
      <w:pPr>
        <w:spacing w:after="0" w:line="216" w:lineRule="exact"/>
        <w:rPr>
          <w:sz w:val="20"/>
          <w:szCs w:val="20"/>
          <w:color w:val="auto"/>
        </w:rPr>
      </w:pPr>
    </w:p>
    <w:p>
      <w:pPr>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means, collectively, the Arris Acquisition, together with each of the following transactions consummated or to be consummated in connection therewith (including the payment of Transaction Costs and the Acquisition Costs (each as defined below)):</w:t>
      </w:r>
    </w:p>
    <w:p>
      <w:pPr>
        <w:spacing w:after="0" w:line="130" w:lineRule="exact"/>
        <w:rPr>
          <w:sz w:val="20"/>
          <w:szCs w:val="20"/>
          <w:color w:val="auto"/>
        </w:rPr>
      </w:pPr>
    </w:p>
    <w:p>
      <w:pPr>
        <w:ind w:left="380" w:firstLine="2"/>
        <w:spacing w:after="0" w:line="260" w:lineRule="auto"/>
        <w:tabs>
          <w:tab w:leader="none" w:pos="80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Pursuant to the Acquisition Agreement, Holdings and/or one of its Subsidiaries will consummate the Arris Acquisition and, if applicable, the other transactions described therein or related thereto.</w:t>
      </w:r>
    </w:p>
    <w:p>
      <w:pPr>
        <w:spacing w:after="0" w:line="68" w:lineRule="exact"/>
        <w:rPr>
          <w:rFonts w:ascii="Arial" w:cs="Arial" w:eastAsia="Arial" w:hAnsi="Arial"/>
          <w:sz w:val="20"/>
          <w:szCs w:val="20"/>
          <w:color w:val="auto"/>
        </w:rPr>
      </w:pPr>
    </w:p>
    <w:p>
      <w:pPr>
        <w:ind w:left="780" w:hanging="398"/>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will enter into this Agreement and the ABL Credit Agreement, and the other documents in connection therewith.</w:t>
      </w:r>
    </w:p>
    <w:p>
      <w:pPr>
        <w:spacing w:after="0" w:line="130" w:lineRule="exact"/>
        <w:rPr>
          <w:rFonts w:ascii="Arial" w:cs="Arial" w:eastAsia="Arial" w:hAnsi="Arial"/>
          <w:sz w:val="18"/>
          <w:szCs w:val="18"/>
          <w:color w:val="auto"/>
        </w:rPr>
      </w:pPr>
    </w:p>
    <w:p>
      <w:pPr>
        <w:ind w:left="780" w:hanging="398"/>
        <w:spacing w:after="0"/>
        <w:tabs>
          <w:tab w:leader="none" w:pos="7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Borrower will issue and sell the Closing Date Senior Notes.</w:t>
      </w:r>
    </w:p>
    <w:p>
      <w:pPr>
        <w:spacing w:after="0" w:line="107" w:lineRule="exact"/>
        <w:rPr>
          <w:rFonts w:ascii="Arial" w:cs="Arial" w:eastAsia="Arial" w:hAnsi="Arial"/>
          <w:sz w:val="20"/>
          <w:szCs w:val="20"/>
          <w:color w:val="auto"/>
        </w:rPr>
      </w:pPr>
    </w:p>
    <w:p>
      <w:pPr>
        <w:jc w:val="both"/>
        <w:ind w:left="380" w:firstLine="2"/>
        <w:spacing w:after="0" w:line="269" w:lineRule="auto"/>
        <w:tabs>
          <w:tab w:leader="none" w:pos="82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Holdings will issue shares of convertible preferred equity securities on terms substantially consistent with those previously described to the Arrangers or other equity or equity-linked securities reasonably acceptable to the Arrangers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Preferred Equity</w:t>
      </w:r>
      <w:r>
        <w:rPr>
          <w:rFonts w:ascii="Arial" w:cs="Arial" w:eastAsia="Arial" w:hAnsi="Arial"/>
          <w:sz w:val="19"/>
          <w:szCs w:val="19"/>
          <w:color w:val="auto"/>
        </w:rPr>
        <w:t>”) to the Closing Date Preferred Equity Purchaser yielding $1,000,000,000 in gross cash proceeds to Holdings.</w:t>
      </w:r>
    </w:p>
    <w:p>
      <w:pPr>
        <w:spacing w:after="0" w:line="61" w:lineRule="exact"/>
        <w:rPr>
          <w:rFonts w:ascii="Arial" w:cs="Arial" w:eastAsia="Arial" w:hAnsi="Arial"/>
          <w:sz w:val="19"/>
          <w:szCs w:val="19"/>
          <w:color w:val="auto"/>
        </w:rPr>
      </w:pPr>
    </w:p>
    <w:p>
      <w:pPr>
        <w:jc w:val="both"/>
        <w:ind w:left="380" w:firstLine="2"/>
        <w:spacing w:after="0" w:line="242" w:lineRule="auto"/>
        <w:tabs>
          <w:tab w:leader="none" w:pos="79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All existing third-party indebtedness for borrowed money of (i) the Borrower and its Subsidiaries under the Existing ABL Credit Agreement and the Existing Term Loan Credit Agreement and (ii) Arris and its Subsidiaries under that certain Credit Agreement, dated as of March 27, 2013, by and among Arris, the other parties from time to time party thereto and Bank of America, N.A., as administrative agent, in each case of clauses (i) and (ii), will be repaid, redeemed, repurchased, defeased, discharged, refinanced or terminated (or notice for the repayment or redemption thereof will be given to the extent accompanied by any prepayments or deposits required to defease, terminate and satisfy and discharge in full the obligations under any related indentures or notes), and all related guarantees and security interests will be terminated and released substantially concurrently with the initial funding of the Initial Term Loans (or arrangements for such termination and release reasonably satisfactory to the Administrative Agent shall have been made) (the “</w:t>
      </w:r>
      <w:r>
        <w:rPr>
          <w:rFonts w:ascii="Arial" w:cs="Arial" w:eastAsia="Arial" w:hAnsi="Arial"/>
          <w:sz w:val="20"/>
          <w:szCs w:val="20"/>
          <w:b w:val="1"/>
          <w:bCs w:val="1"/>
          <w:i w:val="1"/>
          <w:iCs w:val="1"/>
          <w:color w:val="auto"/>
        </w:rPr>
        <w:t>Refinancing</w:t>
      </w:r>
      <w:r>
        <w:rPr>
          <w:rFonts w:ascii="Arial" w:cs="Arial" w:eastAsia="Arial" w:hAnsi="Arial"/>
          <w:sz w:val="20"/>
          <w:szCs w:val="20"/>
          <w:color w:val="auto"/>
        </w:rPr>
        <w:t>”).</w:t>
      </w:r>
    </w:p>
    <w:p>
      <w:pPr>
        <w:spacing w:after="0" w:line="86" w:lineRule="exact"/>
        <w:rPr>
          <w:rFonts w:ascii="Arial" w:cs="Arial" w:eastAsia="Arial" w:hAnsi="Arial"/>
          <w:sz w:val="20"/>
          <w:szCs w:val="20"/>
          <w:color w:val="auto"/>
        </w:rPr>
      </w:pPr>
    </w:p>
    <w:p>
      <w:pPr>
        <w:jc w:val="both"/>
        <w:ind w:left="380" w:firstLine="2"/>
        <w:spacing w:after="0" w:line="282" w:lineRule="auto"/>
        <w:tabs>
          <w:tab w:leader="none" w:pos="79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proceeds of the Closing Date Senior Notes, the loans under the ABL Credit Agreement and hereunder and the Closing Date Preferred Equity made on the Closing Date will be applied (i) to pay the purchase price in connection with the Arris Acquisition, (ii) to pay the fees, costs and expenses incurred in connection with the Transactions (such fees and expenses, the “</w:t>
      </w:r>
      <w:r>
        <w:rPr>
          <w:rFonts w:ascii="Arial" w:cs="Arial" w:eastAsia="Arial" w:hAnsi="Arial"/>
          <w:sz w:val="18"/>
          <w:szCs w:val="18"/>
          <w:b w:val="1"/>
          <w:bCs w:val="1"/>
          <w:i w:val="1"/>
          <w:iCs w:val="1"/>
          <w:color w:val="auto"/>
        </w:rPr>
        <w:t>Transaction Costs</w:t>
      </w:r>
      <w:r>
        <w:rPr>
          <w:rFonts w:ascii="Arial" w:cs="Arial" w:eastAsia="Arial" w:hAnsi="Arial"/>
          <w:sz w:val="18"/>
          <w:szCs w:val="18"/>
          <w:color w:val="auto"/>
        </w:rPr>
        <w:t>”) and (iii) to pay for the Refinancing (the amounts set forth in clauses (i) through (iii) above, collectively, the “</w:t>
      </w:r>
      <w:r>
        <w:rPr>
          <w:rFonts w:ascii="Arial" w:cs="Arial" w:eastAsia="Arial" w:hAnsi="Arial"/>
          <w:sz w:val="18"/>
          <w:szCs w:val="18"/>
          <w:b w:val="1"/>
          <w:bCs w:val="1"/>
          <w:i w:val="1"/>
          <w:iCs w:val="1"/>
          <w:color w:val="auto"/>
        </w:rPr>
        <w:t>Acquisition Costs</w:t>
      </w:r>
      <w:r>
        <w:rPr>
          <w:rFonts w:ascii="Arial" w:cs="Arial" w:eastAsia="Arial" w:hAnsi="Arial"/>
          <w:sz w:val="18"/>
          <w:szCs w:val="18"/>
          <w:color w:val="auto"/>
        </w:rPr>
        <w:t>”).</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means, with respect to a Loan, its character as a Base Rate Loan or a Term Benchmark Loan.</w:t>
      </w:r>
    </w:p>
    <w:p>
      <w:pPr>
        <w:spacing w:after="0" w:line="216" w:lineRule="exact"/>
        <w:rPr>
          <w:sz w:val="20"/>
          <w:szCs w:val="20"/>
          <w:color w:val="auto"/>
        </w:rPr>
      </w:pPr>
    </w:p>
    <w:p>
      <w:pPr>
        <w:ind w:right="84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Unaudited 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4.01(f)</w:t>
      </w:r>
      <w:r>
        <w:rPr>
          <w:rFonts w:ascii="Arial" w:cs="Arial" w:eastAsia="Arial" w:hAnsi="Arial"/>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1" w:name="page132"/>
    <w:bookmarkEnd w:id="131"/>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Undisclosed Administration</w:t>
      </w:r>
      <w:r>
        <w:rPr>
          <w:rFonts w:ascii="Arial" w:cs="Arial" w:eastAsia="Arial" w:hAnsi="Arial"/>
          <w:sz w:val="20"/>
          <w:szCs w:val="20"/>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Person is subject to home jurisdiction supervision if applicable law requires that such appointment is not to be publicly disclosed.</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Unfunded Pension Liability</w:t>
      </w:r>
      <w:r>
        <w:rPr>
          <w:rFonts w:ascii="Arial" w:cs="Arial" w:eastAsia="Arial" w:hAnsi="Arial"/>
          <w:sz w:val="18"/>
          <w:szCs w:val="18"/>
          <w:color w:val="auto"/>
        </w:rPr>
        <w:t>” means the excess of the present value of a Pension Plan’s benefit liabilities under Section 4001(a)</w:t>
      </w:r>
    </w:p>
    <w:p>
      <w:pPr>
        <w:spacing w:after="0" w:line="39" w:lineRule="exact"/>
        <w:rPr>
          <w:sz w:val="20"/>
          <w:szCs w:val="20"/>
          <w:color w:val="auto"/>
        </w:rPr>
      </w:pPr>
    </w:p>
    <w:p>
      <w:pPr>
        <w:ind w:firstLine="8"/>
        <w:spacing w:after="0" w:line="244" w:lineRule="auto"/>
        <w:tabs>
          <w:tab w:leader="none" w:pos="40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of ERISA, over the current value of that Pension Plan’s assets, determined in accordance with the assumptions used for funding the Pension Plan pursuant to Section 412 of the Code for the applicable plan year.</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Uniform Commercial Code</w:t>
      </w:r>
      <w:r>
        <w:rPr>
          <w:rFonts w:ascii="Arial" w:cs="Arial" w:eastAsia="Arial" w:hAnsi="Arial"/>
          <w:sz w:val="20"/>
          <w:szCs w:val="20"/>
          <w:color w:val="auto"/>
        </w:rPr>
        <w:t>” or “</w:t>
      </w:r>
      <w:r>
        <w:rPr>
          <w:rFonts w:ascii="Arial" w:cs="Arial" w:eastAsia="Arial" w:hAnsi="Arial"/>
          <w:sz w:val="20"/>
          <w:szCs w:val="20"/>
          <w:b w:val="1"/>
          <w:bCs w:val="1"/>
          <w:i w:val="1"/>
          <w:iCs w:val="1"/>
          <w:color w:val="auto"/>
        </w:rPr>
        <w:t>UCC</w:t>
      </w:r>
      <w:r>
        <w:rPr>
          <w:rFonts w:ascii="Arial" w:cs="Arial" w:eastAsia="Arial" w:hAnsi="Arial"/>
          <w:sz w:val="20"/>
          <w:szCs w:val="20"/>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United States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United States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Unrestricted Subsidiary</w:t>
      </w:r>
      <w:r>
        <w:rPr>
          <w:rFonts w:ascii="Arial" w:cs="Arial" w:eastAsia="Arial" w:hAnsi="Arial"/>
          <w:sz w:val="20"/>
          <w:szCs w:val="20"/>
          <w:color w:val="auto"/>
        </w:rPr>
        <w:t>” means:</w:t>
      </w:r>
    </w:p>
    <w:p>
      <w:pPr>
        <w:spacing w:after="0" w:line="216" w:lineRule="exact"/>
        <w:rPr>
          <w:sz w:val="20"/>
          <w:szCs w:val="20"/>
          <w:color w:val="auto"/>
        </w:rPr>
      </w:pPr>
    </w:p>
    <w:p>
      <w:pPr>
        <w:ind w:left="380" w:firstLine="2"/>
        <w:spacing w:after="0" w:line="260" w:lineRule="auto"/>
        <w:tabs>
          <w:tab w:leader="none" w:pos="79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Subsidiary of the Borrower that at the time of determination shall be designated an Unrestricted Subsidiary by the Board of Directors of such Person in the manner provided below; and</w:t>
      </w:r>
    </w:p>
    <w:p>
      <w:pPr>
        <w:spacing w:after="0" w:line="68" w:lineRule="exact"/>
        <w:rPr>
          <w:rFonts w:ascii="Arial" w:cs="Arial" w:eastAsia="Arial" w:hAnsi="Arial"/>
          <w:sz w:val="20"/>
          <w:szCs w:val="20"/>
          <w:color w:val="auto"/>
        </w:rPr>
      </w:pPr>
    </w:p>
    <w:p>
      <w:pPr>
        <w:ind w:left="780" w:hanging="398"/>
        <w:spacing w:after="0"/>
        <w:tabs>
          <w:tab w:leader="none" w:pos="7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Subsidiary of an Unrestricted Subsidiary.</w:t>
      </w:r>
    </w:p>
    <w:p>
      <w:pPr>
        <w:spacing w:after="0" w:line="10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 xml:space="preserve">The Board of Directors of the Borrower may designate any Subsidiary of the Borrower (including any newly acquired or newly formed Subsidiary of the Borrower but excluding the Borrower) to be an Unrestricted Subsidiary unless such Subsidiary or any of its Subsidiaries owns any Equity Interests or Indebtedness of, or owns or holds any Lien on any property of, the Borrower or any other Subsidiary of the Borrower that is not a Subsidiary of the Subsidiary to be so designated;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Subsidiary to be so designated and its Subsidiaries do not at the time of designation have and do not thereafter Incur any Indebtedness pursuant to which the lender has recourse to any of the assets of the Borrower or any of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immediately after giving effect to such designation no Event of Default under Sections 8.01(a), (f) or (g) shall have occurred and be continuing as a result of such designation;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either:</w:t>
      </w:r>
    </w:p>
    <w:p>
      <w:pPr>
        <w:spacing w:after="0" w:line="180" w:lineRule="exact"/>
        <w:rPr>
          <w:sz w:val="20"/>
          <w:szCs w:val="20"/>
          <w:color w:val="auto"/>
        </w:rPr>
      </w:pPr>
    </w:p>
    <w:p>
      <w:pPr>
        <w:ind w:left="780" w:hanging="398"/>
        <w:spacing w:after="0"/>
        <w:tabs>
          <w:tab w:leader="none" w:pos="7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Subsidiary to be so designated has total consolidated assets of $1,000 or less; or</w:t>
      </w:r>
    </w:p>
    <w:p>
      <w:pPr>
        <w:spacing w:after="0" w:line="107" w:lineRule="exact"/>
        <w:rPr>
          <w:rFonts w:ascii="Arial" w:cs="Arial" w:eastAsia="Arial" w:hAnsi="Arial"/>
          <w:sz w:val="20"/>
          <w:szCs w:val="20"/>
          <w:color w:val="auto"/>
        </w:rPr>
      </w:pPr>
    </w:p>
    <w:p>
      <w:pPr>
        <w:ind w:left="780" w:hanging="398"/>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such Subsidiary has consolidated assets greater than $1,000, then such designation would be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3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Board of Directors of the Borrower may designate any Unrestricted Subsidiary to be a Restricted Subsidiary</w:t>
      </w:r>
      <w:r>
        <w:rPr>
          <w:rFonts w:ascii="Arial" w:cs="Arial" w:eastAsia="Arial" w:hAnsi="Arial"/>
          <w:sz w:val="20"/>
          <w:szCs w:val="20"/>
          <w:i w:val="1"/>
          <w:iCs w:val="1"/>
          <w:color w:val="auto"/>
        </w:rPr>
        <w:t>.</w:t>
      </w:r>
      <w:r>
        <w:rPr>
          <w:rFonts w:ascii="Arial" w:cs="Arial" w:eastAsia="Arial" w:hAnsi="Arial"/>
          <w:sz w:val="20"/>
          <w:szCs w:val="20"/>
          <w:color w:val="auto"/>
        </w:rPr>
        <w:t xml:space="preserve"> Any Indebtedness of such Subsidiary and any Liens encumbering its assets at the time of such designation shall be deemed newly incurred or established, as applicable, at such time.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Any such designation by the Board of Directors of the Borrower shall be evidenced to the Administrative Agent by promptly filing with the Administrative Agent a copy of the resolution of the Board of Directors of the Borrower giving effect to such designation and an Officer’s Certificate certifying that such designation complied with the foregoing provisions.</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Government Securities Business Day</w:t>
      </w:r>
      <w:r>
        <w:rPr>
          <w:rFonts w:ascii="Arial" w:cs="Arial" w:eastAsia="Arial" w:hAnsi="Arial"/>
          <w:sz w:val="20"/>
          <w:szCs w:val="20"/>
          <w:color w:val="auto"/>
        </w:rPr>
        <w:t>” means any day except for (i) a Saturday, (ii) a Sunday or (iii) a day on which the Securities Industry and Financial Markets Association recommends that the fixed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income departments of its members be closed for the entire day for purposes of trading in United States government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Lender</w:t>
      </w:r>
      <w:r>
        <w:rPr>
          <w:rFonts w:ascii="Arial" w:cs="Arial" w:eastAsia="Arial" w:hAnsi="Arial"/>
          <w:sz w:val="20"/>
          <w:szCs w:val="20"/>
          <w:color w:val="auto"/>
        </w:rPr>
        <w:t>” means a Lender that is a United States person within the meaning of Section 7701(a)(30) of the Code.</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Voting Stock</w:t>
      </w:r>
      <w:r>
        <w:rPr>
          <w:rFonts w:ascii="Arial" w:cs="Arial" w:eastAsia="Arial" w:hAnsi="Arial"/>
          <w:sz w:val="20"/>
          <w:szCs w:val="20"/>
          <w:color w:val="auto"/>
        </w:rPr>
        <w:t>” of any Person as of any date means the Capital Stock of such Person that is at the time entitled to vote (without regard to the occurrence of any contingency) in the election of the Board of Directors of such Person.</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Weighted Average Life to Maturity</w:t>
      </w:r>
      <w:r>
        <w:rPr>
          <w:rFonts w:ascii="Arial" w:cs="Arial" w:eastAsia="Arial" w:hAnsi="Arial"/>
          <w:sz w:val="19"/>
          <w:szCs w:val="19"/>
          <w:color w:val="auto"/>
        </w:rPr>
        <w:t>” means, when applied to any Indebtedness or Disqualified Stock, as the case may be, at any date, the quotient obtained by dividing (1) the sum of the products of the number of years from the date of determination to the date of each successive scheduled principal payment of such Indebtedness or redemption or similar payment with respect to such Disqualified Stock multiplied by the amount of such payment, by (2) the sum of all such payments.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Wholly Owned Restricted Subsidiary</w:t>
      </w:r>
      <w:r>
        <w:rPr>
          <w:rFonts w:ascii="Arial" w:cs="Arial" w:eastAsia="Arial" w:hAnsi="Arial"/>
          <w:sz w:val="20"/>
          <w:szCs w:val="20"/>
          <w:color w:val="auto"/>
        </w:rPr>
        <w:t>” is any Wholly Owned Subsidiary that is a Restricted Subsidiary.</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Wholly Owned Subsidiary</w:t>
      </w:r>
      <w:r>
        <w:rPr>
          <w:rFonts w:ascii="Arial" w:cs="Arial" w:eastAsia="Arial" w:hAnsi="Arial"/>
          <w:sz w:val="20"/>
          <w:szCs w:val="20"/>
          <w:color w:val="auto"/>
        </w:rPr>
        <w:t>” of any Person means a Subsidiary of such Person 100%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 and one or more Wholly Owned Subsidiaries of such Person.</w:t>
      </w:r>
    </w:p>
    <w:p>
      <w:pPr>
        <w:spacing w:after="0" w:line="191" w:lineRule="exact"/>
        <w:rPr>
          <w:sz w:val="20"/>
          <w:szCs w:val="20"/>
          <w:color w:val="auto"/>
        </w:rPr>
      </w:pPr>
    </w:p>
    <w:p>
      <w:pPr>
        <w:jc w:val="both"/>
        <w:ind w:firstLine="8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Working Capital</w:t>
      </w:r>
      <w:r>
        <w:rPr>
          <w:rFonts w:ascii="Arial" w:cs="Arial" w:eastAsia="Arial" w:hAnsi="Arial"/>
          <w:sz w:val="20"/>
          <w:szCs w:val="20"/>
          <w:color w:val="auto"/>
        </w:rPr>
        <w:t>” means, with respect to the Borrower and the Restricted Subsidiaries on a consolidated basis, Consolidated Current Assets minus Consolidated Current Liabilities.</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1.02 Other Interpretive Provisions. With reference to this Agreement and each other Loan Document, unless otherwise specified herein or in such other Loan Document:</w:t>
      </w:r>
    </w:p>
    <w:p>
      <w:pPr>
        <w:spacing w:after="0" w:line="177" w:lineRule="exact"/>
        <w:rPr>
          <w:sz w:val="20"/>
          <w:szCs w:val="20"/>
          <w:color w:val="auto"/>
        </w:rPr>
      </w:pPr>
    </w:p>
    <w:p>
      <w:pPr>
        <w:ind w:left="1980" w:hanging="475"/>
        <w:spacing w:after="0"/>
        <w:tabs>
          <w:tab w:leader="none" w:pos="19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 terms.</w:t>
      </w:r>
    </w:p>
    <w:p>
      <w:pPr>
        <w:spacing w:after="0" w:line="227" w:lineRule="exact"/>
        <w:rPr>
          <w:rFonts w:ascii="Arial" w:cs="Arial" w:eastAsia="Arial" w:hAnsi="Arial"/>
          <w:sz w:val="19"/>
          <w:szCs w:val="19"/>
          <w:color w:val="auto"/>
        </w:rPr>
      </w:pPr>
    </w:p>
    <w:p>
      <w:pPr>
        <w:ind w:firstLine="1505"/>
        <w:spacing w:after="0" w:line="260" w:lineRule="auto"/>
        <w:tabs>
          <w:tab w:leader="none" w:pos="200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u w:val="single" w:color="auto"/>
          <w:color w:val="auto"/>
        </w:rPr>
        <w:t>herein</w:t>
      </w:r>
      <w:r>
        <w:rPr>
          <w:rFonts w:ascii="Arial" w:cs="Arial" w:eastAsia="Arial" w:hAnsi="Arial"/>
          <w:sz w:val="20"/>
          <w:szCs w:val="20"/>
          <w:color w:val="auto"/>
        </w:rPr>
        <w:t>,” “</w:t>
      </w:r>
      <w:r>
        <w:rPr>
          <w:rFonts w:ascii="Arial" w:cs="Arial" w:eastAsia="Arial" w:hAnsi="Arial"/>
          <w:sz w:val="20"/>
          <w:szCs w:val="20"/>
          <w:u w:val="single" w:color="auto"/>
          <w:color w:val="auto"/>
        </w:rPr>
        <w:t>hereto</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refer to such Loan Document as a whole and not to any particular provision thereof.</w:t>
      </w:r>
    </w:p>
    <w:p>
      <w:pPr>
        <w:spacing w:after="0" w:line="176" w:lineRule="exact"/>
        <w:rPr>
          <w:rFonts w:ascii="Arial" w:cs="Arial" w:eastAsia="Arial" w:hAnsi="Arial"/>
          <w:sz w:val="20"/>
          <w:szCs w:val="20"/>
          <w:color w:val="auto"/>
        </w:rPr>
      </w:pPr>
    </w:p>
    <w:p>
      <w:pPr>
        <w:ind w:left="2780" w:hanging="526"/>
        <w:spacing w:after="0"/>
        <w:tabs>
          <w:tab w:leader="none" w:pos="278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Article, Section, Exhibit and Schedule references are to the Loan Document in which such reference</w:t>
      </w:r>
    </w:p>
    <w:p>
      <w:pPr>
        <w:spacing w:after="0" w:line="27"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0"/>
          <w:szCs w:val="20"/>
          <w:color w:val="auto"/>
        </w:rPr>
        <w:t>appears.</w:t>
      </w:r>
    </w:p>
    <w:p>
      <w:pPr>
        <w:spacing w:after="0" w:line="199" w:lineRule="exact"/>
        <w:rPr>
          <w:rFonts w:ascii="Arial" w:cs="Arial" w:eastAsia="Arial" w:hAnsi="Arial"/>
          <w:sz w:val="19"/>
          <w:szCs w:val="19"/>
          <w:color w:val="auto"/>
        </w:rPr>
      </w:pPr>
    </w:p>
    <w:p>
      <w:pPr>
        <w:ind w:left="2600" w:hanging="346"/>
        <w:spacing w:after="0"/>
        <w:tabs>
          <w:tab w:leader="none" w:pos="260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term “including” is by way of example and not limitation.</w:t>
      </w:r>
    </w:p>
    <w:p>
      <w:pPr>
        <w:spacing w:after="0" w:line="215" w:lineRule="exact"/>
        <w:rPr>
          <w:rFonts w:ascii="Arial" w:cs="Arial" w:eastAsia="Arial" w:hAnsi="Arial"/>
          <w:sz w:val="20"/>
          <w:szCs w:val="20"/>
          <w:color w:val="auto"/>
        </w:rPr>
      </w:pPr>
    </w:p>
    <w:p>
      <w:pPr>
        <w:ind w:left="760" w:firstLine="1494"/>
        <w:spacing w:after="0" w:line="260" w:lineRule="auto"/>
        <w:tabs>
          <w:tab w:leader="none" w:pos="2641"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3" w:name="page134"/>
    <w:bookmarkEnd w:id="133"/>
    <w:p>
      <w:pPr>
        <w:ind w:left="760" w:firstLine="1494"/>
        <w:spacing w:after="0" w:line="260" w:lineRule="auto"/>
        <w:tabs>
          <w:tab w:leader="none" w:pos="2756" w:val="left"/>
        </w:tabs>
        <w:numPr>
          <w:ilvl w:val="1"/>
          <w:numId w:val="106"/>
        </w:numPr>
        <w:rPr>
          <w:rFonts w:ascii="Arial" w:cs="Arial" w:eastAsia="Arial" w:hAnsi="Arial"/>
          <w:sz w:val="20"/>
          <w:szCs w:val="20"/>
          <w:color w:val="auto"/>
        </w:rPr>
      </w:pPr>
      <w:r>
        <w:rPr>
          <w:rFonts w:ascii="Arial" w:cs="Arial" w:eastAsia="Arial" w:hAnsi="Arial"/>
          <w:sz w:val="20"/>
          <w:szCs w:val="20"/>
          <w:color w:val="auto"/>
        </w:rPr>
        <w:t>For the avoidance of doubt, with respect to a Person, the term “Affiliate” includes any other Person that becomes an “Affiliate” of such Person after the Closing Date.</w:t>
      </w:r>
    </w:p>
    <w:p>
      <w:pPr>
        <w:spacing w:after="0" w:line="176" w:lineRule="exact"/>
        <w:rPr>
          <w:rFonts w:ascii="Arial" w:cs="Arial" w:eastAsia="Arial" w:hAnsi="Arial"/>
          <w:sz w:val="20"/>
          <w:szCs w:val="20"/>
          <w:color w:val="auto"/>
        </w:rPr>
      </w:pPr>
    </w:p>
    <w:p>
      <w:pPr>
        <w:ind w:firstLine="1505"/>
        <w:spacing w:after="0" w:line="287" w:lineRule="auto"/>
        <w:tabs>
          <w:tab w:leader="none" w:pos="198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2" w:lineRule="exact"/>
        <w:rPr>
          <w:rFonts w:ascii="Arial" w:cs="Arial" w:eastAsia="Arial" w:hAnsi="Arial"/>
          <w:sz w:val="19"/>
          <w:szCs w:val="19"/>
          <w:color w:val="auto"/>
        </w:rPr>
      </w:pPr>
    </w:p>
    <w:p>
      <w:pPr>
        <w:ind w:firstLine="1505"/>
        <w:spacing w:after="0" w:line="260" w:lineRule="auto"/>
        <w:tabs>
          <w:tab w:leader="none" w:pos="198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jc w:val="both"/>
        <w:ind w:firstLine="1505"/>
        <w:spacing w:after="0" w:line="246" w:lineRule="auto"/>
        <w:tabs>
          <w:tab w:leader="none" w:pos="199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With respect to any (x) Investment or acquisition, merger, amalgamation, Division or similar transaction, in each case, the consummation of which is not conditioned on the availability of, or on obtaining, third-party financing and (y) repayment, repurchase or refinancing of Indebtedness, Disqualified Stock or Preferred Stock with respect to which a notice of repayment (or similar notice), which may be conditional, has been delivered, in each case for purposes of determining:</w:t>
      </w:r>
    </w:p>
    <w:p>
      <w:pPr>
        <w:spacing w:after="0" w:line="191" w:lineRule="exact"/>
        <w:rPr>
          <w:rFonts w:ascii="Arial" w:cs="Arial" w:eastAsia="Arial" w:hAnsi="Arial"/>
          <w:sz w:val="20"/>
          <w:szCs w:val="20"/>
          <w:color w:val="auto"/>
        </w:rPr>
      </w:pPr>
    </w:p>
    <w:p>
      <w:pPr>
        <w:jc w:val="both"/>
        <w:ind w:left="760" w:firstLine="1494"/>
        <w:spacing w:after="0" w:line="250" w:lineRule="auto"/>
        <w:tabs>
          <w:tab w:leader="none" w:pos="2743" w:val="left"/>
        </w:tabs>
        <w:numPr>
          <w:ilvl w:val="1"/>
          <w:numId w:val="107"/>
        </w:numPr>
        <w:rPr>
          <w:rFonts w:ascii="Arial" w:cs="Arial" w:eastAsia="Arial" w:hAnsi="Arial"/>
          <w:sz w:val="20"/>
          <w:szCs w:val="20"/>
          <w:color w:val="auto"/>
        </w:rPr>
      </w:pPr>
      <w:r>
        <w:rPr>
          <w:rFonts w:ascii="Arial" w:cs="Arial" w:eastAsia="Arial" w:hAnsi="Arial"/>
          <w:sz w:val="20"/>
          <w:szCs w:val="20"/>
          <w:color w:val="auto"/>
        </w:rPr>
        <w:t>whether any Indebtedness (including Acquired Indebtedness), Disqualified Stock or Preferred Stock that is being Incurred in connection with such Investment, acquisition or repayment, repurchase or refinancing of Indebtedness, Disqualified Stock or Preferred Stock is permitted to be incurred in compliance with Section 7.03;</w:t>
      </w:r>
    </w:p>
    <w:p>
      <w:pPr>
        <w:spacing w:after="0" w:line="186" w:lineRule="exact"/>
        <w:rPr>
          <w:sz w:val="20"/>
          <w:szCs w:val="20"/>
          <w:color w:val="auto"/>
        </w:rPr>
      </w:pPr>
    </w:p>
    <w:p>
      <w:pPr>
        <w:jc w:val="both"/>
        <w:ind w:left="760" w:firstLine="1494"/>
        <w:spacing w:after="0" w:line="250" w:lineRule="auto"/>
        <w:tabs>
          <w:tab w:leader="none" w:pos="274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whether any Lien being Incurred in connection with such Investment, acquisition or repayment, repurchase or refinancing of Indebtedness, Disqualified Stock or Preferred Stock or to secure any such Indebtedness is permitted to be Incurred in accordance with Section 7.01 or the definition of “Permitted Liens”;</w:t>
      </w:r>
    </w:p>
    <w:p>
      <w:pPr>
        <w:spacing w:after="0" w:line="185" w:lineRule="exact"/>
        <w:rPr>
          <w:rFonts w:ascii="Arial" w:cs="Arial" w:eastAsia="Arial" w:hAnsi="Arial"/>
          <w:sz w:val="20"/>
          <w:szCs w:val="20"/>
          <w:color w:val="auto"/>
        </w:rPr>
      </w:pPr>
    </w:p>
    <w:p>
      <w:pPr>
        <w:jc w:val="both"/>
        <w:ind w:left="760" w:firstLine="1494"/>
        <w:spacing w:after="0" w:line="244" w:lineRule="auto"/>
        <w:tabs>
          <w:tab w:leader="none" w:pos="262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whether any other transaction or action undertaken or proposed to be undertaken in connection with such Investment, acquisition, merger, amalgamation, Division or similar transaction or repayment, repurchase or refinancing of Indebtedness, Disqualified Stock or Preferred Stock (including any Restricted Payments, dispositions, fundamental changes or designations of Restricted Subsidiaries or Unrestricted Subsidiaries) complies with the covenants or agreements contained in this Agreement; and</w:t>
      </w:r>
    </w:p>
    <w:p>
      <w:pPr>
        <w:spacing w:after="0" w:line="194" w:lineRule="exact"/>
        <w:rPr>
          <w:rFonts w:ascii="Arial" w:cs="Arial" w:eastAsia="Arial" w:hAnsi="Arial"/>
          <w:sz w:val="20"/>
          <w:szCs w:val="20"/>
          <w:color w:val="auto"/>
        </w:rPr>
      </w:pPr>
    </w:p>
    <w:p>
      <w:pPr>
        <w:jc w:val="both"/>
        <w:ind w:left="760" w:firstLine="1494"/>
        <w:spacing w:after="0" w:line="259" w:lineRule="auto"/>
        <w:tabs>
          <w:tab w:leader="none" w:pos="265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calculation of the ratios, baskets or financial metrics, including Fixed Charge Coverage Ratio, Consolidated First Lien Net Leverage Ratio, Consolidated Total Leverage Ratio, Consolidated Total Net Leverage Ratio, Consolidated Senior Secured Net Leverage Ratio, Consolidated Net Income, Consolidated EBITDA, Four Quarter Consolidated EBITDA, Consolidated Total Assets, Consolidated Cash Interest Expense and/or Pro Forma Cost Savings and baskets determined by reference to Consolidated Net Income, Consolidated EBITDA, Four Quarter Consolidated EBITDA or Consolidated Total Assets and, whether a Default or Event of Default exists in connection with the foregoing;</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at the option of the Borrower, the date that the definitive agreement (or other relevant definitive documentation) for or public announcement of such Investment or acquisition or repayment, repurchase or refinancing or Incurrence of Indebtedness is entered into or the date of any notice, which may be conditional, of such repayment, repurchase or refinancing of Indebtedness is given to the holders of such Indebtedness (the “</w:t>
      </w:r>
      <w:r>
        <w:rPr>
          <w:rFonts w:ascii="Arial" w:cs="Arial" w:eastAsia="Arial" w:hAnsi="Arial"/>
          <w:sz w:val="18"/>
          <w:szCs w:val="18"/>
          <w:b w:val="1"/>
          <w:bCs w:val="1"/>
          <w:i w:val="1"/>
          <w:iCs w:val="1"/>
          <w:color w:val="auto"/>
        </w:rPr>
        <w:t>Transaction Commitment Date</w:t>
      </w:r>
      <w:r>
        <w:rPr>
          <w:rFonts w:ascii="Arial" w:cs="Arial" w:eastAsia="Arial" w:hAnsi="Arial"/>
          <w:sz w:val="18"/>
          <w:szCs w:val="18"/>
          <w:color w:val="auto"/>
        </w:rPr>
        <w:t>”) may be used as the applicable date of determination, as the case may be, in each case with such pro forma adjustments as are appropriate and consistent with the pro forma adjustment provisions set forth in the definition of “Pro Forma Basis” or “Consolidated EBITDA.” For the avoidance of doubt, if the Borrower elects to use the Transaction Commitment Date as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4" w:name="page135"/>
    <w:bookmarkEnd w:id="134"/>
    <w:p>
      <w:pPr>
        <w:jc w:val="both"/>
        <w:spacing w:after="0" w:line="268" w:lineRule="auto"/>
        <w:rPr>
          <w:sz w:val="20"/>
          <w:szCs w:val="20"/>
          <w:color w:val="auto"/>
        </w:rPr>
      </w:pPr>
      <w:r>
        <w:rPr>
          <w:rFonts w:ascii="Arial" w:cs="Arial" w:eastAsia="Arial" w:hAnsi="Arial"/>
          <w:sz w:val="18"/>
          <w:szCs w:val="18"/>
          <w:color w:val="auto"/>
        </w:rPr>
        <w:t>the applicable date of determination in accordance with the foregoing, (a) any fluctuation or change in (i) the Fixed Charge Coverage Ratio, Consolidated First Lien Net Leverage Ratio, Consolidated Total Leverage Ratio, Consolidated Total Net Leverage Ratio, Consolidated Senior Secured Net Leverage Ratio, Consolidated Net Income, Consolidated EBITDA, Four Quarter Consolidated EBITDA, Consolidated Total Assets, Consolidated Cash Interest Expense and/or Pro Forma Cost Savings of the Borrower and (ii) the applicable exchange rate utilized in calculating compliance with any Dollar-based provision of this Agreement, from the Transaction Commitment Date to the date of consummation of such Investment, acquisition or repayment, repurchase or refinancing of Indebtedness, will not be taken into account for purposes of determining whether any Indebtedness or Lien that is being incurred in connection with such Investment, acquisition or repayment, repurchase or refinancing of Indebtedness, or in connection with compliance by the Borrower or any of the Restricted Subsidiaries with any other provision of the Loan Documents or any other transaction undertaken in connection with such Investment, acquisition or repayment, repurchase or refinancing of Indebtedness, is permitted to be incurred and (b) until such Investment, acquisition or repayment, repurchase or refinancing of Indebtedness is consummated or such definitive agreements (or other relevant definitive documentation) are terminated (or conditions in any conditional notice can no longer be met or public announcements with respect thereto are withdrawn), such Investment, acquisition or repayment, repurchase or refinancing of Indebtedness and all transactions proposed to be undertaken in connection therewith (including the incurrence of Indebtedness and Liens) will be given pro forma effect when determining compliance of other transactions (including the incurrence of Indebtedness and Liens unrelated to such Investment, acquisition or repayment, repurchase or refinancing of Indebtedness) that are consummated after the Transaction Commitment Date and on or prior to the date of consummation of such Investment, acquisition or repayment, repurchase or refinancing of Indebtedness and any such transactions (including any incurrence of Indebtedness and the use of proceeds thereof) will be deemed to have occurred on the date the definitive agreements (or other relevant definitive documentation) are entered into or public announcement is made and deemed to be outstanding thereafter for purposes of calculating any baskets or ratios under the Loan Documents after the date of such agreement and before the date of consummation of such Investment, acquisition or repayment, repurchase or refinancing of Indebtedness.</w:t>
      </w:r>
    </w:p>
    <w:p>
      <w:pPr>
        <w:spacing w:after="0" w:line="182" w:lineRule="exact"/>
        <w:rPr>
          <w:sz w:val="20"/>
          <w:szCs w:val="20"/>
          <w:color w:val="auto"/>
        </w:rPr>
      </w:pPr>
    </w:p>
    <w:p>
      <w:pPr>
        <w:jc w:val="both"/>
        <w:ind w:firstLine="1505"/>
        <w:spacing w:after="0" w:line="244" w:lineRule="auto"/>
        <w:tabs>
          <w:tab w:leader="none" w:pos="19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For purposes hereof, the “</w:t>
      </w:r>
      <w:r>
        <w:rPr>
          <w:rFonts w:ascii="Arial" w:cs="Arial" w:eastAsia="Arial" w:hAnsi="Arial"/>
          <w:sz w:val="20"/>
          <w:szCs w:val="20"/>
          <w:u w:val="single" w:color="auto"/>
          <w:color w:val="auto"/>
        </w:rPr>
        <w:t>Maximum Fixed Repurchase Price</w:t>
      </w:r>
      <w:r>
        <w:rPr>
          <w:rFonts w:ascii="Arial" w:cs="Arial" w:eastAsia="Arial" w:hAnsi="Arial"/>
          <w:sz w:val="20"/>
          <w:szCs w:val="20"/>
          <w:color w:val="auto"/>
        </w:rPr>
        <w:t>”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Funded Indebtedness shall be required to be determined pursuant to this Agreement, and if such price is based upon, or measured by, the Fair Market Value of such Disqualified Stock or Preferred Stock.</w:t>
      </w:r>
    </w:p>
    <w:p>
      <w:pPr>
        <w:spacing w:after="0" w:line="194" w:lineRule="exact"/>
        <w:rPr>
          <w:rFonts w:ascii="Arial" w:cs="Arial" w:eastAsia="Arial" w:hAnsi="Arial"/>
          <w:sz w:val="20"/>
          <w:szCs w:val="20"/>
          <w:color w:val="auto"/>
        </w:rPr>
      </w:pPr>
    </w:p>
    <w:p>
      <w:pPr>
        <w:jc w:val="both"/>
        <w:ind w:firstLine="1505"/>
        <w:spacing w:after="0" w:line="269" w:lineRule="auto"/>
        <w:tabs>
          <w:tab w:leader="none" w:pos="202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For the purposes of Sections 2.05(b)(ii), 6.12, 7.04, 7.05 and 7.06, an allocation of assets to a division of a Restricted Subsidiary that is a limited liability company, or an allocation of assets to a series of a Restricted Subsidiary that is a limited liability company, shall be treated as a transfer of assets from one Restricted Subsidiary to another Restricted Subsidiary.</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1.03  Accounting Terms.</w:t>
      </w:r>
    </w:p>
    <w:p>
      <w:pPr>
        <w:spacing w:after="0" w:line="216" w:lineRule="exact"/>
        <w:rPr>
          <w:sz w:val="20"/>
          <w:szCs w:val="20"/>
          <w:color w:val="auto"/>
        </w:rPr>
      </w:pPr>
    </w:p>
    <w:p>
      <w:pPr>
        <w:jc w:val="both"/>
        <w:ind w:firstLine="1505"/>
        <w:spacing w:after="0" w:line="250" w:lineRule="auto"/>
        <w:tabs>
          <w:tab w:leader="none" w:pos="20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1983"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If at any time any change in GAAP, or any election by the Borrower to report in IFRS in lieu of GAAP for financial reporting purposes, or the application thereof would affect the computation or interpretation of any financial ratio, basket, requirement or other provision set forth in any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5" w:name="page136"/>
    <w:bookmarkEnd w:id="135"/>
    <w:p>
      <w:pPr>
        <w:jc w:val="both"/>
        <w:spacing w:after="0" w:line="256" w:lineRule="auto"/>
        <w:rPr>
          <w:sz w:val="20"/>
          <w:szCs w:val="20"/>
          <w:color w:val="auto"/>
        </w:rPr>
      </w:pPr>
      <w:r>
        <w:rPr>
          <w:rFonts w:ascii="Arial" w:cs="Arial" w:eastAsia="Arial" w:hAnsi="Arial"/>
          <w:sz w:val="19"/>
          <w:szCs w:val="19"/>
          <w:color w:val="auto"/>
        </w:rPr>
        <w:t xml:space="preserve">Document, and either the Borrower or the Required Lenders shall so request, the Administrative Agent and the Borrower shall negotiate in good faith to amend such ratio, basket, requirement or other provision to preserve the original intent thereof in light of such change in GAAP or the application thereof (subject to the approval of the Required Lenders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(A) such ratio, basket, requirement or other provision shall continue to be computed or interpreted in accordance with GAAP or the application thereof prior to such change therein and (B) the Borrower shall provide to the Administrative Agent and the Lenders a written reconciliation in form and substance reasonably satisfactory to the Administrative Agent, between calculations of such ratio, basket, requirement or other provision made before and after giving effect to such change in GAAP or the application thereof or (ii) the Borrower may elect to fix GAAP (for purposes of such ratio, basket, requirement or other provision) as of another later date notified in writing to the Administrative Agent from time to time.</w:t>
      </w:r>
    </w:p>
    <w:p>
      <w:pPr>
        <w:spacing w:after="0" w:line="184" w:lineRule="exact"/>
        <w:rPr>
          <w:sz w:val="20"/>
          <w:szCs w:val="20"/>
          <w:color w:val="auto"/>
        </w:rPr>
      </w:pPr>
    </w:p>
    <w:p>
      <w:pPr>
        <w:jc w:val="both"/>
        <w:ind w:firstLine="1505"/>
        <w:spacing w:after="0" w:line="291" w:lineRule="auto"/>
        <w:tabs>
          <w:tab w:leader="none" w:pos="19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all such financial statements shall be prepared, and all financial covenants contained herein or in any other Loan Document shall be calculated, in each case, without giving effect to any election under FASB ASC 825 (or any similar accounting principle) permitting a Person to value its financial liabilities at the fair value thereof.</w:t>
      </w:r>
    </w:p>
    <w:p>
      <w:pPr>
        <w:spacing w:after="0" w:line="152"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1.04 Rounding. Any financial ratios required to be tested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2"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8"/>
          <w:szCs w:val="18"/>
          <w:color w:val="auto"/>
        </w:rPr>
        <w:t>1.05 References to Agreements and Laws.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65"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1.06 Times of Day. Unless otherwise specified, all references herein to times of day shall be references to Eastern time (daylight or standard, as applicable).</w:t>
      </w:r>
    </w:p>
    <w:p>
      <w:pPr>
        <w:spacing w:after="0" w:line="17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1.07 Timing of Payment or Performance. When the payment of any obligation or the performance of any covenant, duty or obligation is stated to be due or performance required on a day which is not a Business Day, the date of such payment (other than as specifically provided in Section 2.12 or as described in the definition of Interest Period) or performance shall extend to the immediately succeeding Business Day.</w:t>
      </w:r>
    </w:p>
    <w:p>
      <w:pPr>
        <w:spacing w:after="0" w:line="191"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1.08 Currency Equivalents Generally. Any amount specified in this Agreement (other than in Articles II, IX and X) or any of the other Loan Documents to be in Dollars shall also include the equivalent of such amount in any currency other than Dollars, such equivalent amount to be determined at the rate of exchange quoted by the Administrative Agent at the close of business on the Business Day immediately preceding any date of determination thereof, to prime banks in New York, New York for the spot purchase in the New York foreign exchange market of such amount in Dollars with such other currency; provided that compliance with Section 7.03 as it relates to foreign currency shall be governed by Section 7.03(d).</w:t>
      </w:r>
    </w:p>
    <w:p>
      <w:pPr>
        <w:spacing w:after="0" w:line="19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1.09 Pro Forma Calculations. Notwithstanding anything to the contrary herein (subject to Section 1.02(e)), the Consolidated First Lien Net Leverage Ratio, the Consolidated Total Net Leverage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6" w:name="page137"/>
    <w:bookmarkEnd w:id="136"/>
    <w:p>
      <w:pPr>
        <w:jc w:val="both"/>
        <w:spacing w:after="0" w:line="256" w:lineRule="auto"/>
        <w:rPr>
          <w:sz w:val="20"/>
          <w:szCs w:val="20"/>
          <w:color w:val="auto"/>
        </w:rPr>
      </w:pPr>
      <w:r>
        <w:rPr>
          <w:rFonts w:ascii="Arial" w:cs="Arial" w:eastAsia="Arial" w:hAnsi="Arial"/>
          <w:sz w:val="19"/>
          <w:szCs w:val="19"/>
          <w:color w:val="auto"/>
        </w:rPr>
        <w:t xml:space="preserve">Ratio, the Consolidated Total Leverage Ratio, the Consolidated Senior Secured Net Leverage Ratio, the Fixed Charge Coverage Ratio (including, for the avoidance of doubt, Consolidated Cash Interest Expense), Consolidated EBITDA, Four Quarter Consolidated EBITDA and Consolidated Total Assets shall be calculated (including, in each case, for purposes of Sections 2.16 and 2.17) on a Pro Forma Basis with respect to each Specified Transaction occurring during the applicable four quarter period to which such calculation relates, and/or subsequent to the end of such four-quarter period; provided that notwithstanding the foregoing, when calculating the Consolidated First Lien Net Leverage Ratio for purposes of (i) determining the applicable percentage of Excess Cash Flow for purposes of </w:t>
      </w:r>
      <w:r>
        <w:rPr>
          <w:rFonts w:ascii="Arial" w:cs="Arial" w:eastAsia="Arial" w:hAnsi="Arial"/>
          <w:sz w:val="19"/>
          <w:szCs w:val="19"/>
          <w:u w:val="single" w:color="auto"/>
          <w:color w:val="auto"/>
        </w:rPr>
        <w:t>Section 2.05(b)</w:t>
      </w:r>
      <w:r>
        <w:rPr>
          <w:rFonts w:ascii="Arial" w:cs="Arial" w:eastAsia="Arial" w:hAnsi="Arial"/>
          <w:sz w:val="19"/>
          <w:szCs w:val="19"/>
          <w:color w:val="auto"/>
        </w:rPr>
        <w:t>, and (ii) the Applicable Rate, any Specified Transaction and any related adjustment contemplated in the definition of Pro Forma Basis (and corresponding provisions of the definition of Consolidated EBITDA) that occurred subsequent to the end of the applicable four quarter period shall not be given Pro Forma Effect.</w:t>
      </w:r>
    </w:p>
    <w:p>
      <w:pPr>
        <w:spacing w:after="0" w:line="200" w:lineRule="exact"/>
        <w:rPr>
          <w:sz w:val="20"/>
          <w:szCs w:val="20"/>
          <w:color w:val="auto"/>
        </w:rPr>
      </w:pPr>
    </w:p>
    <w:p>
      <w:pPr>
        <w:spacing w:after="0" w:line="349"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1.10 Calculation of Baskets. If any of the baskets set forth in Article VII of this Agreement are exceeded solely as a result of fluctuations to Consolidated EBITDA for the most recently completed fiscal quarter after the last time such baskets were calculated for any purpose under Article VII, such baskets will not be deemed to have been exceeded solely as a result of such fluctuations.</w:t>
      </w:r>
    </w:p>
    <w:p>
      <w:pPr>
        <w:spacing w:after="0" w:line="152"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19"/>
          <w:szCs w:val="19"/>
          <w:color w:val="auto"/>
        </w:rPr>
        <w:t xml:space="preserve">1.11 Interest Rates; Benchmark Notification. The interest rate on a Loan may be derived from an interest rate benchmark that may be discontinued or is, or may in the future become, the subject of regulatory reform. Upon the occurrence of a Benchmark Transition Event,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COMMITMENTS AND CREDIT EXTENSIONS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2.01  The Loans.</w:t>
      </w:r>
    </w:p>
    <w:p>
      <w:pPr>
        <w:spacing w:after="0" w:line="216" w:lineRule="exact"/>
        <w:rPr>
          <w:sz w:val="20"/>
          <w:szCs w:val="20"/>
          <w:color w:val="auto"/>
        </w:rPr>
      </w:pPr>
    </w:p>
    <w:p>
      <w:pPr>
        <w:jc w:val="both"/>
        <w:ind w:firstLine="1505"/>
        <w:spacing w:after="0" w:line="250" w:lineRule="auto"/>
        <w:tabs>
          <w:tab w:leader="none" w:pos="198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Lender with an Initial Term Commitment severally agrees to make a single loan denominated in Dollars (the “</w:t>
      </w:r>
      <w:r>
        <w:rPr>
          <w:rFonts w:ascii="Arial" w:cs="Arial" w:eastAsia="Arial" w:hAnsi="Arial"/>
          <w:sz w:val="20"/>
          <w:szCs w:val="20"/>
          <w:b w:val="1"/>
          <w:bCs w:val="1"/>
          <w:i w:val="1"/>
          <w:iCs w:val="1"/>
          <w:color w:val="auto"/>
        </w:rPr>
        <w:t>Initial Term Loans</w:t>
      </w:r>
      <w:r>
        <w:rPr>
          <w:rFonts w:ascii="Arial" w:cs="Arial" w:eastAsia="Arial" w:hAnsi="Arial"/>
          <w:sz w:val="20"/>
          <w:szCs w:val="20"/>
          <w:color w:val="auto"/>
        </w:rPr>
        <w:t>”) to the Borrower on the Closing Date in an amount not to exceed such Lender’s Initial Term Commitment.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7" w:name="page138"/>
    <w:bookmarkEnd w:id="137"/>
    <w:p>
      <w:pPr>
        <w:jc w:val="both"/>
        <w:spacing w:after="0" w:line="291" w:lineRule="auto"/>
        <w:rPr>
          <w:sz w:val="20"/>
          <w:szCs w:val="20"/>
          <w:color w:val="auto"/>
        </w:rPr>
      </w:pPr>
      <w:r>
        <w:rPr>
          <w:rFonts w:ascii="Arial" w:cs="Arial" w:eastAsia="Arial" w:hAnsi="Arial"/>
          <w:sz w:val="18"/>
          <w:szCs w:val="18"/>
          <w:color w:val="auto"/>
        </w:rPr>
        <w:t xml:space="preserve">The initial Borrowing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shall consist of Initial Term Loans made simultaneously by the Lenders in accordance with their respective Commitments. Amounts borrowed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or otherwise pursuant to this Agreement and subsequently repaid or prepaid may not be reborrowed. Loans may be Base Rate Loans or Term Benchmark Loans as further provided herein.</w:t>
      </w:r>
    </w:p>
    <w:p>
      <w:pPr>
        <w:spacing w:after="0" w:line="152" w:lineRule="exact"/>
        <w:rPr>
          <w:sz w:val="20"/>
          <w:szCs w:val="20"/>
          <w:color w:val="auto"/>
        </w:rPr>
      </w:pPr>
    </w:p>
    <w:p>
      <w:pPr>
        <w:jc w:val="both"/>
        <w:ind w:firstLine="1505"/>
        <w:spacing w:after="0" w:line="274" w:lineRule="auto"/>
        <w:tabs>
          <w:tab w:leader="none" w:pos="20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After the Closing Date, subject to and upon the terms and conditions set forth herein, each Lender with a Commitment (other than an Initial Term Commitment) with respect to any Tranche of Term Loans (other than Initial Term Loans) severally agrees to make a Term Loan denominated in Dollars under such Tranche to the Borrowers in an amount not to exceed such Lender’s Commitment under such Tranche on the date of incurrence thereof, which Term Loans under such Tranche shall be incurred pursuant to a single drawing on the date set forth for such incurrence. Such Term Loans may be Base Rate Loans or Term Benchmark Loans as further provided herein. Once repaid, Term Loans incurred hereunder may not be reborrowed (it being understood, however, that prepayments will be taken into account for purposes of any Prepayment-Based Incremental Facility to the extent provided by Section 2.16).</w:t>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2.02  Borrowings, Conversions and Continuations of Loans.</w:t>
      </w:r>
    </w:p>
    <w:p>
      <w:pPr>
        <w:spacing w:after="0" w:line="216" w:lineRule="exact"/>
        <w:rPr>
          <w:sz w:val="20"/>
          <w:szCs w:val="20"/>
          <w:color w:val="auto"/>
        </w:rPr>
      </w:pPr>
    </w:p>
    <w:p>
      <w:pPr>
        <w:jc w:val="both"/>
        <w:ind w:firstLine="1505"/>
        <w:spacing w:after="0" w:line="269" w:lineRule="auto"/>
        <w:tabs>
          <w:tab w:leader="none" w:pos="19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Term Benchmark Loans shall be made upon the Borrower’s irrevocable notice to the Administrative Agent. Each such notice must be in writing and must be received by the Administrative Agent not later than 11:00 a.m. (New York time) (i) three (3) Business Days prior to the requested date of any Borrowing of, conversion of Base Rate Loans to, or continuation of, Term Benchmark Loans, or of any conversion of Term Benchmark Loans to Base Rate Loans, and (ii) on the requested date of any Borrowing of Base Rate Loans. Each notice by the Borrower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shall be delivered by the Borrower to the Administrative Agent in the form of a written Committed Loan Notice, appropriately completed and signed by a Responsible Officer of the Borrower. Each Borrowing of, conversion to or continuation of Term Benchmark Loans shall be in a principal amount of $3,000,000 or a whole multiple of $1,000,000 in excess thereof. Each Borrowing of, or conversion to, Base Rate Loans shall be in a principal amount of $1,000,000 or a whole multiple of $1,000,000 in excess thereof. Each Committed Loan Notice shall specify (i) whether the Borrower is requesting a Borrowing, a conversion of Loans from one Type to the other, or a continuation of Term Benchmark Loans, (ii) the requested date of the Borrowing, conversion or continuation, as the case may be (which shall be a Business Day), (iii) the principal amount of Loans and class of Loans to be borrowed, converted or continued and (iv) if applicable, the duration of the Interest Period with respect thereto.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Benchmark Loans. If the Borrower requests a Borrowing of, conversion to, or continuation of Term Benchmark Loans in any such Committed Loan Notice, but fails to specify an Interest Period, it will be deemed to have specified an Interest Period of one (1) month.</w:t>
      </w:r>
    </w:p>
    <w:p>
      <w:pPr>
        <w:spacing w:after="0" w:line="173" w:lineRule="exact"/>
        <w:rPr>
          <w:rFonts w:ascii="Arial" w:cs="Arial" w:eastAsia="Arial" w:hAnsi="Arial"/>
          <w:sz w:val="18"/>
          <w:szCs w:val="18"/>
          <w:color w:val="auto"/>
        </w:rPr>
      </w:pPr>
    </w:p>
    <w:p>
      <w:pPr>
        <w:jc w:val="both"/>
        <w:ind w:firstLine="1505"/>
        <w:spacing w:after="0" w:line="259" w:lineRule="auto"/>
        <w:tabs>
          <w:tab w:leader="none" w:pos="200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Following receipt of a Committed Loan Notice, the Administrative Agent shall promptly notify each applicable Lender of the amount of its ratable share of the Loans, and if no timely notice of a conversion or continuation is provided by the Borrower, the Administrative Agent shall notify each applicable Lender of the details of any automatic conversion to Base Rate Loans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In the case of a Borrowing, each applicable Lender shall make the amount of its Loan available to the Administrative Agent in immediately available funds at the Administrative Agent’s Office not later than 1:00 p.m. (or 2:00 p.m. in the case of Base Rate Loans) on the Business Day specified in the applicable Committed Loan Notice.</w:t>
      </w:r>
    </w:p>
    <w:p>
      <w:pPr>
        <w:spacing w:after="0" w:line="178" w:lineRule="exact"/>
        <w:rPr>
          <w:rFonts w:ascii="Arial" w:cs="Arial" w:eastAsia="Arial" w:hAnsi="Arial"/>
          <w:sz w:val="19"/>
          <w:szCs w:val="19"/>
          <w:color w:val="auto"/>
        </w:rPr>
      </w:pPr>
    </w:p>
    <w:p>
      <w:pPr>
        <w:ind w:firstLine="1505"/>
        <w:spacing w:after="0" w:line="260" w:lineRule="auto"/>
        <w:tabs>
          <w:tab w:leader="none" w:pos="199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Except as otherwise provided herein, a Term Benchmark Loan may be continued or converted only on the last day of an Interest Period for such Term Benchmark Loan unless the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8" w:name="page139"/>
    <w:bookmarkEnd w:id="138"/>
    <w:p>
      <w:pPr>
        <w:spacing w:after="0" w:line="287" w:lineRule="auto"/>
        <w:rPr>
          <w:sz w:val="20"/>
          <w:szCs w:val="20"/>
          <w:color w:val="auto"/>
        </w:rPr>
      </w:pPr>
      <w:r>
        <w:rPr>
          <w:rFonts w:ascii="Arial" w:cs="Arial" w:eastAsia="Arial" w:hAnsi="Arial"/>
          <w:sz w:val="19"/>
          <w:szCs w:val="19"/>
          <w:color w:val="auto"/>
        </w:rPr>
        <w:t xml:space="preserve">pays the amount due under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in connection therewith. During the existence of an Event of Default, at the election of the Administrative Agent or Required Lenders, no Loans may be requested as, converted to or continued as Term Benchmark Loans.</w:t>
      </w:r>
    </w:p>
    <w:p>
      <w:pPr>
        <w:spacing w:after="0" w:line="152" w:lineRule="exact"/>
        <w:rPr>
          <w:sz w:val="20"/>
          <w:szCs w:val="20"/>
          <w:color w:val="auto"/>
        </w:rPr>
      </w:pPr>
    </w:p>
    <w:p>
      <w:pPr>
        <w:jc w:val="both"/>
        <w:ind w:firstLine="1505"/>
        <w:spacing w:after="0" w:line="260" w:lineRule="auto"/>
        <w:tabs>
          <w:tab w:leader="none" w:pos="198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Borrower and the Lenders of the interest rate applicable to any Interest Period for Term Benchmark Loans upon determination of such interest rate. The determination of the Adjusted Term SOFR Rate by the Administrative Agent shall be conclusive in the absence of manifest error. At any time that Base Rate Loans are outstanding, the Administrative Agent shall notify the Borrower and the Lenders of any change in the Administrative Agent’s prime rate used in determining the Base Rate promptly following the public announcement of such change.</w:t>
      </w:r>
    </w:p>
    <w:p>
      <w:pPr>
        <w:spacing w:after="0" w:line="180" w:lineRule="exact"/>
        <w:rPr>
          <w:rFonts w:ascii="Arial" w:cs="Arial" w:eastAsia="Arial" w:hAnsi="Arial"/>
          <w:sz w:val="19"/>
          <w:szCs w:val="19"/>
          <w:color w:val="auto"/>
        </w:rPr>
      </w:pPr>
    </w:p>
    <w:p>
      <w:pPr>
        <w:ind w:firstLine="1505"/>
        <w:spacing w:after="0" w:line="260" w:lineRule="auto"/>
        <w:tabs>
          <w:tab w:leader="none" w:pos="198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from one Type to the other, and all continuations of Loans as the same Type, there shall not be more than ten (10) Interest Periods in effect.</w:t>
      </w:r>
    </w:p>
    <w:p>
      <w:pPr>
        <w:spacing w:after="0" w:line="176" w:lineRule="exact"/>
        <w:rPr>
          <w:rFonts w:ascii="Arial" w:cs="Arial" w:eastAsia="Arial" w:hAnsi="Arial"/>
          <w:sz w:val="20"/>
          <w:szCs w:val="20"/>
          <w:color w:val="auto"/>
        </w:rPr>
      </w:pPr>
    </w:p>
    <w:p>
      <w:pPr>
        <w:jc w:val="both"/>
        <w:ind w:firstLine="1505"/>
        <w:spacing w:after="0" w:line="246" w:lineRule="auto"/>
        <w:tabs>
          <w:tab w:leader="none" w:pos="240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which for the avoidance of doubt does not limit such Lender’s obligations under Section 2.18.</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2.03  [Reserved].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2.04  [Reserved].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2.05  Prepayments.</w:t>
      </w:r>
    </w:p>
    <w:p>
      <w:pPr>
        <w:spacing w:after="0" w:line="216" w:lineRule="exact"/>
        <w:rPr>
          <w:sz w:val="20"/>
          <w:szCs w:val="20"/>
          <w:color w:val="auto"/>
        </w:rPr>
      </w:pPr>
    </w:p>
    <w:p>
      <w:pPr>
        <w:ind w:left="1980" w:hanging="475"/>
        <w:spacing w:after="0"/>
        <w:tabs>
          <w:tab w:leader="none" w:pos="1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Optional.</w:t>
      </w:r>
    </w:p>
    <w:p>
      <w:pPr>
        <w:spacing w:after="0" w:line="215" w:lineRule="exact"/>
        <w:rPr>
          <w:rFonts w:ascii="Arial" w:cs="Arial" w:eastAsia="Arial" w:hAnsi="Arial"/>
          <w:sz w:val="20"/>
          <w:szCs w:val="20"/>
          <w:color w:val="auto"/>
        </w:rPr>
      </w:pPr>
    </w:p>
    <w:p>
      <w:pPr>
        <w:jc w:val="both"/>
        <w:ind w:left="760" w:firstLine="1494"/>
        <w:spacing w:after="0" w:line="269" w:lineRule="auto"/>
        <w:tabs>
          <w:tab w:leader="none" w:pos="274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Administrative Agent, at any time or from time to time voluntarily prepay Loans in whole or in part without, except as set forth in </w:t>
      </w:r>
      <w:r>
        <w:rPr>
          <w:rFonts w:ascii="Arial" w:cs="Arial" w:eastAsia="Arial" w:hAnsi="Arial"/>
          <w:sz w:val="18"/>
          <w:szCs w:val="18"/>
          <w:u w:val="single" w:color="auto"/>
          <w:color w:val="auto"/>
        </w:rPr>
        <w:t>Section 2.05(a)(iv)</w:t>
      </w:r>
      <w:r>
        <w:rPr>
          <w:rFonts w:ascii="Arial" w:cs="Arial" w:eastAsia="Arial" w:hAnsi="Arial"/>
          <w:sz w:val="18"/>
          <w:szCs w:val="18"/>
          <w:color w:val="auto"/>
        </w:rPr>
        <w:t xml:space="preserve"> below,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notice must be received by the Administrative Agent not later than 12:00 p.m. (New York time) (A) three (3) Business Days prior to any date of prepayment of Term Benchmark Loans and (B) on the date of prepayment of Base Rate Loans; (2) any prepayment of Term Benchmark Loans shall be in a principal amount of $3,000,000 or a whole multiple of $1,000,000 in excess thereof; and (3) any prepayment of Base Rate Loans shall be in a principal amount of $500,000 or a whole multiple of $100,000 in excess thereof or, in each case, if less, the entire principal amount thereof then outstanding. Each such notice shall specify the date and amount of such prepayment and the class and Type(s) of Loans to be prepaid and, if Term Benchmark Loans are to be prepaid, the Interest Period(s) of such Loans. The Administrative Agent will promptly notify each applicable Lender of its receipt of each such notice, and of the amount of such Lender’s ratable portion of such prepayment (based on such Lender’s ratable share of the relevant Facility). If such notice is given by the Borrower, the Borrower shall make such prepayment and the payment amount specified in such notice shall be due and payable on the date specified therein. Any prepayment of a Term Benchmark Loan shall be accompanied by all accrued interest thereon, together with any additional amounts required pursuant to </w:t>
      </w:r>
      <w:r>
        <w:rPr>
          <w:rFonts w:ascii="Arial" w:cs="Arial" w:eastAsia="Arial" w:hAnsi="Arial"/>
          <w:sz w:val="18"/>
          <w:szCs w:val="18"/>
          <w:u w:val="single" w:color="auto"/>
          <w:color w:val="auto"/>
        </w:rPr>
        <w:t>Sections 2.05(a)(iv)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In the event of any prepayments of Loans under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made at a time when Loans of more than one Tranche remain outstanding, the Borrower shall select the Tranche of Loans to be prepaid. Subject to Section 2.18, each prepayment of outstanding Loans under a Facility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9" w:name="page140"/>
    <w:bookmarkEnd w:id="139"/>
    <w:p>
      <w:pPr>
        <w:spacing w:after="0" w:line="260" w:lineRule="auto"/>
        <w:rPr>
          <w:sz w:val="20"/>
          <w:szCs w:val="20"/>
          <w:color w:val="auto"/>
        </w:rPr>
      </w:pPr>
      <w:r>
        <w:rPr>
          <w:rFonts w:ascii="Arial" w:cs="Arial" w:eastAsia="Arial" w:hAnsi="Arial"/>
          <w:sz w:val="20"/>
          <w:szCs w:val="20"/>
          <w:color w:val="auto"/>
        </w:rPr>
        <w:t>then-remaining amortization payments in the manner directed by the Borrower; and each such prepayment shall be paid to the applicable Lenders on a pro rata basis.</w:t>
      </w:r>
    </w:p>
    <w:p>
      <w:pPr>
        <w:spacing w:after="0" w:line="177" w:lineRule="exact"/>
        <w:rPr>
          <w:sz w:val="20"/>
          <w:szCs w:val="20"/>
          <w:color w:val="auto"/>
        </w:rPr>
      </w:pPr>
    </w:p>
    <w:p>
      <w:pPr>
        <w:ind w:left="1980" w:hanging="486"/>
        <w:spacing w:after="0"/>
        <w:tabs>
          <w:tab w:leader="none" w:pos="19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494"/>
        <w:spacing w:after="0" w:line="234" w:lineRule="exact"/>
        <w:tabs>
          <w:tab w:leader="none" w:pos="1878" w:val="left"/>
        </w:tabs>
        <w:numPr>
          <w:ilvl w:val="1"/>
          <w:numId w:val="117"/>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any notice of prepayment under Section 2.05(a)(i) may state that it is conditioned upon the occurrence or non</w:t>
      </w:r>
      <w:r>
        <w:rPr>
          <w:rFonts w:ascii="MS PGothic" w:cs="MS PGothic" w:eastAsia="MS PGothic" w:hAnsi="MS PGothic"/>
          <w:sz w:val="19"/>
          <w:szCs w:val="19"/>
          <w:color w:val="auto"/>
        </w:rPr>
        <w:t>‑</w:t>
      </w:r>
      <w:r>
        <w:rPr>
          <w:rFonts w:ascii="Arial" w:cs="Arial" w:eastAsia="Arial" w:hAnsi="Arial"/>
          <w:sz w:val="19"/>
          <w:szCs w:val="19"/>
          <w:color w:val="auto"/>
        </w:rPr>
        <w:t>occurrence of any event specified therein (including the effectiveness of other credit facilities), in which case such notice may be revoked or extended by the Borrower (by written notice to the Administrative Agent on or prior to the specified effective date) if such condition is not satisfied.</w:t>
      </w:r>
    </w:p>
    <w:p>
      <w:pPr>
        <w:spacing w:after="0" w:line="198" w:lineRule="exact"/>
        <w:rPr>
          <w:rFonts w:ascii="Arial" w:cs="Arial" w:eastAsia="Arial" w:hAnsi="Arial"/>
          <w:sz w:val="19"/>
          <w:szCs w:val="19"/>
          <w:color w:val="auto"/>
        </w:rPr>
      </w:pPr>
    </w:p>
    <w:p>
      <w:pPr>
        <w:jc w:val="both"/>
        <w:ind w:firstLine="1494"/>
        <w:spacing w:after="0" w:line="232" w:lineRule="exact"/>
        <w:tabs>
          <w:tab w:leader="none" w:pos="18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If the Borrower (A) makes a voluntary prepayment of Initial Term Loans pursuant to Section 2.05(a), (B) effects an amendment with respect to the Initial Term Loans, in each case resulting in a Repricing Transaction or (C) makes a prepayment of Initial Term Loans pursuant to Section 2.05(b)(iii) resulting in a Repricing Transaction, in each case prior to the six</w:t>
      </w:r>
      <w:r>
        <w:rPr>
          <w:rFonts w:ascii="MS PGothic" w:cs="MS PGothic" w:eastAsia="MS PGothic" w:hAnsi="MS PGothic"/>
          <w:sz w:val="20"/>
          <w:szCs w:val="20"/>
          <w:color w:val="auto"/>
        </w:rPr>
        <w:t>‑</w:t>
      </w:r>
      <w:r>
        <w:rPr>
          <w:rFonts w:ascii="Arial" w:cs="Arial" w:eastAsia="Arial" w:hAnsi="Arial"/>
          <w:sz w:val="20"/>
          <w:szCs w:val="20"/>
          <w:color w:val="auto"/>
        </w:rPr>
        <w:t>month anniversary of the Closing Date, the Borrower shall pay to the Administrative Agent, for the ratable account of the applicable Lenders, a prepayment premium in an amount equal to 1.0% of the principal amount prepaid (or in the case of clause (B), a prepayment premium in an amount equal to 1.0% of the principal amount of affected Initial Term Loans held by Lenders not consenting to such amendment).</w:t>
      </w:r>
    </w:p>
    <w:p>
      <w:pPr>
        <w:spacing w:after="0" w:line="199" w:lineRule="exact"/>
        <w:rPr>
          <w:rFonts w:ascii="Arial" w:cs="Arial" w:eastAsia="Arial" w:hAnsi="Arial"/>
          <w:sz w:val="20"/>
          <w:szCs w:val="20"/>
          <w:color w:val="auto"/>
        </w:rPr>
      </w:pPr>
    </w:p>
    <w:p>
      <w:pPr>
        <w:ind w:left="1220" w:hanging="475"/>
        <w:spacing w:after="0"/>
        <w:tabs>
          <w:tab w:leader="none" w:pos="12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Mandatory.</w:t>
      </w:r>
    </w:p>
    <w:p>
      <w:pPr>
        <w:spacing w:after="0" w:line="215" w:lineRule="exact"/>
        <w:rPr>
          <w:rFonts w:ascii="Arial" w:cs="Arial" w:eastAsia="Arial" w:hAnsi="Arial"/>
          <w:sz w:val="20"/>
          <w:szCs w:val="20"/>
          <w:color w:val="auto"/>
        </w:rPr>
      </w:pPr>
    </w:p>
    <w:p>
      <w:pPr>
        <w:jc w:val="both"/>
        <w:ind w:firstLine="1494"/>
        <w:spacing w:after="0" w:line="260" w:lineRule="auto"/>
        <w:tabs>
          <w:tab w:leader="none" w:pos="1982"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For any Excess Cash Flow Period, within ten Business Days after financial statements have been delivered pursuant to Section 6.01(a) and the related Compliance Certificate has been delivered pursuant to Section 6.02(b) (or, if later, the date on which such financial statements and such Compliance Certificate are required to be delivered), the Borrower shall prepay an aggregate principal amount of Term Loans in an amount equal to (A) 50% (as may be adjusted pursuant to the proviso below) of Excess Cash Flow for such Excess Cash Flow Period,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sum of:</w:t>
      </w:r>
    </w:p>
    <w:p>
      <w:pPr>
        <w:spacing w:after="0" w:line="180" w:lineRule="exact"/>
        <w:rPr>
          <w:rFonts w:ascii="Arial" w:cs="Arial" w:eastAsia="Arial" w:hAnsi="Arial"/>
          <w:sz w:val="19"/>
          <w:szCs w:val="19"/>
          <w:color w:val="auto"/>
        </w:rPr>
      </w:pPr>
    </w:p>
    <w:p>
      <w:pPr>
        <w:jc w:val="both"/>
        <w:ind w:left="740" w:firstLine="1503"/>
        <w:spacing w:after="0" w:line="255" w:lineRule="auto"/>
        <w:tabs>
          <w:tab w:leader="none" w:pos="2744" w:val="left"/>
        </w:tabs>
        <w:numPr>
          <w:ilvl w:val="2"/>
          <w:numId w:val="118"/>
        </w:numPr>
        <w:rPr>
          <w:rFonts w:ascii="Arial" w:cs="Arial" w:eastAsia="Arial" w:hAnsi="Arial"/>
          <w:sz w:val="19"/>
          <w:szCs w:val="19"/>
          <w:color w:val="auto"/>
        </w:rPr>
      </w:pPr>
      <w:r>
        <w:rPr>
          <w:rFonts w:ascii="Arial" w:cs="Arial" w:eastAsia="Arial" w:hAnsi="Arial"/>
          <w:sz w:val="19"/>
          <w:szCs w:val="19"/>
          <w:color w:val="auto"/>
        </w:rPr>
        <w:t xml:space="preserve">the aggregate amount of voluntary principal prepayments of the Loans or Indebtedness that is </w:t>
      </w:r>
      <w:r>
        <w:rPr>
          <w:rFonts w:ascii="Arial" w:cs="Arial" w:eastAsia="Arial" w:hAnsi="Arial"/>
          <w:sz w:val="19"/>
          <w:szCs w:val="19"/>
          <w:i w:val="1"/>
          <w:iCs w:val="1"/>
          <w:color w:val="auto"/>
        </w:rPr>
        <w:t xml:space="preserve">pari passu </w:t>
      </w:r>
      <w:r>
        <w:rPr>
          <w:rFonts w:ascii="Arial" w:cs="Arial" w:eastAsia="Arial" w:hAnsi="Arial"/>
          <w:sz w:val="19"/>
          <w:szCs w:val="19"/>
          <w:color w:val="auto"/>
        </w:rPr>
        <w:t>in right of payment and security with the Initial Term Loans, in each case, made during the period commencing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on the first day of the relevant Excess Cash Flow Period and ending on the date immediately prior to the date on which the relevant Excess Cash Flow prepayment is or would be required to be made (including prepayments at a discount to par and open market purchases, with credit given for the actual amount of the cash payment and prepayments in connection with lender replacement provisions (including pursuant to Section 3.07)) (except prepayments of Loans under the ABL Credit Agreement or any other revolving Indebtedness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ABL Debt that are not accompanied by a corresponding permanent commitment reduction of the ABL Debt), in each case other than to the extent that any such prepayment is funded with the proceeds of Specified Refinancing Debt, Refinancing Notes or any other long-term Indebtedness,</w:t>
      </w:r>
    </w:p>
    <w:p>
      <w:pPr>
        <w:spacing w:after="0" w:line="189" w:lineRule="exact"/>
        <w:rPr>
          <w:rFonts w:ascii="Arial" w:cs="Arial" w:eastAsia="Arial" w:hAnsi="Arial"/>
          <w:sz w:val="19"/>
          <w:szCs w:val="19"/>
          <w:color w:val="auto"/>
        </w:rPr>
      </w:pPr>
    </w:p>
    <w:p>
      <w:pPr>
        <w:ind w:left="2720" w:hanging="477"/>
        <w:spacing w:after="0"/>
        <w:tabs>
          <w:tab w:leader="none" w:pos="27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amount not required to be applied to such prepayment pursuant to Section 2.05(b)(vi) or (vii),</w:t>
      </w:r>
    </w:p>
    <w:p>
      <w:pPr>
        <w:spacing w:after="0" w:line="238" w:lineRule="exact"/>
        <w:rPr>
          <w:rFonts w:ascii="Arial" w:cs="Arial" w:eastAsia="Arial" w:hAnsi="Arial"/>
          <w:sz w:val="18"/>
          <w:szCs w:val="18"/>
          <w:color w:val="auto"/>
        </w:rPr>
      </w:pPr>
    </w:p>
    <w:p>
      <w:pPr>
        <w:ind w:left="740" w:firstLine="1503"/>
        <w:spacing w:after="0" w:line="260" w:lineRule="auto"/>
        <w:tabs>
          <w:tab w:leader="none" w:pos="2760" w:val="left"/>
        </w:tabs>
        <w:numPr>
          <w:ilvl w:val="2"/>
          <w:numId w:val="118"/>
        </w:numPr>
        <w:rPr>
          <w:rFonts w:ascii="Arial" w:cs="Arial" w:eastAsia="Arial" w:hAnsi="Arial"/>
          <w:sz w:val="20"/>
          <w:szCs w:val="20"/>
          <w:color w:val="auto"/>
        </w:rPr>
      </w:pPr>
      <w:r>
        <w:rPr>
          <w:rFonts w:ascii="Arial" w:cs="Arial" w:eastAsia="Arial" w:hAnsi="Arial"/>
          <w:sz w:val="20"/>
          <w:szCs w:val="20"/>
          <w:color w:val="auto"/>
        </w:rPr>
        <w:t>the portion of the Excess Cash Flow applied (to the extent the Borrower or any Restricted Subsidiary is required by the terms thereof) to prepay, repay or</w:t>
      </w:r>
    </w:p>
    <w:p>
      <w:pPr>
        <w:spacing w:after="0" w:line="16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365125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4" w:right="339" w:bottom="1440" w:gutter="0" w:footer="0" w:header="0"/>
        </w:sectPr>
      </w:pPr>
    </w:p>
    <w:bookmarkStart w:id="140" w:name="page141"/>
    <w:bookmarkEnd w:id="140"/>
    <w:p>
      <w:pPr>
        <w:jc w:val="both"/>
        <w:ind w:left="380"/>
        <w:spacing w:after="0" w:line="257" w:lineRule="auto"/>
        <w:rPr>
          <w:sz w:val="20"/>
          <w:szCs w:val="20"/>
          <w:color w:val="auto"/>
        </w:rPr>
      </w:pPr>
      <w:r>
        <w:rPr>
          <w:rFonts w:ascii="Arial" w:cs="Arial" w:eastAsia="Arial" w:hAnsi="Arial"/>
          <w:sz w:val="19"/>
          <w:szCs w:val="19"/>
          <w:color w:val="auto"/>
        </w:rPr>
        <w:t xml:space="preserve">purchase Indebtedness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Initial Term Loans (to the extent the documentation governing such Indebtedness requires such a prepayment or repurchase thereof with Excess Cash Flow, in each case in an amount not to exceed the product of (x) the amount of Excess Cash Flow and (y) a fraction, the numerator of which is the outstanding principal amount of such other Indebtedness (or to the extent such amount is not in Dollars, such equivalent amount of such Indebtedness converted into Dollars as determined by the Borrower in good faith) and the denominator of which is the aggregate outstanding principal amount of Term Loans and all such other Indebtedness), in each case other than to the extent that any such prepayment is funded with the proceeds of Specified Refinancing Debt, Refinancing Notes or any other long-term Indebtedness,</w:t>
      </w:r>
    </w:p>
    <w:p>
      <w:pPr>
        <w:spacing w:after="0" w:line="180" w:lineRule="exact"/>
        <w:rPr>
          <w:sz w:val="20"/>
          <w:szCs w:val="20"/>
          <w:color w:val="auto"/>
        </w:rPr>
      </w:pPr>
    </w:p>
    <w:p>
      <w:pPr>
        <w:jc w:val="both"/>
        <w:ind w:left="380" w:firstLine="1503"/>
        <w:spacing w:after="0" w:line="244" w:lineRule="auto"/>
        <w:tabs>
          <w:tab w:leader="none" w:pos="240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amount of capital expenditures made in cash by the Borrower or any of its Restricted Subsidiaries during the period commencing on the first day of the relevant Excess Cash Flow Period and ending on the last day of the applicable Excess Cash Flow Period and in each case other than to the extent that any such capital expenditures are funded with the proceeds of Specified Refinancing Debt, Refinancing Notes or any other long-term Indebtedness,</w:t>
      </w:r>
    </w:p>
    <w:p>
      <w:pPr>
        <w:spacing w:after="0" w:line="194" w:lineRule="exact"/>
        <w:rPr>
          <w:rFonts w:ascii="Arial" w:cs="Arial" w:eastAsia="Arial" w:hAnsi="Arial"/>
          <w:sz w:val="20"/>
          <w:szCs w:val="20"/>
          <w:color w:val="auto"/>
        </w:rPr>
      </w:pPr>
    </w:p>
    <w:p>
      <w:pPr>
        <w:jc w:val="both"/>
        <w:ind w:left="380" w:firstLine="1503"/>
        <w:spacing w:after="0" w:line="257" w:lineRule="auto"/>
        <w:tabs>
          <w:tab w:leader="none" w:pos="237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aggregate amount of cash consideration paid by the Borrower or any Restricted Subsidiary (on a consolidated basis) in connection with any Permitted Investments or other Investments permitted hereunder (including, without limitation, any acquisitions and acquisitions of intellectual property but excluding Permitted Investments pursuant to clauses (1) and (2) of the definition thereof) during the period commencing on the first day of the relevant Excess Cash Flow Period and ending on the last day of the applicable Excess Cash Flow Period and in each case other than to the extent that any such cash consideration is funded with the proceeds of Specified Refinancing Debt, Refinancing Notes or any other long-term Indebtedness,</w:t>
      </w:r>
    </w:p>
    <w:p>
      <w:pPr>
        <w:spacing w:after="0" w:line="184" w:lineRule="exact"/>
        <w:rPr>
          <w:rFonts w:ascii="Arial" w:cs="Arial" w:eastAsia="Arial" w:hAnsi="Arial"/>
          <w:sz w:val="19"/>
          <w:szCs w:val="19"/>
          <w:color w:val="auto"/>
        </w:rPr>
      </w:pPr>
    </w:p>
    <w:p>
      <w:pPr>
        <w:jc w:val="both"/>
        <w:ind w:left="380" w:firstLine="1503"/>
        <w:spacing w:after="0" w:line="271" w:lineRule="auto"/>
        <w:tabs>
          <w:tab w:leader="none" w:pos="23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the Borrower’s election, without duplication of amounts deducted from Excess Cash Flow pursuant to this Section 2.05(b)(i)(B)(6) in respect of prior fiscal years, the aggregate consideration required to be paid in cash by the Borrower or any of the Restricted Subsidiaries pursuant to binding contracts (the “</w:t>
      </w:r>
      <w:r>
        <w:rPr>
          <w:rFonts w:ascii="Arial" w:cs="Arial" w:eastAsia="Arial" w:hAnsi="Arial"/>
          <w:sz w:val="18"/>
          <w:szCs w:val="18"/>
          <w:b w:val="1"/>
          <w:bCs w:val="1"/>
          <w:i w:val="1"/>
          <w:iCs w:val="1"/>
          <w:color w:val="auto"/>
        </w:rPr>
        <w:t>Contract Consideration</w:t>
      </w:r>
      <w:r>
        <w:rPr>
          <w:rFonts w:ascii="Arial" w:cs="Arial" w:eastAsia="Arial" w:hAnsi="Arial"/>
          <w:sz w:val="18"/>
          <w:szCs w:val="18"/>
          <w:color w:val="auto"/>
        </w:rPr>
        <w:t>”) entered into prior to or during such fiscal year relating to Permitted Investments or other Investments permitted hereunder (including, without limitation, any acquisitions and acquisitions of intellectual property but excluding Permitted Investments pursuant to clauses (1) and (2) of the definition thereof) or capital expenditures to be consummated or made during the 180-day period following the end of such fiscal year, provided that to the extent the aggregate amount of cash actually utilized to finance such Investments and capital expenditures during such 180-day period is less than the Contract Consideration, the amount of such shortfall shall be required to be used to prepay Term Loans in an amount equal to such shortfall at the end of such period of four consecutive fiscal quarters in which the 180-day period elapsed;</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365125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14" w:right="339" w:bottom="1440" w:gutter="0" w:footer="0" w:header="0"/>
        </w:sectPr>
      </w:pPr>
    </w:p>
    <w:bookmarkStart w:id="141" w:name="page142"/>
    <w:bookmarkEnd w:id="141"/>
    <w:p>
      <w:pPr>
        <w:jc w:val="both"/>
        <w:ind w:left="1140"/>
        <w:spacing w:after="0" w:line="27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percentage in respect of any Excess Cash Flow Period shall be reduced to 25% or 0% if the Consolidated First Lien Net Leverage Ratio as of the last day of the fiscal year to which such Excess Cash Flow Period relates was equal to or less than 2.50:1.00 or 2.00:1.00, respectively (the amount of Excess Cash Flow required to be used to prepay Term Loans pursuant to this clause (i), the “</w:t>
      </w:r>
      <w:r>
        <w:rPr>
          <w:rFonts w:ascii="Arial" w:cs="Arial" w:eastAsia="Arial" w:hAnsi="Arial"/>
          <w:sz w:val="18"/>
          <w:szCs w:val="18"/>
          <w:b w:val="1"/>
          <w:bCs w:val="1"/>
          <w:i w:val="1"/>
          <w:iCs w:val="1"/>
          <w:color w:val="auto"/>
        </w:rPr>
        <w:t>ECF Prepayment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prepayment shall be required with respect to any Excess Cash Flow Period unless the ECF Prepayment Amount exceeds the greater of $50,000,000 and 2.50% of Four Quarter Consolidated EBITDA, and in such case, the ECF Prepayment Amount shall be the amount in excess thereof.</w:t>
      </w:r>
    </w:p>
    <w:p>
      <w:pPr>
        <w:spacing w:after="0" w:line="168" w:lineRule="exact"/>
        <w:rPr>
          <w:sz w:val="20"/>
          <w:szCs w:val="20"/>
          <w:color w:val="auto"/>
        </w:rPr>
      </w:pPr>
    </w:p>
    <w:p>
      <w:pPr>
        <w:jc w:val="both"/>
        <w:ind w:left="-360" w:firstLine="1494"/>
        <w:spacing w:after="0" w:line="268" w:lineRule="auto"/>
        <w:tabs>
          <w:tab w:leader="none" w:pos="16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any Asset Sale or Casualty Event (or series of related Asset Sales or Casualty Events) results in the receipt by the Borrower or any Restricted Subsidiary of aggregate Net Cash Proceeds in excess of $50,000,000 (“</w:t>
      </w:r>
      <w:r>
        <w:rPr>
          <w:rFonts w:ascii="Arial" w:cs="Arial" w:eastAsia="Arial" w:hAnsi="Arial"/>
          <w:sz w:val="18"/>
          <w:szCs w:val="18"/>
          <w:b w:val="1"/>
          <w:bCs w:val="1"/>
          <w:i w:val="1"/>
          <w:i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then, except to the extent Borrower elects in a written notice to reinvest all or a portion of such Net Cash Proceeds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accordance with Section 7.05, the Borrower shall prepay, subject to Section 2.05(b)(vii) and (viii), an aggregate principal amount of Term Loans in an amount equal to 100% (as may be adjusted pursuant to the second proviso below) of the Net Cash Proceeds received from such Relevant Transaction within 15 Business Days of receipt thereof (or within 15 Business Days after the later of the date the threshold referred to above is first exceeded and the date the relevant Net Cash Proceeds are received) by the Borrower or such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use a portion of the Net Cash Proceeds received from such Relevant Transaction to prepay or repurchase any other Indebtedness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Term Loans to the extent such other Indebtedness and the Liens securing the same are permitted hereunder and the documentation governing such other Indebtedness requires such a prepayment or repurchase thereof with the proceeds of such Relevant Transaction, to the extent not deducted in the calculation of Net Cash Proceeds, in each case in an amount not to exceed the product of (1) the amount of such Net Cash Proceeds and (2) a fraction, the numerator of which is the outstanding principal amount of such other Indebtedness (or to the extent such amount is not in Dollars, such equivalent amount of such Indebtedness converted into Dollars as determined by the Borrower in good faith) and the denominator of which is the aggregate outstanding principal amount of Term Loans and such other Indebtedness (or to the extent such amount is not in Dollars, such equivalent amount of such Indebtedness converted into Dollars as determined by the Borrower in good faith);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only the amount of Net Cash Proceeds in excess of $50,000,000 for any Asset Sale or Casualty Event (or series of related Asset Sales or Casualty Events) shall be subject to prepayment pursuant to this Section 2.05(b)(ii).</w:t>
      </w:r>
    </w:p>
    <w:p>
      <w:pPr>
        <w:spacing w:after="0" w:line="184" w:lineRule="exact"/>
        <w:rPr>
          <w:rFonts w:ascii="Arial" w:cs="Arial" w:eastAsia="Arial" w:hAnsi="Arial"/>
          <w:sz w:val="18"/>
          <w:szCs w:val="18"/>
          <w:color w:val="auto"/>
        </w:rPr>
      </w:pPr>
    </w:p>
    <w:p>
      <w:pPr>
        <w:jc w:val="both"/>
        <w:ind w:left="-360" w:firstLine="1494"/>
        <w:spacing w:after="0" w:line="244" w:lineRule="auto"/>
        <w:tabs>
          <w:tab w:leader="none" w:pos="150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Upon the incurrence or issuance by the Borrower or any of its Restricted Subsidiaries of any Refinancing Notes, any Specified Refinancing Debt constituting new term loan facilities or any Indebtedness not expressly permitted to be incurred or issued pursuant to Section 7.03, the Borrower shall prepay an aggregate principal amount of Loans in an amount equal to 100% of all Net Cash Proceeds received therefrom immediately upon receipt thereof by the Borrower or such Restricted Subsidiary.</w:t>
      </w:r>
    </w:p>
    <w:p>
      <w:pPr>
        <w:spacing w:after="0" w:line="194" w:lineRule="exact"/>
        <w:rPr>
          <w:rFonts w:ascii="Arial" w:cs="Arial" w:eastAsia="Arial" w:hAnsi="Arial"/>
          <w:sz w:val="20"/>
          <w:szCs w:val="20"/>
          <w:color w:val="auto"/>
        </w:rPr>
      </w:pPr>
    </w:p>
    <w:p>
      <w:pPr>
        <w:jc w:val="both"/>
        <w:ind w:left="-360" w:firstLine="1494"/>
        <w:spacing w:after="0" w:line="243" w:lineRule="auto"/>
        <w:tabs>
          <w:tab w:leader="none" w:pos="14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Subject to Section 2.18, each prepayment of Term Loans pursuant to this Section 2.05(b) shall be applied to each Term Loan Tranche on a pro rata basis (or, if agreed to in writing by the Majority Lenders of a Term Loan Tranche, in a manner that provides for less favorable prepayment treatment of such Term Loan Tranche, so long as each other Term Loan Tranche receives its Pro Rata Share of any amount to be applied more favorably, except to the extent otherwise agreed by the Majority Lenders of each Term Loan Tranche receiving less than such Pro Rata Share) (other than a prepayment of (x) Term Loans with the proceeds of Indebtedness</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365125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14" w:right="339" w:bottom="1440" w:gutter="0" w:footer="0" w:header="0"/>
        </w:sectPr>
      </w:pPr>
    </w:p>
    <w:bookmarkStart w:id="142" w:name="page143"/>
    <w:bookmarkEnd w:id="142"/>
    <w:p>
      <w:pPr>
        <w:jc w:val="both"/>
        <w:spacing w:after="0" w:line="271" w:lineRule="auto"/>
        <w:rPr>
          <w:sz w:val="20"/>
          <w:szCs w:val="20"/>
          <w:color w:val="auto"/>
        </w:rPr>
      </w:pPr>
      <w:r>
        <w:rPr>
          <w:rFonts w:ascii="Arial" w:cs="Arial" w:eastAsia="Arial" w:hAnsi="Arial"/>
          <w:sz w:val="18"/>
          <w:szCs w:val="18"/>
          <w:color w:val="auto"/>
        </w:rPr>
        <w:t xml:space="preserve">incurred pursuant to Section 2.19, which shall be applied to the Term Loan Tranche being refinanced pursuant thereto or (y) Term Loans with the proceeds of any Refinancing Notes issued to the extent permitted under Section 7.03(b)(1), which shall be applied to the Term Loan Tranche being refinanced pursuant thereto). Amounts to be applied to a Term Loan Tranche in connection with prepayments made pursuant to this Section 2.05(b) shall be applied to interest on each such Term Loan Tranche on a pro rata basis that is accrued and payable at such time and thereafter to the remaining scheduled installments with respect to such Term Loan Tranche in direct order of maturity. Each prepayment of Term Loans under a Facility pursuant to this Section 2.05(b) shall be applied on a pro rata basis to the then outstanding Base Rate Loans and Term Benchmark Loans under such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there are no Declining Lenders with respect to such prepayment, then the amount thereof shall be applied first to Base Rate Loans under such Facility to the full extent thereof before application to Term Benchmark Loans, in each case in a manner that minimizes the amount payable by the Borrower in respect of such prepayment pursuant to Section 3.06.</w:t>
      </w:r>
    </w:p>
    <w:p>
      <w:pPr>
        <w:spacing w:after="0" w:line="174" w:lineRule="exact"/>
        <w:rPr>
          <w:sz w:val="20"/>
          <w:szCs w:val="20"/>
          <w:color w:val="auto"/>
        </w:rPr>
      </w:pPr>
    </w:p>
    <w:p>
      <w:pPr>
        <w:jc w:val="both"/>
        <w:ind w:firstLine="1494"/>
        <w:spacing w:after="0" w:line="270" w:lineRule="auto"/>
        <w:tabs>
          <w:tab w:leader="none" w:pos="1989"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Funding Losses, Etc</w:t>
      </w:r>
      <w:r>
        <w:rPr>
          <w:rFonts w:ascii="Arial" w:cs="Arial" w:eastAsia="Arial" w:hAnsi="Arial"/>
          <w:sz w:val="18"/>
          <w:szCs w:val="18"/>
          <w:color w:val="auto"/>
        </w:rPr>
        <w:t xml:space="preserve">. All prepayments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shall be made together with, in the case of any such prepayment of a Term Benchmark Loan on a date other than the last day of an Interest Period therefor, any amounts owing in respect of such Term Benchmark Loan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to the extent applicable, any additional amounts required pursuant to </w:t>
      </w:r>
      <w:r>
        <w:rPr>
          <w:rFonts w:ascii="Arial" w:cs="Arial" w:eastAsia="Arial" w:hAnsi="Arial"/>
          <w:sz w:val="18"/>
          <w:szCs w:val="18"/>
          <w:u w:val="single" w:color="auto"/>
          <w:color w:val="auto"/>
        </w:rPr>
        <w:t>Section 2.05(a)(iv)</w:t>
      </w:r>
      <w:r>
        <w:rPr>
          <w:rFonts w:ascii="Arial" w:cs="Arial" w:eastAsia="Arial" w:hAnsi="Arial"/>
          <w:sz w:val="18"/>
          <w:szCs w:val="18"/>
          <w:color w:val="auto"/>
        </w:rPr>
        <w:t xml:space="preserve">. Notwithstanding any of the other provisions of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so long as no Event of Default shall have occurred and be continuing, if any prepayment of Term Benchmark Loans is required to be made under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other than on the last day of the Interest Period therefor, the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1494"/>
        <w:spacing w:after="0" w:line="255" w:lineRule="auto"/>
        <w:tabs>
          <w:tab w:leader="none" w:pos="186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Notwithstanding any other provisions of this Section 2.05, to the extent that any or all of the Net Cash Proceeds of any Asset Sale by a Foreign Subsidiary (or a Domestic Subsidiary of a Foreign Subsidiary) (a “</w:t>
      </w:r>
      <w:r>
        <w:rPr>
          <w:rFonts w:ascii="Arial" w:cs="Arial" w:eastAsia="Arial" w:hAnsi="Arial"/>
          <w:sz w:val="19"/>
          <w:szCs w:val="19"/>
          <w:b w:val="1"/>
          <w:bCs w:val="1"/>
          <w:i w:val="1"/>
          <w:iCs w:val="1"/>
          <w:color w:val="auto"/>
        </w:rPr>
        <w:t>Foreign Disposition</w:t>
      </w:r>
      <w:r>
        <w:rPr>
          <w:rFonts w:ascii="Arial" w:cs="Arial" w:eastAsia="Arial" w:hAnsi="Arial"/>
          <w:sz w:val="19"/>
          <w:szCs w:val="19"/>
          <w:color w:val="auto"/>
        </w:rPr>
        <w:t>”) or the Net Cash Proceeds of any Casualty Event from a Foreign Subsidiary (or a Domestic Subsidiary of a Foreign Subsidiary) (a “</w:t>
      </w:r>
      <w:r>
        <w:rPr>
          <w:rFonts w:ascii="Arial" w:cs="Arial" w:eastAsia="Arial" w:hAnsi="Arial"/>
          <w:sz w:val="19"/>
          <w:szCs w:val="19"/>
          <w:b w:val="1"/>
          <w:bCs w:val="1"/>
          <w:i w:val="1"/>
          <w:iCs w:val="1"/>
          <w:color w:val="auto"/>
        </w:rPr>
        <w:t>Foreign Casualty Event</w:t>
      </w:r>
      <w:r>
        <w:rPr>
          <w:rFonts w:ascii="Arial" w:cs="Arial" w:eastAsia="Arial" w:hAnsi="Arial"/>
          <w:sz w:val="19"/>
          <w:szCs w:val="19"/>
          <w:color w:val="auto"/>
        </w:rPr>
        <w:t>”), in each case giving rise to a prepayment event pursuant to Section 2.05(b)(ii), or Excess Cash Flow giving rise to a prepayment event pursuant to Section 2.05(b)(i) are or is prohibited, restricted or delayed by applicable local law, rule or regulation (including, without limitation, financial assistance and corporate benefit restrictions and fiduciary and statutory duties of any director or officer of such Subsidiaries) from being repatriated to the Borrower or so prepaid or such repatriation or prepayment would present a material risk of liability for the applicable Subsidiary or its directors or officers (or gives rise to a material risk of breach of fiduciary or statutory duties by any director or officer), an amount equal to the portion of such Net Cash Proceeds or Excess Cash Flow so affected will not be required to be applied to repay Term Loans at the times provided in this Section 2.05.</w:t>
      </w:r>
    </w:p>
    <w:p>
      <w:pPr>
        <w:spacing w:after="0" w:line="186" w:lineRule="exact"/>
        <w:rPr>
          <w:rFonts w:ascii="Arial" w:cs="Arial" w:eastAsia="Arial" w:hAnsi="Arial"/>
          <w:sz w:val="19"/>
          <w:szCs w:val="19"/>
          <w:color w:val="auto"/>
        </w:rPr>
      </w:pPr>
    </w:p>
    <w:p>
      <w:pPr>
        <w:jc w:val="both"/>
        <w:ind w:firstLine="1494"/>
        <w:spacing w:after="0" w:line="291" w:lineRule="auto"/>
        <w:tabs>
          <w:tab w:leader="none" w:pos="189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Notwithstanding any other provisions of this Section 2.05, to the extent that the Borrower has determined in good faith that repatriation of any or all of the Net Cash Proceeds of any Foreign Disposition or any Foreign Casualty Event, in each case giving rise to a prepayment event pursuant to Section 2.05(b)(ii), or Excess Cash Flow giving rise to a prepayment event</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365125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4" w:right="339" w:bottom="1440" w:gutter="0" w:footer="0" w:header="0"/>
        </w:sectPr>
      </w:pPr>
    </w:p>
    <w:bookmarkStart w:id="143" w:name="page144"/>
    <w:bookmarkEnd w:id="143"/>
    <w:p>
      <w:pPr>
        <w:ind w:left="760"/>
        <w:spacing w:after="0" w:line="316" w:lineRule="auto"/>
        <w:rPr>
          <w:sz w:val="20"/>
          <w:szCs w:val="20"/>
          <w:color w:val="auto"/>
        </w:rPr>
      </w:pPr>
      <w:r>
        <w:rPr>
          <w:rFonts w:ascii="Arial" w:cs="Arial" w:eastAsia="Arial" w:hAnsi="Arial"/>
          <w:sz w:val="18"/>
          <w:szCs w:val="18"/>
          <w:color w:val="auto"/>
        </w:rPr>
        <w:t>pursuant to Section 2.05(b)(i), would result in material adverse tax consequences, an amount equal to the Net Cash Proceeds or Excess Cash Flow so affected will not be required to be applied to repay Term Loans at the times provided in this Section 2.05.</w:t>
      </w:r>
    </w:p>
    <w:p>
      <w:pPr>
        <w:spacing w:after="0" w:line="130" w:lineRule="exact"/>
        <w:rPr>
          <w:sz w:val="20"/>
          <w:szCs w:val="20"/>
          <w:color w:val="auto"/>
        </w:rPr>
      </w:pPr>
    </w:p>
    <w:p>
      <w:pPr>
        <w:ind w:left="760" w:firstLine="1494"/>
        <w:spacing w:after="0" w:line="260" w:lineRule="auto"/>
        <w:tabs>
          <w:tab w:leader="none" w:pos="2755" w:val="left"/>
        </w:tabs>
        <w:numPr>
          <w:ilvl w:val="1"/>
          <w:numId w:val="122"/>
        </w:numPr>
        <w:rPr>
          <w:rFonts w:ascii="Arial" w:cs="Arial" w:eastAsia="Arial" w:hAnsi="Arial"/>
          <w:sz w:val="20"/>
          <w:szCs w:val="20"/>
          <w:color w:val="auto"/>
        </w:rPr>
      </w:pPr>
      <w:r>
        <w:rPr>
          <w:rFonts w:ascii="Arial" w:cs="Arial" w:eastAsia="Arial" w:hAnsi="Arial"/>
          <w:sz w:val="20"/>
          <w:szCs w:val="20"/>
          <w:color w:val="auto"/>
        </w:rPr>
        <w:t>The Borrower shall not be required to monitor any Payment Block and/or reserve cash for future repatriation after the Borrower has notified the Administrative Agent of the existence of such Payment Block.</w:t>
      </w:r>
    </w:p>
    <w:p>
      <w:pPr>
        <w:spacing w:after="0" w:line="176" w:lineRule="exact"/>
        <w:rPr>
          <w:rFonts w:ascii="Arial" w:cs="Arial" w:eastAsia="Arial" w:hAnsi="Arial"/>
          <w:sz w:val="20"/>
          <w:szCs w:val="20"/>
          <w:color w:val="auto"/>
        </w:rPr>
      </w:pPr>
    </w:p>
    <w:p>
      <w:pPr>
        <w:jc w:val="both"/>
        <w:ind w:firstLine="1505"/>
        <w:spacing w:after="0" w:line="273" w:lineRule="auto"/>
        <w:tabs>
          <w:tab w:leader="none" w:pos="199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Purchasing Borrower Party shall have the right at any time and from time to time to prepay Loans of one or more classes to the applicable Lenders at a discount to the par value of such Loans and on a non pro rata basis (each, a “</w:t>
      </w:r>
      <w:r>
        <w:rPr>
          <w:rFonts w:ascii="Arial" w:cs="Arial" w:eastAsia="Arial" w:hAnsi="Arial"/>
          <w:sz w:val="18"/>
          <w:szCs w:val="18"/>
          <w:b w:val="1"/>
          <w:bCs w:val="1"/>
          <w:i w:val="1"/>
          <w:iCs w:val="1"/>
          <w:color w:val="auto"/>
        </w:rPr>
        <w:t>Discounted Voluntary Prepayment</w:t>
      </w:r>
      <w:r>
        <w:rPr>
          <w:rFonts w:ascii="Arial" w:cs="Arial" w:eastAsia="Arial" w:hAnsi="Arial"/>
          <w:sz w:val="18"/>
          <w:szCs w:val="18"/>
          <w:color w:val="auto"/>
        </w:rPr>
        <w:t xml:space="preserve">”) pursuant to a Dutch Auction and the procedures described in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Discounted Voluntary Prepayment shall be offered to all Lenders of the applicable class(es) on a pro rata basis, (B) such Purchasing Borrower Party shall deliver to the Administrative Agent a certificate stating that (1) no Default or Event of Default has occurred and is continuing or would result from the Discounted Voluntary Prepayment (after giving effect to any related waivers or amendments obtained in connection with such Discounted Voluntary Prepayment), and (2) each of the conditions to such Discounted Voluntary Prepayment contained in this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has been satisfied.</w:t>
      </w:r>
    </w:p>
    <w:p>
      <w:pPr>
        <w:spacing w:after="0" w:line="168" w:lineRule="exact"/>
        <w:rPr>
          <w:rFonts w:ascii="Arial" w:cs="Arial" w:eastAsia="Arial" w:hAnsi="Arial"/>
          <w:sz w:val="18"/>
          <w:szCs w:val="18"/>
          <w:color w:val="auto"/>
        </w:rPr>
      </w:pPr>
    </w:p>
    <w:p>
      <w:pPr>
        <w:jc w:val="both"/>
        <w:ind w:firstLine="1505"/>
        <w:spacing w:after="0" w:line="254" w:lineRule="auto"/>
        <w:tabs>
          <w:tab w:leader="none" w:pos="198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Lender Opt-out</w:t>
      </w:r>
      <w:r>
        <w:rPr>
          <w:rFonts w:ascii="Arial" w:cs="Arial" w:eastAsia="Arial" w:hAnsi="Arial"/>
          <w:sz w:val="19"/>
          <w:szCs w:val="19"/>
          <w:color w:val="auto"/>
        </w:rPr>
        <w:t xml:space="preserve">. With respect to any prepayment of the Loans pursuant to </w:t>
      </w:r>
      <w:r>
        <w:rPr>
          <w:rFonts w:ascii="Arial" w:cs="Arial" w:eastAsia="Arial" w:hAnsi="Arial"/>
          <w:sz w:val="19"/>
          <w:szCs w:val="19"/>
          <w:u w:val="single" w:color="auto"/>
          <w:color w:val="auto"/>
        </w:rPr>
        <w:t>Section 2.05(b)</w:t>
      </w:r>
      <w:r>
        <w:rPr>
          <w:rFonts w:ascii="Arial" w:cs="Arial" w:eastAsia="Arial" w:hAnsi="Arial"/>
          <w:sz w:val="19"/>
          <w:szCs w:val="19"/>
          <w:color w:val="auto"/>
        </w:rPr>
        <w:t>, any Lender, at its option (but solely to the extent Borrower elects for this clause (d) to be applicable to a given prepayment, other than in connection with any Refinancing Notes or any Specified Refinancing Term Loans), may elect not to accept such prepayment. The Borrower shall notify the Administrative Agent of any event giving rise to such prepayment of the Loans and the amount of the prepayment that is available to prepay the Loans (the “</w:t>
      </w:r>
      <w:r>
        <w:rPr>
          <w:rFonts w:ascii="Arial" w:cs="Arial" w:eastAsia="Arial" w:hAnsi="Arial"/>
          <w:sz w:val="19"/>
          <w:szCs w:val="19"/>
          <w:b w:val="1"/>
          <w:bCs w:val="1"/>
          <w:i w:val="1"/>
          <w:iCs w:val="1"/>
          <w:color w:val="auto"/>
        </w:rPr>
        <w:t>Prepayment Amount</w:t>
      </w:r>
      <w:r>
        <w:rPr>
          <w:rFonts w:ascii="Arial" w:cs="Arial" w:eastAsia="Arial" w:hAnsi="Arial"/>
          <w:sz w:val="19"/>
          <w:szCs w:val="19"/>
          <w:color w:val="auto"/>
        </w:rPr>
        <w:t>”). The Administrative Agent shall notify the Lenders of the amount available to prepay the Loans of each class and the date on which such prepayment shall be made (the “</w:t>
      </w:r>
      <w:r>
        <w:rPr>
          <w:rFonts w:ascii="Arial" w:cs="Arial" w:eastAsia="Arial" w:hAnsi="Arial"/>
          <w:sz w:val="19"/>
          <w:szCs w:val="19"/>
          <w:b w:val="1"/>
          <w:bCs w:val="1"/>
          <w:i w:val="1"/>
          <w:iCs w:val="1"/>
          <w:color w:val="auto"/>
        </w:rPr>
        <w:t>Prepayment Date</w:t>
      </w:r>
      <w:r>
        <w:rPr>
          <w:rFonts w:ascii="Arial" w:cs="Arial" w:eastAsia="Arial" w:hAnsi="Arial"/>
          <w:sz w:val="19"/>
          <w:szCs w:val="19"/>
          <w:color w:val="auto"/>
        </w:rPr>
        <w:t>”), which date shall be ten Business Days after the date of such receipt. Any Lender declining such prepayment (a “</w:t>
      </w:r>
      <w:r>
        <w:rPr>
          <w:rFonts w:ascii="Arial" w:cs="Arial" w:eastAsia="Arial" w:hAnsi="Arial"/>
          <w:sz w:val="19"/>
          <w:szCs w:val="19"/>
          <w:b w:val="1"/>
          <w:bCs w:val="1"/>
          <w:i w:val="1"/>
          <w:iCs w:val="1"/>
          <w:color w:val="auto"/>
        </w:rPr>
        <w:t>Declining Lender</w:t>
      </w:r>
      <w:r>
        <w:rPr>
          <w:rFonts w:ascii="Arial" w:cs="Arial" w:eastAsia="Arial" w:hAnsi="Arial"/>
          <w:sz w:val="19"/>
          <w:szCs w:val="19"/>
          <w:color w:val="auto"/>
        </w:rPr>
        <w:t>”) shall give written notice to the Administrative Agent by 11:00 a.m. date that is three (3) Business Days prior to the Prepayment Date. If any Lender does not give a notice by such date that it is a Declining Lender, then it will be deemed to be an Accepting Lender. On the Prepayment Date, an amount equal to that portion of the Prepayment Amount accepted by the Lenders other than the Declining Lenders (such Lenders being the “</w:t>
      </w:r>
      <w:r>
        <w:rPr>
          <w:rFonts w:ascii="Arial" w:cs="Arial" w:eastAsia="Arial" w:hAnsi="Arial"/>
          <w:sz w:val="19"/>
          <w:szCs w:val="19"/>
          <w:b w:val="1"/>
          <w:bCs w:val="1"/>
          <w:i w:val="1"/>
          <w:iCs w:val="1"/>
          <w:color w:val="auto"/>
        </w:rPr>
        <w:t>Accepting Lenders</w:t>
      </w:r>
      <w:r>
        <w:rPr>
          <w:rFonts w:ascii="Arial" w:cs="Arial" w:eastAsia="Arial" w:hAnsi="Arial"/>
          <w:sz w:val="19"/>
          <w:szCs w:val="19"/>
          <w:color w:val="auto"/>
        </w:rPr>
        <w:t xml:space="preserve">”) to prepay Loans owing to such Accepting Lenders shall be paid to the Administrative Agent by the Borrower and applied by the Administrative Agent ratably to prepay Loans owing to such Accepting Lenders in the manner described in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for such prepayment. Any amounts that would otherwise have been applied to prepay Loans owing to Declining Lenders shall instead be retained by the Borrower (such amounts, “</w:t>
      </w:r>
      <w:r>
        <w:rPr>
          <w:rFonts w:ascii="Arial" w:cs="Arial" w:eastAsia="Arial" w:hAnsi="Arial"/>
          <w:sz w:val="19"/>
          <w:szCs w:val="19"/>
          <w:b w:val="1"/>
          <w:bCs w:val="1"/>
          <w:i w:val="1"/>
          <w:iCs w:val="1"/>
          <w:color w:val="auto"/>
        </w:rPr>
        <w:t>Retained Declined Proceeds</w:t>
      </w:r>
      <w:r>
        <w:rPr>
          <w:rFonts w:ascii="Arial" w:cs="Arial" w:eastAsia="Arial" w:hAnsi="Arial"/>
          <w:sz w:val="19"/>
          <w:szCs w:val="19"/>
          <w:color w:val="auto"/>
        </w:rPr>
        <w:t>”).</w:t>
      </w:r>
    </w:p>
    <w:p>
      <w:pPr>
        <w:spacing w:after="0" w:line="19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2.06  Termination of Commitments.</w:t>
      </w:r>
    </w:p>
    <w:p>
      <w:pPr>
        <w:spacing w:after="0" w:line="216" w:lineRule="exact"/>
        <w:rPr>
          <w:sz w:val="20"/>
          <w:szCs w:val="20"/>
          <w:color w:val="auto"/>
        </w:rPr>
      </w:pPr>
    </w:p>
    <w:p>
      <w:pPr>
        <w:ind w:firstLine="1497"/>
        <w:spacing w:after="0" w:line="316" w:lineRule="auto"/>
        <w:rPr>
          <w:sz w:val="20"/>
          <w:szCs w:val="20"/>
          <w:color w:val="auto"/>
        </w:rPr>
      </w:pPr>
      <w:r>
        <w:rPr>
          <w:rFonts w:ascii="Arial" w:cs="Arial" w:eastAsia="Arial" w:hAnsi="Arial"/>
          <w:sz w:val="18"/>
          <w:szCs w:val="18"/>
          <w:color w:val="auto"/>
        </w:rPr>
        <w:t>The Aggregate Commitments shall be automatically and permanently reduced to zero on the date of, and after giving effect to, the initial Borrowing thereof, and in the case of the Initial Term Commitments, on the Closing Date after the funding thereof.</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2.07  Repayment of Term Loans.</w:t>
      </w:r>
    </w:p>
    <w:p>
      <w:pPr>
        <w:spacing w:after="0" w:line="216" w:lineRule="exact"/>
        <w:rPr>
          <w:sz w:val="20"/>
          <w:szCs w:val="20"/>
          <w:color w:val="auto"/>
        </w:rPr>
      </w:pPr>
    </w:p>
    <w:p>
      <w:pPr>
        <w:jc w:val="both"/>
        <w:ind w:firstLine="1505"/>
        <w:spacing w:after="0" w:line="246" w:lineRule="auto"/>
        <w:tabs>
          <w:tab w:leader="none" w:pos="202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Borrower shall repay to the Administrative Agent for the ratable account of the applicable Lenders the aggregate principal amount of all Initial Term Loans outstanding in consecutive quarterly installments as follows (which installments shall, to the extent applicable, be reduced as a result of the application of prepayments in accordance with the order of priority set forth in Sections 2.05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44" w:name="page145"/>
    <w:bookmarkEnd w:id="144"/>
    <w:p>
      <w:pPr>
        <w:jc w:val="both"/>
        <w:spacing w:after="0" w:line="250" w:lineRule="auto"/>
        <w:rPr>
          <w:sz w:val="20"/>
          <w:szCs w:val="20"/>
          <w:color w:val="auto"/>
        </w:rPr>
      </w:pPr>
      <w:r>
        <w:rPr>
          <w:rFonts w:ascii="Arial" w:cs="Arial" w:eastAsia="Arial" w:hAnsi="Arial"/>
          <w:sz w:val="20"/>
          <w:szCs w:val="20"/>
          <w:color w:val="auto"/>
        </w:rPr>
        <w:t>2.06, or be increased as a result of any increase in the amount of Initial Term Loans pursuant to Section 2.16 (such increased amortization payments to be calculated in the same manner (and on the same basis) as the schedule set forth below for the Initial Term Loans made as of the Closing Date)):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20" w:type="dxa"/>
            <w:vAlign w:val="bottom"/>
            <w:tcBorders>
              <w:top w:val="single" w:sz="8" w:color="auto"/>
              <w:left w:val="single" w:sz="8" w:color="auto"/>
            </w:tcBorders>
            <w:shd w:val="clear" w:color="auto" w:fill="D9D9D9"/>
          </w:tcPr>
          <w:p>
            <w:pPr>
              <w:spacing w:after="0"/>
              <w:rPr>
                <w:sz w:val="19"/>
                <w:szCs w:val="19"/>
                <w:color w:val="auto"/>
              </w:rPr>
            </w:pPr>
          </w:p>
        </w:tc>
        <w:tc>
          <w:tcPr>
            <w:tcW w:w="5100" w:type="dxa"/>
            <w:vAlign w:val="bottom"/>
            <w:tcBorders>
              <w:top w:val="single" w:sz="8" w:color="auto"/>
              <w:right w:val="single" w:sz="8" w:color="auto"/>
            </w:tcBorders>
            <w:gridSpan w:val="2"/>
            <w:shd w:val="clear" w:color="auto" w:fill="D9D9D9"/>
          </w:tcPr>
          <w:p>
            <w:pPr>
              <w:spacing w:after="0" w:line="219" w:lineRule="exact"/>
              <w:rPr>
                <w:sz w:val="20"/>
                <w:szCs w:val="20"/>
                <w:color w:val="auto"/>
              </w:rPr>
            </w:pPr>
            <w:r>
              <w:rPr>
                <w:rFonts w:ascii="Arial" w:cs="Arial" w:eastAsia="Arial" w:hAnsi="Arial"/>
                <w:sz w:val="20"/>
                <w:szCs w:val="20"/>
                <w:color w:val="auto"/>
              </w:rPr>
              <w:t>Date</w:t>
            </w:r>
          </w:p>
        </w:tc>
        <w:tc>
          <w:tcPr>
            <w:tcW w:w="5460" w:type="dxa"/>
            <w:vAlign w:val="bottom"/>
            <w:tcBorders>
              <w:top w:val="single" w:sz="8" w:color="auto"/>
              <w:right w:val="single" w:sz="8" w:color="auto"/>
            </w:tcBorders>
            <w:gridSpan w:val="3"/>
            <w:shd w:val="clear" w:color="auto" w:fill="D9D9D9"/>
          </w:tcPr>
          <w:p>
            <w:pPr>
              <w:ind w:left="80"/>
              <w:spacing w:after="0" w:line="219" w:lineRule="exact"/>
              <w:rPr>
                <w:sz w:val="20"/>
                <w:szCs w:val="20"/>
                <w:color w:val="auto"/>
              </w:rPr>
            </w:pPr>
            <w:r>
              <w:rPr>
                <w:rFonts w:ascii="Arial" w:cs="Arial" w:eastAsia="Arial" w:hAnsi="Arial"/>
                <w:sz w:val="20"/>
                <w:szCs w:val="20"/>
                <w:color w:val="auto"/>
              </w:rPr>
              <w:t>Amount</w:t>
            </w:r>
          </w:p>
        </w:tc>
      </w:tr>
      <w:tr>
        <w:trPr>
          <w:trHeight w:val="186"/>
        </w:trPr>
        <w:tc>
          <w:tcPr>
            <w:tcW w:w="120" w:type="dxa"/>
            <w:vAlign w:val="bottom"/>
            <w:tcBorders>
              <w:top w:val="single" w:sz="8" w:color="D9D9D9"/>
              <w:left w:val="single" w:sz="8" w:color="auto"/>
              <w:bottom w:val="single" w:sz="8" w:color="auto"/>
            </w:tcBorders>
            <w:shd w:val="clear" w:color="auto" w:fill="D9D9D9"/>
          </w:tcPr>
          <w:p>
            <w:pPr>
              <w:spacing w:after="0"/>
              <w:rPr>
                <w:sz w:val="16"/>
                <w:szCs w:val="16"/>
                <w:color w:val="auto"/>
              </w:rPr>
            </w:pPr>
          </w:p>
        </w:tc>
        <w:tc>
          <w:tcPr>
            <w:tcW w:w="380" w:type="dxa"/>
            <w:vAlign w:val="bottom"/>
            <w:tcBorders>
              <w:top w:val="single" w:sz="8" w:color="auto"/>
              <w:bottom w:val="single" w:sz="8" w:color="auto"/>
            </w:tcBorders>
            <w:shd w:val="clear" w:color="auto" w:fill="D9D9D9"/>
          </w:tcPr>
          <w:p>
            <w:pPr>
              <w:spacing w:after="0"/>
              <w:rPr>
                <w:sz w:val="16"/>
                <w:szCs w:val="16"/>
                <w:color w:val="auto"/>
              </w:rPr>
            </w:pPr>
          </w:p>
        </w:tc>
        <w:tc>
          <w:tcPr>
            <w:tcW w:w="472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c>
          <w:tcPr>
            <w:tcW w:w="80" w:type="dxa"/>
            <w:vAlign w:val="bottom"/>
            <w:tcBorders>
              <w:top w:val="single" w:sz="8" w:color="D9D9D9"/>
              <w:bottom w:val="single" w:sz="8" w:color="auto"/>
            </w:tcBorders>
            <w:shd w:val="clear" w:color="auto" w:fill="D9D9D9"/>
          </w:tcPr>
          <w:p>
            <w:pPr>
              <w:spacing w:after="0"/>
              <w:rPr>
                <w:sz w:val="16"/>
                <w:szCs w:val="16"/>
                <w:color w:val="auto"/>
              </w:rPr>
            </w:pPr>
          </w:p>
        </w:tc>
        <w:tc>
          <w:tcPr>
            <w:tcW w:w="660" w:type="dxa"/>
            <w:vAlign w:val="bottom"/>
            <w:tcBorders>
              <w:top w:val="single" w:sz="8" w:color="auto"/>
              <w:bottom w:val="single" w:sz="8" w:color="auto"/>
            </w:tcBorders>
            <w:shd w:val="clear" w:color="auto" w:fill="D9D9D9"/>
          </w:tcPr>
          <w:p>
            <w:pPr>
              <w:spacing w:after="0"/>
              <w:rPr>
                <w:sz w:val="16"/>
                <w:szCs w:val="16"/>
                <w:color w:val="auto"/>
              </w:rPr>
            </w:pPr>
          </w:p>
        </w:tc>
        <w:tc>
          <w:tcPr>
            <w:tcW w:w="4720" w:type="dxa"/>
            <w:vAlign w:val="bottom"/>
            <w:tcBorders>
              <w:top w:val="single" w:sz="8" w:color="D9D9D9"/>
              <w:bottom w:val="single" w:sz="8" w:color="auto"/>
              <w:right w:val="single" w:sz="8" w:color="auto"/>
            </w:tcBorders>
            <w:shd w:val="clear" w:color="auto" w:fill="D9D9D9"/>
          </w:tcPr>
          <w:p>
            <w:pPr>
              <w:spacing w:after="0"/>
              <w:rPr>
                <w:sz w:val="16"/>
                <w:szCs w:val="16"/>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5100" w:type="dxa"/>
            <w:vAlign w:val="bottom"/>
            <w:tcBorders>
              <w:right w:val="single" w:sz="8" w:color="auto"/>
            </w:tcBorders>
            <w:gridSpan w:val="2"/>
          </w:tcPr>
          <w:p>
            <w:pPr>
              <w:spacing w:after="0" w:line="203" w:lineRule="exact"/>
              <w:rPr>
                <w:sz w:val="20"/>
                <w:szCs w:val="20"/>
                <w:color w:val="auto"/>
              </w:rPr>
            </w:pPr>
            <w:r>
              <w:rPr>
                <w:rFonts w:ascii="Arial" w:cs="Arial" w:eastAsia="Arial" w:hAnsi="Arial"/>
                <w:sz w:val="20"/>
                <w:szCs w:val="20"/>
                <w:color w:val="auto"/>
                <w:w w:val="96"/>
              </w:rPr>
              <w:t>The last Business Day of each fiscal quarter ending prior to</w:t>
            </w:r>
          </w:p>
        </w:tc>
        <w:tc>
          <w:tcPr>
            <w:tcW w:w="5460" w:type="dxa"/>
            <w:vAlign w:val="bottom"/>
            <w:tcBorders>
              <w:right w:val="single" w:sz="8" w:color="auto"/>
            </w:tcBorders>
            <w:gridSpan w:val="3"/>
          </w:tcPr>
          <w:p>
            <w:pPr>
              <w:ind w:left="80"/>
              <w:spacing w:after="0" w:line="203" w:lineRule="exact"/>
              <w:rPr>
                <w:sz w:val="20"/>
                <w:szCs w:val="20"/>
                <w:color w:val="auto"/>
              </w:rPr>
            </w:pPr>
            <w:r>
              <w:rPr>
                <w:rFonts w:ascii="Arial" w:cs="Arial" w:eastAsia="Arial" w:hAnsi="Arial"/>
                <w:sz w:val="20"/>
                <w:szCs w:val="20"/>
                <w:color w:val="auto"/>
                <w:w w:val="94"/>
              </w:rPr>
              <w:t>0.25% of the aggregate principal amount of the aggregate initial</w:t>
            </w:r>
          </w:p>
        </w:tc>
      </w:tr>
      <w:tr>
        <w:trPr>
          <w:trHeight w:val="229"/>
        </w:trPr>
        <w:tc>
          <w:tcPr>
            <w:tcW w:w="120" w:type="dxa"/>
            <w:vAlign w:val="bottom"/>
            <w:tcBorders>
              <w:left w:val="single" w:sz="8" w:color="auto"/>
            </w:tcBorders>
          </w:tcPr>
          <w:p>
            <w:pPr>
              <w:spacing w:after="0"/>
              <w:rPr>
                <w:sz w:val="19"/>
                <w:szCs w:val="19"/>
                <w:color w:val="auto"/>
              </w:rPr>
            </w:pPr>
          </w:p>
        </w:tc>
        <w:tc>
          <w:tcPr>
            <w:tcW w:w="51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w w:val="96"/>
              </w:rPr>
              <w:t>the Maturity Date for the Initial Term Loans starting with the</w:t>
            </w:r>
          </w:p>
        </w:tc>
        <w:tc>
          <w:tcPr>
            <w:tcW w:w="546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color w:val="auto"/>
                <w:w w:val="97"/>
              </w:rPr>
              <w:t>principal amount of the Initial Term Loans on the Closing Date</w:t>
            </w:r>
          </w:p>
        </w:tc>
      </w:tr>
      <w:tr>
        <w:trPr>
          <w:trHeight w:val="250"/>
        </w:trPr>
        <w:tc>
          <w:tcPr>
            <w:tcW w:w="120" w:type="dxa"/>
            <w:vAlign w:val="bottom"/>
            <w:tcBorders>
              <w:left w:val="single" w:sz="8" w:color="auto"/>
            </w:tcBorders>
          </w:tcPr>
          <w:p>
            <w:pPr>
              <w:spacing w:after="0"/>
              <w:rPr>
                <w:sz w:val="21"/>
                <w:szCs w:val="21"/>
                <w:color w:val="auto"/>
              </w:rPr>
            </w:pPr>
          </w:p>
        </w:tc>
        <w:tc>
          <w:tcPr>
            <w:tcW w:w="51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fiscal quarter ending on December 31, 2019</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20" w:type="dxa"/>
            <w:vAlign w:val="bottom"/>
            <w:tcBorders>
              <w:right w:val="single" w:sz="8" w:color="auto"/>
            </w:tcBorders>
          </w:tcPr>
          <w:p>
            <w:pPr>
              <w:spacing w:after="0"/>
              <w:rPr>
                <w:sz w:val="21"/>
                <w:szCs w:val="21"/>
                <w:color w:val="auto"/>
              </w:rPr>
            </w:pPr>
          </w:p>
        </w:tc>
      </w:tr>
      <w:tr>
        <w:trPr>
          <w:trHeight w:val="158"/>
        </w:trPr>
        <w:tc>
          <w:tcPr>
            <w:tcW w:w="120" w:type="dxa"/>
            <w:vAlign w:val="bottom"/>
            <w:tcBorders>
              <w:left w:val="single" w:sz="8" w:color="auto"/>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r>
      <w:tr>
        <w:trPr>
          <w:trHeight w:val="220"/>
        </w:trPr>
        <w:tc>
          <w:tcPr>
            <w:tcW w:w="120" w:type="dxa"/>
            <w:vAlign w:val="bottom"/>
            <w:tcBorders>
              <w:left w:val="single" w:sz="8" w:color="auto"/>
            </w:tcBorders>
          </w:tcPr>
          <w:p>
            <w:pPr>
              <w:spacing w:after="0"/>
              <w:rPr>
                <w:sz w:val="19"/>
                <w:szCs w:val="19"/>
                <w:color w:val="auto"/>
              </w:rPr>
            </w:pPr>
          </w:p>
        </w:tc>
        <w:tc>
          <w:tcPr>
            <w:tcW w:w="5100" w:type="dxa"/>
            <w:vAlign w:val="bottom"/>
            <w:tcBorders>
              <w:right w:val="single" w:sz="8" w:color="auto"/>
            </w:tcBorders>
            <w:gridSpan w:val="2"/>
          </w:tcPr>
          <w:p>
            <w:pPr>
              <w:spacing w:after="0" w:line="220" w:lineRule="exact"/>
              <w:rPr>
                <w:sz w:val="20"/>
                <w:szCs w:val="20"/>
                <w:color w:val="auto"/>
              </w:rPr>
            </w:pPr>
            <w:r>
              <w:rPr>
                <w:rFonts w:ascii="Arial" w:cs="Arial" w:eastAsia="Arial" w:hAnsi="Arial"/>
                <w:sz w:val="20"/>
                <w:szCs w:val="20"/>
                <w:color w:val="auto"/>
              </w:rPr>
              <w:t>Maturity Date for the Initial Term Loans</w:t>
            </w:r>
          </w:p>
        </w:tc>
        <w:tc>
          <w:tcPr>
            <w:tcW w:w="5460" w:type="dxa"/>
            <w:vAlign w:val="bottom"/>
            <w:tcBorders>
              <w:right w:val="single" w:sz="8" w:color="auto"/>
            </w:tcBorders>
            <w:gridSpan w:val="3"/>
          </w:tcPr>
          <w:p>
            <w:pPr>
              <w:ind w:left="80"/>
              <w:spacing w:after="0" w:line="220" w:lineRule="exact"/>
              <w:rPr>
                <w:sz w:val="20"/>
                <w:szCs w:val="20"/>
                <w:color w:val="auto"/>
              </w:rPr>
            </w:pPr>
            <w:r>
              <w:rPr>
                <w:rFonts w:ascii="Arial" w:cs="Arial" w:eastAsia="Arial" w:hAnsi="Arial"/>
                <w:sz w:val="20"/>
                <w:szCs w:val="20"/>
                <w:color w:val="auto"/>
                <w:w w:val="94"/>
              </w:rPr>
              <w:t>All unpaid aggregate principal amounts of any outstanding Initial</w:t>
            </w:r>
          </w:p>
        </w:tc>
      </w:tr>
      <w:tr>
        <w:trPr>
          <w:trHeight w:val="250"/>
        </w:trPr>
        <w:tc>
          <w:tcPr>
            <w:tcW w:w="120" w:type="dxa"/>
            <w:vAlign w:val="bottom"/>
            <w:tcBorders>
              <w:lef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color w:val="auto"/>
              </w:rPr>
              <w:t>Term Loans</w:t>
            </w:r>
          </w:p>
        </w:tc>
      </w:tr>
      <w:tr>
        <w:trPr>
          <w:trHeight w:val="158"/>
        </w:trPr>
        <w:tc>
          <w:tcPr>
            <w:tcW w:w="120" w:type="dxa"/>
            <w:vAlign w:val="bottom"/>
            <w:tcBorders>
              <w:left w:val="single" w:sz="8" w:color="auto"/>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72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6772275" cy="9683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72275" cy="968375"/>
                    </a:xfrm>
                    <a:prstGeom prst="rect">
                      <a:avLst/>
                    </a:prstGeom>
                    <a:noFill/>
                  </pic:spPr>
                </pic:pic>
              </a:graphicData>
            </a:graphic>
          </wp:anchor>
        </w:drawing>
      </w:r>
    </w:p>
    <w:p>
      <w:pPr>
        <w:spacing w:after="0" w:line="3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if the date scheduled for any principal repayment installment is not a Business Day, such principal repayment installment shall be repaid on the next preceding Business Day, and (ii) the final principal repayment installment of the Initial Term Loans shall be repaid on the Maturity Date for the Initial Term Loans and in any event shall be in an amount equal to the aggregate principal amount of all Initial Term Loans outstanding on such date.</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2.08  Interest.</w:t>
      </w:r>
    </w:p>
    <w:p>
      <w:pPr>
        <w:spacing w:after="0" w:line="216" w:lineRule="exact"/>
        <w:rPr>
          <w:sz w:val="20"/>
          <w:szCs w:val="20"/>
          <w:color w:val="auto"/>
        </w:rPr>
      </w:pPr>
    </w:p>
    <w:p>
      <w:pPr>
        <w:jc w:val="both"/>
        <w:ind w:firstLine="1505"/>
        <w:spacing w:after="0" w:line="260" w:lineRule="auto"/>
        <w:tabs>
          <w:tab w:leader="none" w:pos="199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(i) each Term Benchmark Loan shall bear interest on the outstanding principal amount thereof for each Interest Period at a rate per annum equal to the </w:t>
      </w:r>
      <w:r>
        <w:rPr>
          <w:rFonts w:ascii="Arial" w:cs="Arial" w:eastAsia="Arial" w:hAnsi="Arial"/>
          <w:sz w:val="19"/>
          <w:szCs w:val="19"/>
          <w:u w:val="single" w:color="auto"/>
          <w:color w:val="auto"/>
        </w:rPr>
        <w:t>sum</w:t>
      </w:r>
      <w:r>
        <w:rPr>
          <w:rFonts w:ascii="Arial" w:cs="Arial" w:eastAsia="Arial" w:hAnsi="Arial"/>
          <w:sz w:val="19"/>
          <w:szCs w:val="19"/>
          <w:color w:val="auto"/>
        </w:rPr>
        <w:t xml:space="preserve"> of (A), the Adjusted Term SOFR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Applicable Rate for Term Benchmark Loans under such Facility and (ii) each Base Rate Loan under a Facility shall bear interest on the outstanding principal amount thereof from the applicable borrowing date at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w:t>
      </w:r>
      <w:r>
        <w:rPr>
          <w:rFonts w:ascii="Arial" w:cs="Arial" w:eastAsia="Arial" w:hAnsi="Arial"/>
          <w:sz w:val="19"/>
          <w:szCs w:val="19"/>
          <w:u w:val="single" w:color="auto"/>
          <w:color w:val="auto"/>
        </w:rPr>
        <w:t>sum</w:t>
      </w:r>
      <w:r>
        <w:rPr>
          <w:rFonts w:ascii="Arial" w:cs="Arial" w:eastAsia="Arial" w:hAnsi="Arial"/>
          <w:sz w:val="19"/>
          <w:szCs w:val="19"/>
          <w:color w:val="auto"/>
        </w:rPr>
        <w:t xml:space="preserve"> of (A) the Base Rate, plus (B) the Applicable Rate for Base Rate Loans under such Facility.</w:t>
      </w:r>
    </w:p>
    <w:p>
      <w:pPr>
        <w:spacing w:after="0" w:line="180" w:lineRule="exact"/>
        <w:rPr>
          <w:rFonts w:ascii="Arial" w:cs="Arial" w:eastAsia="Arial" w:hAnsi="Arial"/>
          <w:sz w:val="19"/>
          <w:szCs w:val="19"/>
          <w:color w:val="auto"/>
        </w:rPr>
      </w:pPr>
    </w:p>
    <w:p>
      <w:pPr>
        <w:jc w:val="both"/>
        <w:ind w:firstLine="1505"/>
        <w:spacing w:after="0" w:line="275" w:lineRule="auto"/>
        <w:tabs>
          <w:tab w:leader="none" w:pos="198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continuation of any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the Borrower shall pay interest on the principal amount of all overdue Obligations hereunder (or, upon the occurrence of any Default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w:t>
      </w:r>
    </w:p>
    <w:p>
      <w:pPr>
        <w:jc w:val="both"/>
        <w:spacing w:after="0" w:line="241" w:lineRule="auto"/>
        <w:rPr>
          <w:rFonts w:ascii="Arial" w:cs="Arial" w:eastAsia="Arial" w:hAnsi="Arial"/>
          <w:sz w:val="18"/>
          <w:szCs w:val="18"/>
          <w:color w:val="auto"/>
        </w:rPr>
      </w:pPr>
      <w:r>
        <w:rPr>
          <w:rFonts w:ascii="Arial" w:cs="Arial" w:eastAsia="Arial" w:hAnsi="Arial"/>
          <w:sz w:val="20"/>
          <w:szCs w:val="20"/>
          <w:u w:val="single" w:color="auto"/>
          <w:color w:val="auto"/>
        </w:rPr>
        <w:t>(g)</w:t>
      </w:r>
      <w:r>
        <w:rPr>
          <w:rFonts w:ascii="Arial" w:cs="Arial" w:eastAsia="Arial" w:hAnsi="Arial"/>
          <w:sz w:val="20"/>
          <w:szCs w:val="20"/>
          <w:color w:val="auto"/>
        </w:rPr>
        <w:t xml:space="preserve">, all Obligations hereunder) at a fluctuating interest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at all times equal to the Default Rate to the fullest extent permitted by applicable Laws. Accrued and unpaid interest on past due amounts (including interest on past due interest) shall be due and payable upon demand.</w:t>
      </w:r>
    </w:p>
    <w:p>
      <w:pPr>
        <w:spacing w:after="0" w:line="195" w:lineRule="exact"/>
        <w:rPr>
          <w:rFonts w:ascii="Arial" w:cs="Arial" w:eastAsia="Arial" w:hAnsi="Arial"/>
          <w:sz w:val="18"/>
          <w:szCs w:val="18"/>
          <w:color w:val="auto"/>
        </w:rPr>
      </w:pPr>
    </w:p>
    <w:p>
      <w:pPr>
        <w:jc w:val="both"/>
        <w:ind w:firstLine="1505"/>
        <w:spacing w:after="0" w:line="269" w:lineRule="auto"/>
        <w:tabs>
          <w:tab w:leader="none" w:pos="199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9" w:lineRule="exact"/>
        <w:rPr>
          <w:rFonts w:ascii="Arial" w:cs="Arial" w:eastAsia="Arial" w:hAnsi="Arial"/>
          <w:sz w:val="19"/>
          <w:szCs w:val="19"/>
          <w:color w:val="auto"/>
        </w:rPr>
      </w:pPr>
    </w:p>
    <w:p>
      <w:pPr>
        <w:jc w:val="both"/>
        <w:ind w:firstLine="1505"/>
        <w:spacing w:after="0" w:line="260" w:lineRule="auto"/>
        <w:tabs>
          <w:tab w:leader="none" w:pos="201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To the extent any Initial Term Loan bearing interest at the Eurodollar Rate (as defined in the Existing Credit Agreement (as defined in Amendment No. 2)) is outstanding on the Amendment No. 2 Effective Date, such Initial Term Loan shall continue to bear interest at the Eurodollar Rate applicable to such Initial Term Loan until the end of the Interest Period applicable to such Initial Term Loan. The provisions of the Existing Credit Agreement governing the Eurodollar Rate Loans shall continue to apply to any such Initial Term Loans until the end of the Interest Period applicable to such Initial Term Loans.</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2.09  [Reserved].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45" w:name="page146"/>
    <w:bookmarkEnd w:id="145"/>
    <w:p>
      <w:pPr>
        <w:jc w:val="both"/>
        <w:ind w:firstLine="1497"/>
        <w:spacing w:after="0" w:line="257" w:lineRule="auto"/>
        <w:rPr>
          <w:sz w:val="20"/>
          <w:szCs w:val="20"/>
          <w:color w:val="auto"/>
        </w:rPr>
      </w:pPr>
      <w:r>
        <w:rPr>
          <w:rFonts w:ascii="Arial" w:cs="Arial" w:eastAsia="Arial" w:hAnsi="Arial"/>
          <w:sz w:val="19"/>
          <w:szCs w:val="19"/>
          <w:color w:val="auto"/>
        </w:rPr>
        <w:t>2.10 Computation of Interest and Fees; Retroactive Adjustments of Applicable Rate. All computations of interest for Base Rate Loans (except for Base Rate computations in respect of clauses (a) and (c) of the definition thereof) shall be made on the basis of a year of three hundred and sixty-five (365) or three hundred and sixty six (366) days, as the case may be, and actual days elapsed. All other computations of fees and interest shall be made on the basis of a three hundred and sixty (360) day year and actual days elapsed (which results in more fees or interest, as applicable, being paid than if computed on the basis of a three hundred and sixty-five (365) day year). Interest shall accrue on each Loan for the day on which the Loan is made, and shall not accrue on a Loan, or any portion thereof, for the day on which the Loan or such portion is paid. Each determination by the Administrative Agent of an interest rate or fee hereunder shall be conclusive and binding for all purposes, absent manifest error.</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2.11  Evidence of Indebtedness.</w:t>
      </w:r>
    </w:p>
    <w:p>
      <w:pPr>
        <w:spacing w:after="0" w:line="216" w:lineRule="exact"/>
        <w:rPr>
          <w:sz w:val="20"/>
          <w:szCs w:val="20"/>
          <w:color w:val="auto"/>
        </w:rPr>
      </w:pPr>
    </w:p>
    <w:p>
      <w:pPr>
        <w:jc w:val="both"/>
        <w:ind w:firstLine="1505"/>
        <w:spacing w:after="0" w:line="270" w:lineRule="auto"/>
        <w:tabs>
          <w:tab w:leader="none" w:pos="199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Credit Extensions made by each Lender shall be evidenced by one or more accounts or records maintained by such Lender and evidenced by one or more entries in the Register maintained by the Administrative Agent, acting solely for purposes of Treasury Regulation Section 5f.103 1(c), as a non-fiduciary agent for the Borrower, in each case in the ordinary course of business. The accounts or records maintained by the Administrative Agent and each Lender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absent manifest error of the amount of the Credit Extensions made by the Lenders to the Borrower and the interest and payments thereon. Any failure to so record or any error in doing so shall not, however, limit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75" w:lineRule="exact"/>
        <w:rPr>
          <w:rFonts w:ascii="Arial" w:cs="Arial" w:eastAsia="Arial" w:hAnsi="Arial"/>
          <w:sz w:val="18"/>
          <w:szCs w:val="18"/>
          <w:color w:val="auto"/>
        </w:rPr>
      </w:pPr>
    </w:p>
    <w:p>
      <w:pPr>
        <w:ind w:left="1980" w:hanging="475"/>
        <w:spacing w:after="0"/>
        <w:tabs>
          <w:tab w:leader="none" w:pos="198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505"/>
        <w:spacing w:after="0" w:line="276" w:lineRule="auto"/>
        <w:tabs>
          <w:tab w:leader="none" w:pos="200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Entries made in good faith by the Administrative Agent in the Register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and by each Lender in its account or accounts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Administrative Agent or such Lender to make an entry, or any finding that an entry is incorrect, in the Register or such account or accounts shall not limit the obligations of the Borrower under this Agreement and the other Loan Documents.</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2.12  Payments Generally; Administrative Agent’s Clawback.</w:t>
      </w:r>
    </w:p>
    <w:p>
      <w:pPr>
        <w:spacing w:after="0" w:line="216" w:lineRule="exact"/>
        <w:rPr>
          <w:sz w:val="20"/>
          <w:szCs w:val="20"/>
          <w:color w:val="auto"/>
        </w:rPr>
      </w:pPr>
    </w:p>
    <w:p>
      <w:pPr>
        <w:jc w:val="both"/>
        <w:ind w:firstLine="1505"/>
        <w:spacing w:after="0" w:line="243" w:lineRule="auto"/>
        <w:tabs>
          <w:tab w:leader="none" w:pos="2027"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12:00 p.m. on the date specified herein. The Administrative Agent will promptly distribute to each Lender its ratable share in respect of the relevant Facility (or other applicable share as provided herein) of such payment in like funds as received by wire transfer to such Lender’s Lending Office. All payments received by the Administrative Agent after 12:00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46" w:name="page147"/>
    <w:bookmarkEnd w:id="146"/>
    <w:p>
      <w:pPr>
        <w:jc w:val="both"/>
        <w:spacing w:after="0" w:line="260" w:lineRule="auto"/>
        <w:rPr>
          <w:sz w:val="20"/>
          <w:szCs w:val="20"/>
          <w:color w:val="auto"/>
        </w:rPr>
      </w:pPr>
      <w:r>
        <w:rPr>
          <w:rFonts w:ascii="Arial" w:cs="Arial" w:eastAsia="Arial" w:hAnsi="Arial"/>
          <w:sz w:val="19"/>
          <w:szCs w:val="19"/>
          <w:color w:val="auto"/>
        </w:rPr>
        <w:t xml:space="preserve">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extension would cause payment of interest on or principal of Term Benchmark Loans to be made in the next succeeding calendar month, such payment shall be made on the immediately preceding Business Day.</w:t>
      </w:r>
    </w:p>
    <w:p>
      <w:pPr>
        <w:spacing w:after="0" w:line="180" w:lineRule="exact"/>
        <w:rPr>
          <w:sz w:val="20"/>
          <w:szCs w:val="20"/>
          <w:color w:val="auto"/>
        </w:rPr>
      </w:pPr>
    </w:p>
    <w:p>
      <w:pPr>
        <w:jc w:val="both"/>
        <w:ind w:firstLine="1505"/>
        <w:spacing w:after="0" w:line="273" w:lineRule="auto"/>
        <w:tabs>
          <w:tab w:leader="none" w:pos="200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Payments by the Borrower; Presumptions by Administrative Agent</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reasonably determined by the Administrative Agent in accordance with banking industry rules on interbank compensation.</w:t>
      </w:r>
    </w:p>
    <w:p>
      <w:pPr>
        <w:spacing w:after="0" w:line="168"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A notice of the Administrative Agent to the Borrower with respect to any amount owing under this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shall be conclusive, absent manifest error.</w:t>
      </w:r>
    </w:p>
    <w:p>
      <w:pPr>
        <w:spacing w:after="0" w:line="177" w:lineRule="exact"/>
        <w:rPr>
          <w:sz w:val="20"/>
          <w:szCs w:val="20"/>
          <w:color w:val="auto"/>
        </w:rPr>
      </w:pPr>
    </w:p>
    <w:p>
      <w:pPr>
        <w:jc w:val="both"/>
        <w:ind w:firstLine="1505"/>
        <w:spacing w:after="0" w:line="244" w:lineRule="auto"/>
        <w:tabs>
          <w:tab w:leader="none" w:pos="1993"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on demand, without interest.</w:t>
      </w:r>
    </w:p>
    <w:p>
      <w:pPr>
        <w:spacing w:after="0" w:line="194" w:lineRule="exact"/>
        <w:rPr>
          <w:rFonts w:ascii="Arial" w:cs="Arial" w:eastAsia="Arial" w:hAnsi="Arial"/>
          <w:sz w:val="20"/>
          <w:szCs w:val="20"/>
          <w:color w:val="auto"/>
        </w:rPr>
      </w:pPr>
    </w:p>
    <w:p>
      <w:pPr>
        <w:jc w:val="both"/>
        <w:ind w:firstLine="1505"/>
        <w:spacing w:after="0" w:line="244" w:lineRule="auto"/>
        <w:tabs>
          <w:tab w:leader="none" w:pos="1981"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Obligations of the Lenders Several</w:t>
      </w:r>
      <w:r>
        <w:rPr>
          <w:rFonts w:ascii="Arial" w:cs="Arial" w:eastAsia="Arial" w:hAnsi="Arial"/>
          <w:sz w:val="20"/>
          <w:szCs w:val="20"/>
          <w:color w:val="auto"/>
        </w:rPr>
        <w:t xml:space="preserve">. The obligations of the Lenders hereunder to make Loans and to make payments pursuant to </w:t>
      </w:r>
      <w:r>
        <w:rPr>
          <w:rFonts w:ascii="Arial" w:cs="Arial" w:eastAsia="Arial" w:hAnsi="Arial"/>
          <w:sz w:val="20"/>
          <w:szCs w:val="20"/>
          <w:u w:val="single" w:color="auto"/>
          <w:color w:val="auto"/>
        </w:rPr>
        <w:t>Section 9.07</w:t>
      </w:r>
      <w:r>
        <w:rPr>
          <w:rFonts w:ascii="Arial" w:cs="Arial" w:eastAsia="Arial" w:hAnsi="Arial"/>
          <w:sz w:val="20"/>
          <w:szCs w:val="20"/>
          <w:color w:val="auto"/>
        </w:rPr>
        <w:t xml:space="preserve"> are several and not joint. The failure of any Lender to make any Loan or to fund any such participation or to make any payment under </w:t>
      </w:r>
      <w:r>
        <w:rPr>
          <w:rFonts w:ascii="Arial" w:cs="Arial" w:eastAsia="Arial" w:hAnsi="Arial"/>
          <w:sz w:val="20"/>
          <w:szCs w:val="20"/>
          <w:u w:val="single" w:color="auto"/>
          <w:color w:val="auto"/>
        </w:rPr>
        <w:t>Section 9.07</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or, to purchase its participation or to make its payment under </w:t>
      </w:r>
      <w:r>
        <w:rPr>
          <w:rFonts w:ascii="Arial" w:cs="Arial" w:eastAsia="Arial" w:hAnsi="Arial"/>
          <w:sz w:val="20"/>
          <w:szCs w:val="20"/>
          <w:u w:val="single" w:color="auto"/>
          <w:color w:val="auto"/>
        </w:rPr>
        <w:t>Section 9.07</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505"/>
        <w:spacing w:after="0" w:line="250" w:lineRule="auto"/>
        <w:tabs>
          <w:tab w:leader="none" w:pos="1996"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0"/>
          <w:szCs w:val="20"/>
          <w:color w:val="auto"/>
        </w:rPr>
      </w:pPr>
    </w:p>
    <w:p>
      <w:pPr>
        <w:jc w:val="both"/>
        <w:ind w:firstLine="1505"/>
        <w:spacing w:after="0" w:line="244" w:lineRule="auto"/>
        <w:tabs>
          <w:tab w:leader="none" w:pos="198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Insufficient Funds</w:t>
      </w:r>
      <w:r>
        <w:rPr>
          <w:rFonts w:ascii="Arial" w:cs="Arial" w:eastAsia="Arial" w:hAnsi="Arial"/>
          <w:sz w:val="20"/>
          <w:szCs w:val="20"/>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20"/>
          <w:szCs w:val="20"/>
          <w:u w:val="single" w:color="auto"/>
          <w:color w:val="auto"/>
        </w:rPr>
        <w:t>second</w:t>
      </w:r>
      <w:r>
        <w:rPr>
          <w:rFonts w:ascii="Arial" w:cs="Arial" w:eastAsia="Arial" w:hAnsi="Arial"/>
          <w:sz w:val="20"/>
          <w:szCs w:val="20"/>
          <w:color w:val="auto"/>
        </w:rPr>
        <w:t>, toward payment of principal then due hereunder, ratably among the parties entitled thereto in accordance with the amounts of principal then due to such parties.</w:t>
      </w:r>
    </w:p>
    <w:p>
      <w:pPr>
        <w:spacing w:after="0" w:line="194" w:lineRule="exact"/>
        <w:rPr>
          <w:rFonts w:ascii="Arial" w:cs="Arial" w:eastAsia="Arial" w:hAnsi="Arial"/>
          <w:sz w:val="20"/>
          <w:szCs w:val="20"/>
          <w:color w:val="auto"/>
        </w:rPr>
      </w:pPr>
    </w:p>
    <w:p>
      <w:pPr>
        <w:jc w:val="both"/>
        <w:ind w:firstLine="1505"/>
        <w:spacing w:after="0" w:line="246" w:lineRule="auto"/>
        <w:tabs>
          <w:tab w:leader="none" w:pos="198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Unallocated Funds</w:t>
      </w:r>
      <w:r>
        <w:rPr>
          <w:rFonts w:ascii="Arial" w:cs="Arial" w:eastAsia="Arial" w:hAnsi="Arial"/>
          <w:sz w:val="20"/>
          <w:szCs w:val="20"/>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47" w:name="page148"/>
    <w:bookmarkEnd w:id="147"/>
    <w:p>
      <w:pPr>
        <w:jc w:val="both"/>
        <w:spacing w:after="0" w:line="260" w:lineRule="auto"/>
        <w:rPr>
          <w:sz w:val="20"/>
          <w:szCs w:val="20"/>
          <w:color w:val="auto"/>
        </w:rPr>
      </w:pPr>
      <w:r>
        <w:rPr>
          <w:rFonts w:ascii="Arial" w:cs="Arial" w:eastAsia="Arial" w:hAnsi="Arial"/>
          <w:sz w:val="20"/>
          <w:szCs w:val="20"/>
          <w:color w:val="auto"/>
        </w:rPr>
        <w:t>with such Lender’s ratable share of the sum of the Outstanding Amount of all Loans outstanding at such time and, in repayment or prepayment of such of the outstanding Loans or other Obligations then owing to such Lender.</w:t>
      </w:r>
    </w:p>
    <w:p>
      <w:pPr>
        <w:spacing w:after="0" w:line="177"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8"/>
          <w:szCs w:val="18"/>
          <w:color w:val="auto"/>
        </w:rPr>
        <w:t xml:space="preserve">2.13 Sharing of Payments. If, other than as expressly provided elsewhere herein (including the application of funds arising from the existence of a Defaulting Lender), any Lender shall obtain on account of the Loans made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of the same class such participations in the Loans of the same class made by them as shall be necessary to cause such purchasing Lender to share the excess payment in respect of such Loans or such participations, as the case may be,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each of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Borrower agrees that any Lender so purchasing a participation from another Lender may, to the fullest extent permitted by law, exercise all its rights of payment (including the right of setoff, but subject to Section 10.09)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(A) the assignments and participations (including by means of a Dutch Auction) described in Sections 2.05(c) and 10.07, (B) the incurrence of any Specified Refinancing Debt in accordance with Section 2.19 or (C) any applicable circumstances contemplated by Sections 2.05(b), 2.16, 2.19 or 3.07.</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2.14  [Reserved].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2.15  Extension Offers.</w:t>
      </w:r>
    </w:p>
    <w:p>
      <w:pPr>
        <w:spacing w:after="0" w:line="216" w:lineRule="exact"/>
        <w:rPr>
          <w:sz w:val="20"/>
          <w:szCs w:val="20"/>
          <w:color w:val="auto"/>
        </w:rPr>
      </w:pPr>
    </w:p>
    <w:p>
      <w:pPr>
        <w:jc w:val="both"/>
        <w:ind w:firstLine="1505"/>
        <w:spacing w:after="0" w:line="271" w:lineRule="auto"/>
        <w:tabs>
          <w:tab w:leader="none" w:pos="199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b w:val="1"/>
          <w:bCs w:val="1"/>
          <w:i w:val="1"/>
          <w:iCs w:val="1"/>
          <w:color w:val="auto"/>
        </w:rPr>
        <w:t>Extension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made from time to time by the Borrower to all Lenders of Term Loans having a like maturity date on a pro rata basis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outstanding principal amount of the respective Term Loans) and on the same terms to each such Lender, the Borrower may from time to time extend the maturity date of any Term Loans and otherwise modify the terms of such Term Loans pursuant to the terms of the relevant Extension Offer (including, without limitation, by increasing the interest rate or fees payable in respect of such Term Loans (and related outstandings) and/or modifying the amortization schedule in respect of such Lender’s Term Loans) (each, an “</w:t>
      </w:r>
      <w:r>
        <w:rPr>
          <w:rFonts w:ascii="Arial" w:cs="Arial" w:eastAsia="Arial" w:hAnsi="Arial"/>
          <w:sz w:val="18"/>
          <w:szCs w:val="18"/>
          <w:b w:val="1"/>
          <w:bCs w:val="1"/>
          <w:i w:val="1"/>
          <w:iCs w:val="1"/>
          <w:color w:val="auto"/>
        </w:rPr>
        <w:t>Extension</w:t>
      </w:r>
      <w:r>
        <w:rPr>
          <w:rFonts w:ascii="Arial" w:cs="Arial" w:eastAsia="Arial" w:hAnsi="Arial"/>
          <w:sz w:val="18"/>
          <w:szCs w:val="18"/>
          <w:color w:val="auto"/>
        </w:rPr>
        <w:t>”, and each group of Term Loans as so extended, as well as the original Term Loans (in each case not so extended), being a “</w:t>
      </w:r>
      <w:r>
        <w:rPr>
          <w:rFonts w:ascii="Arial" w:cs="Arial" w:eastAsia="Arial" w:hAnsi="Arial"/>
          <w:sz w:val="18"/>
          <w:szCs w:val="18"/>
          <w:b w:val="1"/>
          <w:bCs w:val="1"/>
          <w:i w:val="1"/>
          <w:iCs w:val="1"/>
          <w:color w:val="auto"/>
        </w:rPr>
        <w:t>Tranche</w:t>
      </w:r>
      <w:r>
        <w:rPr>
          <w:rFonts w:ascii="Arial" w:cs="Arial" w:eastAsia="Arial" w:hAnsi="Arial"/>
          <w:sz w:val="18"/>
          <w:szCs w:val="18"/>
          <w:color w:val="auto"/>
        </w:rPr>
        <w:t>”); any Extended Term Loans shall constitute a separate Tranche of Term Loans from the Tranche of Term Loans from which they were converted, so long as the following terms are satisfied: (i) no Event of Default shall have occurred and be continuing at the time the offering document in respect of an Extension Offer is delivered to the Lenders, (ii) except as to interest rates, fees, amortization, final maturity date, premium,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48" w:name="page149"/>
    <w:bookmarkEnd w:id="148"/>
    <w:p>
      <w:pPr>
        <w:jc w:val="both"/>
        <w:spacing w:after="0" w:line="269" w:lineRule="auto"/>
        <w:rPr>
          <w:sz w:val="20"/>
          <w:szCs w:val="20"/>
          <w:color w:val="auto"/>
        </w:rPr>
      </w:pPr>
      <w:r>
        <w:rPr>
          <w:rFonts w:ascii="Arial" w:cs="Arial" w:eastAsia="Arial" w:hAnsi="Arial"/>
          <w:sz w:val="18"/>
          <w:szCs w:val="18"/>
          <w:color w:val="auto"/>
        </w:rPr>
        <w:t>required prepayment dates and participation in prepayments (which shall, subject to immediately succeeding clauses (iii), (iv) and (v), be determined by the Borrower and set forth in the relevant Extension Offer), the Term Loans of any Lender extended pursuant to any Extension (“</w:t>
      </w:r>
      <w:r>
        <w:rPr>
          <w:rFonts w:ascii="Arial" w:cs="Arial" w:eastAsia="Arial" w:hAnsi="Arial"/>
          <w:sz w:val="18"/>
          <w:szCs w:val="18"/>
          <w:b w:val="1"/>
          <w:bCs w:val="1"/>
          <w:i w:val="1"/>
          <w:iCs w:val="1"/>
          <w:color w:val="auto"/>
        </w:rPr>
        <w:t>Extended Term Loans</w:t>
      </w:r>
      <w:r>
        <w:rPr>
          <w:rFonts w:ascii="Arial" w:cs="Arial" w:eastAsia="Arial" w:hAnsi="Arial"/>
          <w:sz w:val="18"/>
          <w:szCs w:val="18"/>
          <w:color w:val="auto"/>
        </w:rPr>
        <w:t xml:space="preserve">”) shall have the same terms as the Tranche of Term Loans subject to such Extension Offer, (iii) the final maturity date of any Extended Term Loans shall be no earlier than the then Latest Maturity Date hereunder and the amortization schedule applicable to Term Loans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for periods prior to the original applicable Maturity Date may not be increased, (iv) the Weighted Average Life to Maturity of any Extended Term Loans shall be no shorter than the remaining Weighted Average Life to Maturity of the Term Loans extended thereby, (v) any Extended Term Loans may participate on a pro rata basis or a less than pro rata basis (but not greater than a pro rata basis) in any voluntary or mandatory repayments or prepayments hereunder, in each case as specified in the respective Extension Offer, (vi) if the aggregate principal amount of Term Loans (calculated on the face amount thereof), in respect of which Lenders or shall have accepted the relevant Extension Offer shall exceed the maximum aggregate principal amount of Term Loans offered to be extended by the Borrower pursuant to such Extension Offer, then the Term Loans of such Lenders shall be extended ratably up to such maximum amount based on the respective principal amounts (but not to exceed actual holdings of record) with respect to which such Lenders have accepted such Extension Offer, (vii) all documentation in respect of such Extension shall be consistent with the foregoing, and (viii) any applicable Minimum Extension Condition shall be satisfied unless waived by the Borrower. For the avoidance of doubt, no Lender shall be required to participate in any Extension.</w:t>
      </w:r>
    </w:p>
    <w:p>
      <w:pPr>
        <w:spacing w:after="0" w:line="179" w:lineRule="exact"/>
        <w:rPr>
          <w:sz w:val="20"/>
          <w:szCs w:val="20"/>
          <w:color w:val="auto"/>
        </w:rPr>
      </w:pPr>
    </w:p>
    <w:p>
      <w:pPr>
        <w:jc w:val="both"/>
        <w:ind w:firstLine="1505"/>
        <w:spacing w:after="0" w:line="272" w:lineRule="auto"/>
        <w:tabs>
          <w:tab w:leader="none" w:pos="198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With respect to all Extensions consummated by the Borrower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 such Extensions shall not constitute voluntary or mandatory payments or prepayments for purposes of Section 2.05 and (ii) no Extension Offer is required to be in any minimum amount or any minimum increment;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at its election specify as a condition (a “</w:t>
      </w:r>
      <w:r>
        <w:rPr>
          <w:rFonts w:ascii="Arial" w:cs="Arial" w:eastAsia="Arial" w:hAnsi="Arial"/>
          <w:sz w:val="18"/>
          <w:szCs w:val="18"/>
          <w:b w:val="1"/>
          <w:bCs w:val="1"/>
          <w:i w:val="1"/>
          <w:iCs w:val="1"/>
          <w:color w:val="auto"/>
        </w:rPr>
        <w:t>Minimum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Extension Condition</w:t>
      </w:r>
      <w:r>
        <w:rPr>
          <w:rFonts w:ascii="Arial" w:cs="Arial" w:eastAsia="Arial" w:hAnsi="Arial"/>
          <w:sz w:val="18"/>
          <w:szCs w:val="18"/>
          <w:color w:val="auto"/>
        </w:rPr>
        <w:t>”) to consummating any such Extension that a minimum amount (to be determined and specified in the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Extension Offer in the Borrower’s sole discretion and may be waived by the Borrower) of Term Loans (as applicable) of any or all applicable Tranches be tendered. The Administrative Agent and the Lenders hereby consent to the Extensions and the other transactions contemplated by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(including, for the avoidance of doubt, payment of any interest, fees or premium in respect of any Extended Term Loans on the such terms as may be set forth in the relevant Extension Offer) and hereby waive the requirements of any provision of this Agreement or any other Loan Document that may otherwise prohibit any such Extension or any other transaction contemplated by this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505"/>
        <w:spacing w:after="0" w:line="242" w:lineRule="auto"/>
        <w:tabs>
          <w:tab w:leader="none" w:pos="198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The Lenders hereby irrevocably authorize the Administrative Agent and Collateral Agent to enter into amendments to this Agreement and the other Loan Documents with the Borrower as may be necessary in order to establish new Tranches or sub-Tranches in respect of Term Loans so extended and such technical amendments as may be necessary or appropriate in the reasonable opinion of the Administrative Agent and the Borrower in connection with the establishment of such new Tranches or sub-Tranches, in each case on terms consistent with this </w:t>
      </w:r>
      <w:r>
        <w:rPr>
          <w:rFonts w:ascii="Arial" w:cs="Arial" w:eastAsia="Arial" w:hAnsi="Arial"/>
          <w:sz w:val="20"/>
          <w:szCs w:val="20"/>
          <w:u w:val="single" w:color="auto"/>
          <w:color w:val="auto"/>
        </w:rPr>
        <w:t>Section 2.15</w:t>
      </w:r>
      <w:r>
        <w:rPr>
          <w:rFonts w:ascii="Arial" w:cs="Arial" w:eastAsia="Arial" w:hAnsi="Arial"/>
          <w:sz w:val="20"/>
          <w:szCs w:val="20"/>
          <w:color w:val="auto"/>
        </w:rPr>
        <w:t>. Without limiting the foregoing, in connection with any Extensions the respective Loan Parties shall (at their expense) amend (and the Collateral Agent is hereby directed to amend) any Mortgage that has a maturity date prior to the then Latest Maturity Date so that such maturity date is extended to the then Latest Maturity Date (or such later date as may be advised by local counsel to the Collateral Agent).</w:t>
      </w:r>
    </w:p>
    <w:p>
      <w:pPr>
        <w:spacing w:after="0" w:line="196" w:lineRule="exact"/>
        <w:rPr>
          <w:rFonts w:ascii="Arial" w:cs="Arial" w:eastAsia="Arial" w:hAnsi="Arial"/>
          <w:sz w:val="20"/>
          <w:szCs w:val="20"/>
          <w:color w:val="auto"/>
        </w:rPr>
      </w:pPr>
    </w:p>
    <w:p>
      <w:pPr>
        <w:jc w:val="both"/>
        <w:ind w:firstLine="1505"/>
        <w:spacing w:after="0" w:line="246" w:lineRule="auto"/>
        <w:tabs>
          <w:tab w:leader="none" w:pos="198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In connection with any Extension, the Borrower shall provide the Administrative Agent and the Collateral Agent at least five Business Days’ (or such shorter period as may be agreed by the Administrative Agent and the Collateral Agent) prior written notice thereof, and shall agree to such procedures, if any, as may be established by, or acceptable to, the Administrative Agent and the Collateral Agent, in each case acting reasonably to accomplish the purposes of this </w:t>
      </w:r>
      <w:r>
        <w:rPr>
          <w:rFonts w:ascii="Arial" w:cs="Arial" w:eastAsia="Arial" w:hAnsi="Arial"/>
          <w:sz w:val="20"/>
          <w:szCs w:val="20"/>
          <w:u w:val="single" w:color="auto"/>
          <w:color w:val="auto"/>
        </w:rPr>
        <w:t>Section 2.</w:t>
      </w:r>
      <w:r>
        <w:rPr>
          <w:rFonts w:ascii="Arial" w:cs="Arial" w:eastAsia="Arial" w:hAnsi="Arial"/>
          <w:sz w:val="20"/>
          <w:szCs w:val="20"/>
          <w:color w:val="auto"/>
        </w:rPr>
        <w:t>15.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49" w:name="page150"/>
    <w:bookmarkEnd w:id="149"/>
    <w:p>
      <w:pPr>
        <w:jc w:val="both"/>
        <w:ind w:firstLine="1505"/>
        <w:spacing w:after="0" w:line="269" w:lineRule="auto"/>
        <w:tabs>
          <w:tab w:leader="none" w:pos="198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in connection with any proposed Extension, any requested Lender declines to consent to the applicable extension on the terms and by the deadline set forth in the applicable Extension Offer (each such other Lender, a “</w:t>
      </w:r>
      <w:r>
        <w:rPr>
          <w:rFonts w:ascii="Arial" w:cs="Arial" w:eastAsia="Arial" w:hAnsi="Arial"/>
          <w:sz w:val="18"/>
          <w:szCs w:val="18"/>
          <w:b w:val="1"/>
          <w:bCs w:val="1"/>
          <w:i w:val="1"/>
          <w:iCs w:val="1"/>
          <w:color w:val="auto"/>
        </w:rPr>
        <w:t>Non-Extending Lender</w:t>
      </w:r>
      <w:r>
        <w:rPr>
          <w:rFonts w:ascii="Arial" w:cs="Arial" w:eastAsia="Arial" w:hAnsi="Arial"/>
          <w:sz w:val="18"/>
          <w:szCs w:val="18"/>
          <w:color w:val="auto"/>
        </w:rPr>
        <w:t xml:space="preserve">”) then the Borrower may, on notice to the Administrative Agent and the Non-Extending Lender, replace such Non-Extending Lender by causing such Lender to (and such Lender shall be obligated to) assign pursuant to Section 10.07 (with the assignment fee and any other costs and expenses to be paid by the Borrower in such instance) all of its rights and obligations under this Agreement to one or more assignees; provided that neither the Administrative Agent nor any Lender shall have any obligation to the Borrower to find a replacement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applicable assignee shall have agreed to provide Extended Term Loans on the terms set forth in such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all obligations of the Borrower owing to the Non-Extending Lender relating to the existing Term Loans so assigned shall be paid in full by the assignee Lender to such Non-Extending Lender concurrently with such Assignment and Assumption. In connection with any such replacement under this Section 2.15, if the Non-Extending Lender does not execute and deliver to the Administrative Agent a duly completed Assignment and Assumption by the later of (A) the date on which the replacement Lender executes and delivers such Assignment and Assumption and (B) the date as of which all obligations of the Borrower owing to the Non-Extending Lender relating to the existing Term Loans so assigned shall be paid in full by the assignee Lender to such Non-Extending Lender, then such Non-Extending Lender shall be deemed to have executed and delivered such Assignment and Assumption as of such date and the Borrower shall be entitled (but not obligated) to execute and deliver such Assignment and Assumption on behalf of such Non-Extending Lender.</w:t>
      </w:r>
    </w:p>
    <w:p>
      <w:pPr>
        <w:spacing w:after="0" w:line="178" w:lineRule="exact"/>
        <w:rPr>
          <w:rFonts w:ascii="Arial" w:cs="Arial" w:eastAsia="Arial" w:hAnsi="Arial"/>
          <w:sz w:val="18"/>
          <w:szCs w:val="18"/>
          <w:color w:val="auto"/>
        </w:rPr>
      </w:pPr>
    </w:p>
    <w:p>
      <w:pPr>
        <w:jc w:val="both"/>
        <w:ind w:firstLine="1505"/>
        <w:spacing w:after="0" w:line="255" w:lineRule="auto"/>
        <w:tabs>
          <w:tab w:leader="none" w:pos="198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Following the effectiveness of any Extension, with the written consent of the Borrower, any Non-Extending Lender may elect to have all or a portion of its Term Loans deemed to be an Extended Term Loan under the applicable extended Tranche on any date (each date a “</w:t>
      </w:r>
      <w:r>
        <w:rPr>
          <w:rFonts w:ascii="Arial" w:cs="Arial" w:eastAsia="Arial" w:hAnsi="Arial"/>
          <w:sz w:val="19"/>
          <w:szCs w:val="19"/>
          <w:b w:val="1"/>
          <w:bCs w:val="1"/>
          <w:i w:val="1"/>
          <w:iCs w:val="1"/>
          <w:color w:val="auto"/>
        </w:rPr>
        <w:t>Designation Date</w:t>
      </w:r>
      <w:r>
        <w:rPr>
          <w:rFonts w:ascii="Arial" w:cs="Arial" w:eastAsia="Arial" w:hAnsi="Arial"/>
          <w:sz w:val="19"/>
          <w:szCs w:val="19"/>
          <w:color w:val="auto"/>
        </w:rPr>
        <w:t xml:space="preserve">”) prior to the maturity date of such extended Tranche;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have provided written notice to the Borrower and the Administrative Agent at least ten (10) Business Days prior to such Designation Date (or such shorter period as the Administrative Agent may agree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greater amount shall be paid by or on behalf of the Borrower or any of its Affiliates to any such Non-Extending Lender as consideration for its extension into such extended Tranche than was paid to any Lender that participated in such Extension as consideration for its Extension into such extended Tranche. Following a Designation Date, the existing Term Loans held by such Lender so elected to be extended will be deemed to be Extended Term Loans of the applicable extended Tranche, and any existing Term Loans held by such Lender not elected to be extended, if any, shall continue to be Term Loans of the applicable Tranche.</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2.16  Incremental Facilities.</w:t>
      </w:r>
    </w:p>
    <w:p>
      <w:pPr>
        <w:spacing w:after="0" w:line="216" w:lineRule="exact"/>
        <w:rPr>
          <w:sz w:val="20"/>
          <w:szCs w:val="20"/>
          <w:color w:val="auto"/>
        </w:rPr>
      </w:pPr>
    </w:p>
    <w:p>
      <w:pPr>
        <w:jc w:val="both"/>
        <w:ind w:firstLine="1505"/>
        <w:spacing w:after="0" w:line="275" w:lineRule="auto"/>
        <w:tabs>
          <w:tab w:leader="none" w:pos="199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Borrower may, from time to time after the Closing Date, upon notice by the Borrower to the Administrative Agent and the Person appointed by the Borrower to arrange an incremental Facility (such Person (who may be (i) the Administrative Agent or</w:t>
      </w:r>
    </w:p>
    <w:p>
      <w:pPr>
        <w:jc w:val="both"/>
        <w:ind w:firstLine="8"/>
        <w:spacing w:after="0" w:line="299" w:lineRule="auto"/>
        <w:tabs>
          <w:tab w:leader="none" w:pos="30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other Person appointed by the Borrower after consultation with the Administrative Agent), the “</w:t>
      </w:r>
      <w:r>
        <w:rPr>
          <w:rFonts w:ascii="Arial" w:cs="Arial" w:eastAsia="Arial" w:hAnsi="Arial"/>
          <w:sz w:val="16"/>
          <w:szCs w:val="16"/>
          <w:b w:val="1"/>
          <w:bCs w:val="1"/>
          <w:i w:val="1"/>
          <w:iCs w:val="1"/>
          <w:color w:val="auto"/>
        </w:rPr>
        <w:t>Incremental Arranger</w:t>
      </w:r>
      <w:r>
        <w:rPr>
          <w:rFonts w:ascii="Arial" w:cs="Arial" w:eastAsia="Arial" w:hAnsi="Arial"/>
          <w:sz w:val="16"/>
          <w:szCs w:val="16"/>
          <w:color w:val="auto"/>
        </w:rPr>
        <w:t>”) specifying the proposed amount thereof, request (i) an increase in any Term Loan Tranche then outstanding (which shall be on the same terms as, and become part of, the Term Loan Tranche proposed to be increased hereunder (except as otherwise provided in clause (d) below with respect to amortization)) (each, a “</w:t>
      </w:r>
      <w:r>
        <w:rPr>
          <w:rFonts w:ascii="Arial" w:cs="Arial" w:eastAsia="Arial" w:hAnsi="Arial"/>
          <w:sz w:val="16"/>
          <w:szCs w:val="16"/>
          <w:b w:val="1"/>
          <w:bCs w:val="1"/>
          <w:i w:val="1"/>
          <w:iCs w:val="1"/>
          <w:color w:val="auto"/>
        </w:rPr>
        <w:t>Term Commitment Increase</w:t>
      </w:r>
      <w:r>
        <w:rPr>
          <w:rFonts w:ascii="Arial" w:cs="Arial" w:eastAsia="Arial" w:hAnsi="Arial"/>
          <w:sz w:val="16"/>
          <w:szCs w:val="16"/>
          <w:color w:val="auto"/>
        </w:rPr>
        <w:t>”), or (ii) the addition of one or more new term loan facilities (each, a “</w:t>
      </w:r>
      <w:r>
        <w:rPr>
          <w:rFonts w:ascii="Arial" w:cs="Arial" w:eastAsia="Arial" w:hAnsi="Arial"/>
          <w:sz w:val="16"/>
          <w:szCs w:val="16"/>
          <w:b w:val="1"/>
          <w:bCs w:val="1"/>
          <w:i w:val="1"/>
          <w:iCs w:val="1"/>
          <w:color w:val="auto"/>
        </w:rPr>
        <w:t>New Term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Facility</w:t>
      </w:r>
      <w:r>
        <w:rPr>
          <w:rFonts w:ascii="Arial" w:cs="Arial" w:eastAsia="Arial" w:hAnsi="Arial"/>
          <w:sz w:val="16"/>
          <w:szCs w:val="16"/>
          <w:color w:val="auto"/>
        </w:rPr>
        <w:t>”; and any advance made by a Lender thereunder, a “</w:t>
      </w:r>
      <w:r>
        <w:rPr>
          <w:rFonts w:ascii="Arial" w:cs="Arial" w:eastAsia="Arial" w:hAnsi="Arial"/>
          <w:sz w:val="16"/>
          <w:szCs w:val="16"/>
          <w:b w:val="1"/>
          <w:bCs w:val="1"/>
          <w:i w:val="1"/>
          <w:iCs w:val="1"/>
          <w:color w:val="auto"/>
        </w:rPr>
        <w:t>New Term Loan</w:t>
      </w:r>
      <w:r>
        <w:rPr>
          <w:rFonts w:ascii="Arial" w:cs="Arial" w:eastAsia="Arial" w:hAnsi="Arial"/>
          <w:sz w:val="16"/>
          <w:szCs w:val="16"/>
          <w:color w:val="auto"/>
        </w:rPr>
        <w:t>”; and the commitments thereof, the “</w:t>
      </w:r>
      <w:r>
        <w:rPr>
          <w:rFonts w:ascii="Arial" w:cs="Arial" w:eastAsia="Arial" w:hAnsi="Arial"/>
          <w:sz w:val="16"/>
          <w:szCs w:val="16"/>
          <w:b w:val="1"/>
          <w:bCs w:val="1"/>
          <w:i w:val="1"/>
          <w:iCs w:val="1"/>
          <w:color w:val="auto"/>
        </w:rPr>
        <w:t>New Term Commitment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together with the Term Commitment Increase, the “</w:t>
      </w:r>
      <w:r>
        <w:rPr>
          <w:rFonts w:ascii="Arial" w:cs="Arial" w:eastAsia="Arial" w:hAnsi="Arial"/>
          <w:sz w:val="16"/>
          <w:szCs w:val="16"/>
          <w:b w:val="1"/>
          <w:bCs w:val="1"/>
          <w:i w:val="1"/>
          <w:iCs w:val="1"/>
          <w:color w:val="auto"/>
        </w:rPr>
        <w:t>New Loan Commitments</w:t>
      </w:r>
      <w:r>
        <w:rPr>
          <w:rFonts w:ascii="Arial" w:cs="Arial" w:eastAsia="Arial" w:hAnsi="Arial"/>
          <w:sz w:val="16"/>
          <w:szCs w:val="16"/>
          <w:color w:val="auto"/>
        </w:rPr>
        <w:t>”) in an amount not to exceed the sum of (x) the greater of</w:t>
      </w:r>
    </w:p>
    <w:p>
      <w:pPr>
        <w:spacing w:after="0" w:line="1" w:lineRule="exact"/>
        <w:rPr>
          <w:rFonts w:ascii="Arial" w:cs="Arial" w:eastAsia="Arial" w:hAnsi="Arial"/>
          <w:sz w:val="16"/>
          <w:szCs w:val="16"/>
          <w:color w:val="auto"/>
        </w:rPr>
      </w:pPr>
    </w:p>
    <w:p>
      <w:pPr>
        <w:jc w:val="both"/>
        <w:spacing w:after="0" w:line="241" w:lineRule="auto"/>
        <w:rPr>
          <w:rFonts w:ascii="Arial" w:cs="Arial" w:eastAsia="Arial" w:hAnsi="Arial"/>
          <w:sz w:val="16"/>
          <w:szCs w:val="16"/>
          <w:color w:val="auto"/>
        </w:rPr>
      </w:pPr>
      <w:r>
        <w:rPr>
          <w:rFonts w:ascii="Arial" w:cs="Arial" w:eastAsia="Arial" w:hAnsi="Arial"/>
          <w:sz w:val="20"/>
          <w:szCs w:val="20"/>
          <w:color w:val="auto"/>
        </w:rPr>
        <w:t>(A) $950,000,000 and (B) 50% of Four Quarter Consolidated EBITDA (the “</w:t>
      </w:r>
      <w:r>
        <w:rPr>
          <w:rFonts w:ascii="Arial" w:cs="Arial" w:eastAsia="Arial" w:hAnsi="Arial"/>
          <w:sz w:val="20"/>
          <w:szCs w:val="20"/>
          <w:b w:val="1"/>
          <w:bCs w:val="1"/>
          <w:i w:val="1"/>
          <w:iCs w:val="1"/>
          <w:color w:val="auto"/>
        </w:rPr>
        <w:t>Cash-Capped Incremental Facility</w:t>
      </w:r>
      <w:r>
        <w:rPr>
          <w:rFonts w:ascii="Arial" w:cs="Arial" w:eastAsia="Arial" w:hAnsi="Arial"/>
          <w:sz w:val="20"/>
          <w:szCs w:val="20"/>
          <w:color w:val="auto"/>
        </w:rPr>
        <w:t>”), (y) an unlimited amount (the “</w:t>
      </w:r>
      <w:r>
        <w:rPr>
          <w:rFonts w:ascii="Arial" w:cs="Arial" w:eastAsia="Arial" w:hAnsi="Arial"/>
          <w:sz w:val="20"/>
          <w:szCs w:val="20"/>
          <w:b w:val="1"/>
          <w:bCs w:val="1"/>
          <w:i w:val="1"/>
          <w:iCs w:val="1"/>
          <w:color w:val="auto"/>
        </w:rPr>
        <w:t>Ratio-Based Incremental Facility</w:t>
      </w:r>
      <w:r>
        <w:rPr>
          <w:rFonts w:ascii="Arial" w:cs="Arial" w:eastAsia="Arial" w:hAnsi="Arial"/>
          <w:sz w:val="20"/>
          <w:szCs w:val="20"/>
          <w:color w:val="auto"/>
        </w:rPr>
        <w:t xml:space="preserve">”) so long as the Maximum Leverage Requirement is satisfied and (z) an amount equal to (i) (A) all voluntary prepayments of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Term Loans (including, for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0" w:name="page151"/>
    <w:bookmarkEnd w:id="150"/>
    <w:p>
      <w:pPr>
        <w:jc w:val="both"/>
        <w:spacing w:after="0" w:line="274" w:lineRule="auto"/>
        <w:rPr>
          <w:sz w:val="20"/>
          <w:szCs w:val="20"/>
          <w:color w:val="auto"/>
        </w:rPr>
      </w:pPr>
      <w:r>
        <w:rPr>
          <w:rFonts w:ascii="Arial" w:cs="Arial" w:eastAsia="Arial" w:hAnsi="Arial"/>
          <w:sz w:val="18"/>
          <w:szCs w:val="18"/>
          <w:color w:val="auto"/>
        </w:rPr>
        <w:t xml:space="preserve">avoidance of doubt, any New Term Loans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made pursuant to Section 2.05(a) and (B) all repurchases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Term Loans (including, for the avoidance of doubt, any New Term Loans) made pursuant to the terms hereof, to the extent not funded with the proceeds of long term Indebtedness (excluding, for the avoidance of doubt, proceeds of any revolving credit facility (including the ABL Debt)) (the “</w:t>
      </w:r>
      <w:r>
        <w:rPr>
          <w:rFonts w:ascii="Arial" w:cs="Arial" w:eastAsia="Arial" w:hAnsi="Arial"/>
          <w:sz w:val="18"/>
          <w:szCs w:val="18"/>
          <w:b w:val="1"/>
          <w:bCs w:val="1"/>
          <w:i w:val="1"/>
          <w:iCs w:val="1"/>
          <w:color w:val="auto"/>
        </w:rPr>
        <w:t>Prepayment-Based Incremental Facility</w:t>
      </w:r>
      <w:r>
        <w:rPr>
          <w:rFonts w:ascii="Arial" w:cs="Arial" w:eastAsia="Arial" w:hAnsi="Arial"/>
          <w:sz w:val="18"/>
          <w:szCs w:val="18"/>
          <w:color w:val="auto"/>
        </w:rPr>
        <w:t>”) (such sum, at any such time, the “</w:t>
      </w:r>
      <w:r>
        <w:rPr>
          <w:rFonts w:ascii="Arial" w:cs="Arial" w:eastAsia="Arial" w:hAnsi="Arial"/>
          <w:sz w:val="18"/>
          <w:szCs w:val="18"/>
          <w:b w:val="1"/>
          <w:bCs w:val="1"/>
          <w:i w:val="1"/>
          <w:iCs w:val="1"/>
          <w:color w:val="auto"/>
        </w:rPr>
        <w:t>Incremental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request for an increase shall be in a minimum amount of the lesser of (x) $5,000,000, and (y) the entire amount of any increase that may be requested under this Section 2.16;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purposes of any New Loan Commitments established pursuant to this Section 2.16 and Incremental Equivalent Debt incurred pursuant to Section 2.17:</w:t>
      </w:r>
    </w:p>
    <w:p>
      <w:pPr>
        <w:spacing w:after="0" w:line="168" w:lineRule="exact"/>
        <w:rPr>
          <w:sz w:val="20"/>
          <w:szCs w:val="20"/>
          <w:color w:val="auto"/>
        </w:rPr>
      </w:pPr>
    </w:p>
    <w:p>
      <w:pPr>
        <w:jc w:val="both"/>
        <w:ind w:left="760" w:firstLine="1494"/>
        <w:spacing w:after="0" w:line="246" w:lineRule="auto"/>
        <w:tabs>
          <w:tab w:leader="none" w:pos="276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At the Borrower’s option, the Borrower shall be deemed to have used amounts under the Ratio-Based Incremental Facility (to the extent compliant therewith), prior to utilization of the Prepayment-Based Incremental Facility and the Cash-Capped Incremental Facility, and the Borrower shall be deemed to have used the Prepayment-Based Incremental Facility prior to utilization of the Cash-Capped Incremental Facility,</w:t>
      </w:r>
    </w:p>
    <w:p>
      <w:pPr>
        <w:spacing w:after="0" w:line="191" w:lineRule="exact"/>
        <w:rPr>
          <w:rFonts w:ascii="Arial" w:cs="Arial" w:eastAsia="Arial" w:hAnsi="Arial"/>
          <w:sz w:val="20"/>
          <w:szCs w:val="20"/>
          <w:color w:val="auto"/>
        </w:rPr>
      </w:pPr>
    </w:p>
    <w:p>
      <w:pPr>
        <w:jc w:val="both"/>
        <w:ind w:left="760" w:firstLine="1494"/>
        <w:spacing w:after="0" w:line="272" w:lineRule="auto"/>
        <w:tabs>
          <w:tab w:leader="none" w:pos="278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New Loan Commitments pursuant to this Section 2.16 and Incremental Equivalent Debt pursuant to Section 2.17 may be incurred under the Ratio-Based Incremental Facility (to the extent compliant therewith), the Cash-Capped Incremental Facility and the Prepayment-Based Incremental Facility, and proceeds from any such incurrence may be utilized in a single transaction or series of related transactions by, at Borrower’s option, first calculating the incurrence under the Ratio-Based Incremental Facility (without inclusion of any amounts substantially concurrently utilized pursuant to the Cash-Capped Incremental Facility, the Prepayment-Based Incremental Facility or any amounts substantially concurrently incurred under Section 7.03 (other than any Ratio Debt incurred pursuant to Section 7.03 (including, without limitation, pursuant to clause (b)(15) thereof))) and then calculating the incurrence under the Prepayment-Based Incremental Facility (without inclusion of any amounts utilized pursuant to the Cash-Capped Incremental Facility) and then calculating the incurrence under the Cash-Capped Incremental Facility,</w:t>
      </w:r>
    </w:p>
    <w:p>
      <w:pPr>
        <w:spacing w:after="0" w:line="170" w:lineRule="exact"/>
        <w:rPr>
          <w:rFonts w:ascii="Arial" w:cs="Arial" w:eastAsia="Arial" w:hAnsi="Arial"/>
          <w:sz w:val="18"/>
          <w:szCs w:val="18"/>
          <w:color w:val="auto"/>
        </w:rPr>
      </w:pPr>
    </w:p>
    <w:p>
      <w:pPr>
        <w:jc w:val="both"/>
        <w:ind w:left="760" w:firstLine="1494"/>
        <w:spacing w:after="0" w:line="276" w:lineRule="auto"/>
        <w:tabs>
          <w:tab w:leader="none" w:pos="26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Borrower may, in its sole discretion, divide and redesignate all or any portion of Indebtedness originally designated as incurred under the Cash-Capped Incremental Facility or the Prepayment-Based Incremental Facility as having been incurred under the Ratio-Based Incremental Facility so long as, at the time of such redesignation, the Borrower would be permitted to incur the aggregate principal amount of Indebtedness being so redesignated under the Ratio-Based Incremental Facility (which, for the avoidance of doubt, shall have the effect of increasing the Cash-Capped Incremental Facility and/or the Prepayment-Based Incremental Facility, as applicable, by the amount of such redesignated Indebtedness), and</w:t>
      </w:r>
    </w:p>
    <w:p>
      <w:pPr>
        <w:spacing w:after="0" w:line="164" w:lineRule="exact"/>
        <w:rPr>
          <w:rFonts w:ascii="Arial" w:cs="Arial" w:eastAsia="Arial" w:hAnsi="Arial"/>
          <w:sz w:val="18"/>
          <w:szCs w:val="18"/>
          <w:color w:val="auto"/>
        </w:rPr>
      </w:pPr>
    </w:p>
    <w:p>
      <w:pPr>
        <w:jc w:val="both"/>
        <w:ind w:left="760" w:firstLine="1494"/>
        <w:spacing w:after="0" w:line="243" w:lineRule="auto"/>
        <w:tabs>
          <w:tab w:leader="none" w:pos="263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solely for the purpose of calculating the Consolidated First Lien Net Leverage Ratio, the Consolidated Senior Secured Net Leverage Ratio or the Consolidated Total Net Leverage Ratio to determine the availability under the Ratio-Based Incremental Facility at the time of incurrence, any cash proceeds incurred pursuant to this Section 2.16 and/or Incremental Equivalent Debt being incurred on such test date in calculating such Consolidated First Lien Net Leverage Ratio, Consolidated Senior Secured Net Leverage Ratio or Consolidated Total Net Leverage Ratio shall be excluded for purposes of calculating cash or Cash Equivalents.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Borrower may designate any Incremental Arranger of any New Loan Commitments with such titles under the New Loan Commitments as the Borrower may deem appropriate.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1" w:name="page152"/>
    <w:bookmarkEnd w:id="151"/>
    <w:p>
      <w:pPr>
        <w:jc w:val="both"/>
        <w:ind w:firstLine="1505"/>
        <w:spacing w:after="0" w:line="242" w:lineRule="auto"/>
        <w:tabs>
          <w:tab w:leader="none" w:pos="1995"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For the avoidance of doubt, the Borrower will not be obligated to approach any Lender to participate in any New Loan Commitments. Any Lender approached to participate in any New Loan Commitments may elect or decline, in its sole discretion, to participate in such increase or new facility. The Borrower may also invite additional Eligible Assignees reasonably satisfactory to the Incremental Arranger to become Lenders pursuant to a joinder agreement to this Agreement. Neither the Administrative Agent nor the Collateral Agent (in their respective capacities as such) shall be required to execute, accept or acknowledge any joinder agreement pursuant to this Section 2.16 and such execution shall not be required for any such joinder agreement to be effective;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New Loan Commitments, the Borrower must provide to the Administrative Agent the documentation providing for such New Loan Commitments.</w:t>
      </w:r>
    </w:p>
    <w:p>
      <w:pPr>
        <w:spacing w:after="0" w:line="196" w:lineRule="exact"/>
        <w:rPr>
          <w:rFonts w:ascii="Arial" w:cs="Arial" w:eastAsia="Arial" w:hAnsi="Arial"/>
          <w:sz w:val="20"/>
          <w:szCs w:val="20"/>
          <w:color w:val="auto"/>
        </w:rPr>
      </w:pPr>
    </w:p>
    <w:p>
      <w:pPr>
        <w:jc w:val="both"/>
        <w:ind w:firstLine="1505"/>
        <w:spacing w:after="0" w:line="269" w:lineRule="auto"/>
        <w:tabs>
          <w:tab w:leader="none" w:pos="198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(i) a Term Loan Tranche is increased in accordance with this Section 2.16 or (ii) a New Term Facility is added in accordance with this Section 2.16, the Incremental Arranger and the Borrower shall determine the effective date (the “</w:t>
      </w:r>
      <w:r>
        <w:rPr>
          <w:rFonts w:ascii="Arial" w:cs="Arial" w:eastAsia="Arial" w:hAnsi="Arial"/>
          <w:sz w:val="18"/>
          <w:szCs w:val="18"/>
          <w:b w:val="1"/>
          <w:bCs w:val="1"/>
          <w:i w:val="1"/>
          <w:iCs w:val="1"/>
          <w:color w:val="auto"/>
        </w:rPr>
        <w:t>Increase 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and the final allocation of such increase or New Term Facility among the applicable Lenders. The Incremental Arranger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promptly notify the applicable Lenders of the final allocation of such increase or New Term Facility and the Increase Effective Date. In connection with (i) any increase in a Term Loan Tranche or (ii) any addition of a New Term Facility, in each case, pursuant to this Section 2.16, this Agreement and the other Loan Documents may be amended in writing (which may be executed and delivered by the Borrower and the Incremental Arranger (and the Lenders hereby authorize any such Incremental Arranger to execute and deliver any such documentation)) in order to establish the New Term Facility or to effectuate the increases to the Term Loan Tranche and to reflect any technical changes necessary or appropriate to give effect to such increase or new facility in accordance with its terms as set forth herein pursuant to the documentation relating to such New Term Facility. As of the Increase Effective Date, in the case of an increase to an existing Term Loan Tranche, the amortization schedule for the Term Loan Tranche then increased set forth in Section 2.07(a) (or any other applicable amortization schedule for New Term Loans or Specified Refinancing Term Loans) shall be amended in writing (which may be executed and delivered by the Borrower and the Incremental Arranger (and the Lenders hereby authorize any such Incremental Arranger to execute and deliver any such documentation)) to increase the then-remaining unpaid installments of principal by an aggregate amount equal to the additional Loans under such Term Loan Tranche being made on such date, such aggregate amount to be applied to increase such installments ratably in accordance with the amounts in effect immediately prior to the Increase Effective Date.</w:t>
      </w:r>
    </w:p>
    <w:p>
      <w:pPr>
        <w:spacing w:after="0" w:line="176" w:lineRule="exact"/>
        <w:rPr>
          <w:rFonts w:ascii="Arial" w:cs="Arial" w:eastAsia="Arial" w:hAnsi="Arial"/>
          <w:sz w:val="18"/>
          <w:szCs w:val="18"/>
          <w:color w:val="auto"/>
        </w:rPr>
      </w:pPr>
    </w:p>
    <w:p>
      <w:pPr>
        <w:jc w:val="both"/>
        <w:ind w:firstLine="1505"/>
        <w:spacing w:after="0" w:line="269" w:lineRule="auto"/>
        <w:tabs>
          <w:tab w:leader="none" w:pos="198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With respect to any Term Commitment Increase or addition of New Term Facility pursuant to this Section 2.16, (i) no Event of Default would exist after giving effect to such increase (except in connection with any acquisition or similar Investment permitted hereunder, where no Event of Default under Sections 8.01(a), (f) or (g) shall be the standard); (ii) (A) in the case of any increase of a Term Loan Tranche, the final maturity of the Term Loans, New Term Loans, Specified Refinancing Term Loans or Extended Term Loans increased pursuant to this Section shall be no earlier than the Latest Maturity Date for, and such additional Loans shall not have a Weighted Average Life to Maturity shorter than the longest remaining Weighted Average Life to Maturity of, any other outstanding Term Loans, New Term Loans, Specified Refinancing Term Loans or Extended Term Loans,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that Extendable Bridge Loans/Interim Debt and amounts not in excess of the Inside Maturity Basket at the time of Incurrence may have a maturity date earlier than the Latest Maturity Date of all then outstanding Term Loans and, with respect to Extendable Bridge Loans/Interim Debt and amounts not in excess of the Inside Maturity Basket at the time of Incurrence, the Weighted Average Life to Maturity thereof may be shorter than the then longest remaining Weighted Average Life to Maturity of any then outstanding Term Loans, New Term Loans, Specified Refinancing Term Loans or Extended Term Loans, as applicable, and (B) in the case of any New Term Facility, other than in the case of Extendable Bridge Loans/Interim Debt and amounts not in excess of the Inside Maturity Basket at the time of Incurrence, such New Term Facility shall have a final maturity no earlier than the then Latest Maturity Date of any Term Loan Tranche and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2" w:name="page153"/>
    <w:bookmarkEnd w:id="152"/>
    <w:p>
      <w:pPr>
        <w:jc w:val="both"/>
        <w:spacing w:after="0" w:line="269" w:lineRule="auto"/>
        <w:rPr>
          <w:sz w:val="20"/>
          <w:szCs w:val="20"/>
          <w:color w:val="auto"/>
        </w:rPr>
      </w:pPr>
      <w:r>
        <w:rPr>
          <w:rFonts w:ascii="Arial" w:cs="Arial" w:eastAsia="Arial" w:hAnsi="Arial"/>
          <w:sz w:val="18"/>
          <w:szCs w:val="18"/>
          <w:color w:val="auto"/>
        </w:rPr>
        <w:t>Weighted Average Life to Maturity of such New Term Facility shall be no shorter than that of any existing Term Loan Tranche; (iii) except as set forth in clause (f) below and in subclause (B) above with respect to final maturity and Weighted Average Life to Maturity, any such New Term Facility shall have terms reasonably satisfactory to the Incremental Arranger; and (iv) to the extent reasonably requested by the Incremental Arranger and expressly set forth in the documentation relating to such New Term Facility, the Incremental Arranger shall have received legal opinions, resolutions, officers’ certificates, and/or reaffirmation agreements consistent with those delivered on the Closing Date under Section 4.01 or delivered from time to time pursuant to Section 6.12 with respect to Holdings and the Borrower and each material Subsidiary Guarantor (other than changes to such legal opinions resulting from a change in Law, change in fact or change to counsel’s form of opinion). Subject to the foregoing, the conditions precedent to each such increase or New Loan Commitment shall be solely those agreed to by the Lenders providing such increase or New Loan Commitment, as applicable, and the Borrower. Notwithstanding the foregoing, (x) to the extent any terms of any Term Commitment Increase or New Term Facility are more favorable to the existing Lenders than comparable terms existing in the Loan Documents, such terms (if favorable to the existing Lenders) shall be, in consultation with the Administrative Agent, incorporated into this Agreement (or any other applicable Loan Document) for the benefit of all existing Lenders (to the extent applicable to such Lender) without further amendment requirements (including, for the avoidance of doubt, at the option of the Borrower, the Borrower may, but shall not be required to, increase the Applicable Rate or amortization payments relating to any existing Facility to bring such Applicable Rate in line with the relevant Term Commitment Increase or New Term Facility to achieve fungibility with such existing Facility), and (y) the terms of any New Term Facility may be incorporated if otherwise reasonably satisfactory to the Borrower, the Incremental Arranger and the Administrative Agent.</w:t>
      </w:r>
    </w:p>
    <w:p>
      <w:pPr>
        <w:spacing w:after="0" w:line="174" w:lineRule="exact"/>
        <w:rPr>
          <w:sz w:val="20"/>
          <w:szCs w:val="20"/>
          <w:color w:val="auto"/>
        </w:rPr>
      </w:pPr>
    </w:p>
    <w:p>
      <w:pPr>
        <w:jc w:val="both"/>
        <w:ind w:firstLine="1505"/>
        <w:spacing w:after="0" w:line="259" w:lineRule="auto"/>
        <w:tabs>
          <w:tab w:leader="none" w:pos="201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additional Term Loans made under the Term Loan Tranche subject to the increases shall be made by the applicable Lenders participating therein pursuant to the procedures set forth in Sections 2.01 and 2.02 and on the date of the making of such additional Term Loans, and notwithstanding anything to the contrary set forth in Sections 2.01 and 2.02, such additional Term Loans shall be added to (and form part of) each Borrowing of outstanding Term Loans under such Term Loan Tranche on a pro rata basis (based on the relative sizes of the various outstanding Borrowings), so that each Lender under such Term Loan Tranche will participate proportionately in each then outstanding Borrowing of Term Loans under the Term Loan Tranche.</w:t>
      </w:r>
    </w:p>
    <w:p>
      <w:pPr>
        <w:spacing w:after="0" w:line="178" w:lineRule="exact"/>
        <w:rPr>
          <w:rFonts w:ascii="Arial" w:cs="Arial" w:eastAsia="Arial" w:hAnsi="Arial"/>
          <w:sz w:val="19"/>
          <w:szCs w:val="19"/>
          <w:color w:val="auto"/>
        </w:rPr>
      </w:pPr>
    </w:p>
    <w:p>
      <w:pPr>
        <w:jc w:val="both"/>
        <w:ind w:firstLine="1505"/>
        <w:spacing w:after="0" w:line="269" w:lineRule="auto"/>
        <w:tabs>
          <w:tab w:leader="none" w:pos="198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 Any New Term Facility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Term Loan Facility, not be Guaranteed by any Person that is not a Borrower or Guarantor under the Term Loan Facility, be unsecured and, to the extent secured, secured either on a first lien “equal and ratable” basis with the Term Loan Facility or on a “junior” basis with the Term Loan Facility, in each case over the same (or a lesser portion of) Collateral that secures the Term Loan Facility (and in each case, such New Term Facility shall be subject to the Applicable Intercreditor Arrangements), (ii) the New Term Facility shall, for purposes of prepayments, be treated substantially the same as (and in any event no more favorably than) the Term Loan Facility, unless Borrower otherwise elects (but in any event no more favorably than the existing Term Loans), (iii) any New Term Facility that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 Facility shall share ratably (or on a lesser basis) with respect to any mandatory prepayments of the Term Loan Facility (other than mandatory prepayments resulting from a refinancing of any Term Loan Facility, which may be applied exclusively to the Term Loan Facility being refinanced) and (iv) with respect to any New Term Facility denominated in Dollars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Term Loan Facility,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 Facility and that is incurred on or prior to the date that is twenty-four (24) months after the Closing Date, the All-in Yield payable by the Borrower applicable to such New Term Facility shall be determined by the Borrower and the Lenders providing such New Term Facility and shall not be more than 50 basis points higher than the corresponding All-in Yield payable by the Borrower for the Initial Term Loans, unless the All-in Yield with respect to the Initial Term Loans is increased to the amount necessary so that the difference between the All-in Yield with respect to such New Term Facility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3" w:name="page154"/>
    <w:bookmarkEnd w:id="153"/>
    <w:p>
      <w:pPr>
        <w:jc w:val="both"/>
        <w:spacing w:after="0" w:line="250" w:lineRule="auto"/>
        <w:rPr>
          <w:sz w:val="20"/>
          <w:szCs w:val="20"/>
          <w:color w:val="auto"/>
        </w:rPr>
      </w:pPr>
      <w:r>
        <w:rPr>
          <w:rFonts w:ascii="Arial" w:cs="Arial" w:eastAsia="Arial" w:hAnsi="Arial"/>
          <w:sz w:val="20"/>
          <w:szCs w:val="20"/>
          <w:color w:val="auto"/>
        </w:rPr>
        <w:t>and the corresponding All-in Yield on the Initial Term Loans is equal to 50 basis points (this clause (iv), the “</w:t>
      </w:r>
      <w:r>
        <w:rPr>
          <w:rFonts w:ascii="Arial" w:cs="Arial" w:eastAsia="Arial" w:hAnsi="Arial"/>
          <w:sz w:val="20"/>
          <w:szCs w:val="20"/>
          <w:b w:val="1"/>
          <w:bCs w:val="1"/>
          <w:i w:val="1"/>
          <w:iCs w:val="1"/>
          <w:color w:val="auto"/>
        </w:rPr>
        <w:t>MFN Provision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clause (iv) shall not apply to any New Term Facility that is in an aggregate amount for all New Term Facilities and/or Incremental Equivalent Debt of less than the greater of $950,000,000 and 50% of Four Quarter Consolidated EBITDA.</w:t>
      </w:r>
    </w:p>
    <w:p>
      <w:pPr>
        <w:spacing w:after="0" w:line="186" w:lineRule="exact"/>
        <w:rPr>
          <w:sz w:val="20"/>
          <w:szCs w:val="20"/>
          <w:color w:val="auto"/>
        </w:rPr>
      </w:pPr>
    </w:p>
    <w:p>
      <w:pPr>
        <w:jc w:val="both"/>
        <w:ind w:firstLine="1505"/>
        <w:spacing w:after="0" w:line="282" w:lineRule="auto"/>
        <w:tabs>
          <w:tab w:leader="none" w:pos="19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Section 2.16 (including amendments to this Agreement and the other Loan Documents), any comments to such documentation reasonably requested by the Administrative Agent shall be reflected therein.</w:t>
      </w:r>
    </w:p>
    <w:p>
      <w:pPr>
        <w:spacing w:after="0" w:line="161" w:lineRule="exact"/>
        <w:rPr>
          <w:rFonts w:ascii="Arial" w:cs="Arial" w:eastAsia="Arial" w:hAnsi="Arial"/>
          <w:sz w:val="18"/>
          <w:szCs w:val="18"/>
          <w:color w:val="auto"/>
        </w:rPr>
      </w:pPr>
    </w:p>
    <w:p>
      <w:pPr>
        <w:jc w:val="both"/>
        <w:ind w:firstLine="1505"/>
        <w:spacing w:after="0" w:line="269" w:lineRule="auto"/>
        <w:tabs>
          <w:tab w:leader="none" w:pos="198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To the extent any New Term Facility shall be denominated in a currency other than Dollars, this Agreement and the other Loan Documents shall be amended to the extent necessary or appropriate to provide for the administrative and operational provisions applicable to such currency, in each case as are reasonably satisfactory to the Administrative Agent.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2.17  Incremental Equivalent Debt.</w:t>
      </w:r>
    </w:p>
    <w:p>
      <w:pPr>
        <w:spacing w:after="0" w:line="216" w:lineRule="exact"/>
        <w:rPr>
          <w:sz w:val="20"/>
          <w:szCs w:val="20"/>
          <w:color w:val="auto"/>
        </w:rPr>
      </w:pPr>
    </w:p>
    <w:p>
      <w:pPr>
        <w:jc w:val="both"/>
        <w:ind w:firstLine="1505"/>
        <w:spacing w:after="0" w:line="268" w:lineRule="auto"/>
        <w:tabs>
          <w:tab w:leader="none" w:pos="199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 or any Guarantor may from time to time after the Closing Date issue one or more series of senior secured, senior unsecured, senior subordinated, subordinated notes, loans or Extendable Bridge Loans/Interim Debt (which notes, loans and/or Extendable Bridge Loans/Interim Debt, if secured, are secured on a first lien “equal and ratable” basis with the Liens securing the Obligations or secured on a “junior” basis with the Liens securing the Obligations, in each case over the same (or a lesser portion of) Collateral that secures the Term Loan Facility) and guaranteed only by Loan Parties or entities who become Loan Parties (such notes, loans and/or Extendable Bridge Loans/Interim Debt, collectively, “</w:t>
      </w:r>
      <w:r>
        <w:rPr>
          <w:rFonts w:ascii="Arial" w:cs="Arial" w:eastAsia="Arial" w:hAnsi="Arial"/>
          <w:sz w:val="18"/>
          <w:szCs w:val="18"/>
          <w:b w:val="1"/>
          <w:bCs w:val="1"/>
          <w:i w:val="1"/>
          <w:iCs w:val="1"/>
          <w:color w:val="auto"/>
        </w:rPr>
        <w:t>Incremental Equivalent Debt</w:t>
      </w:r>
      <w:r>
        <w:rPr>
          <w:rFonts w:ascii="Arial" w:cs="Arial" w:eastAsia="Arial" w:hAnsi="Arial"/>
          <w:sz w:val="18"/>
          <w:szCs w:val="18"/>
          <w:color w:val="auto"/>
        </w:rPr>
        <w:t xml:space="preserve">”) in an amount not to exceed the Incremental Amount (at the time of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would exist after giving Pro Forma Effect to any such request (except in connection with any acquisition or similar Investment permitted hereunder, where no Event of Default under Sections 8.01(a), (f) or (g) shall be the standard), and (ii) any such incurrence of Incremental Equivalent Debt shall be in a minimum amount of the lesser of (x) $5,000,000 and (y) the entire amount that may be requested under this Section 2.17;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New Loan Commitments established pursuant to Section 2.16 and Incremental Equivalent Debt issued pursuant to this Section 2.17, (A) at Borrower’s option, will count, first, to reduce the amount available under the Ratio-Based Incremental Facilities (to the extent compliant therewith), second, to reduce the amount available under the Prepayment-Based Incremental Facilities and, third, to reduce the maximum amount under the Cash-Capped Incremental Facilities, (B) Incremental Equivalent Debt Incurred pursuant to this Section 2.17 may be incurred under the Ratio-Based Incremental Facilities, the Cash-Capped Incremental Facilities and the Prepayment-Based Incremental Facilities, and proceeds from any such incurrence may be utilized in a single transaction or series of related transactions, at Borrower’s option, by first calculating the incurrence under the Ratio-Based Incremental Facilities (without inclusion of any amounts substantially concurrently utilized pursuant to the Cash-Capped Incremental Facility or the Prepayment-Based Incremental Facility or any amounts substantially concurrently incurred under Section 7.03 (other than any Ratio Debt incurred pursuant to Section 7.03) (including, without limitation, pursuant to clause (b)(15) thereof)) and then calculating the incurrence under the Prepayment-Based Incremental Facility (without inclusion of any amounts utilized pursuant to the Cash-Capped Incremental Facility) and then calculating the incurrence under the Cash-Capped Incremental Facility and (C) the Borrower, in its sole discretion, may redesignate all or any portion of Incremental Equivalent Debt originally designated as incurred under the Cash-Capped Incremental Facility or the Prepayment-Based Incremental Facility as having been incurred under the Ratio-Based Incremental Facility so long as, at the time of such redesignation, the Borrower would be permitted to incur the aggregate principal amount of Incremental Equivalent Debt being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4" w:name="page155"/>
    <w:bookmarkEnd w:id="154"/>
    <w:p>
      <w:pPr>
        <w:jc w:val="both"/>
        <w:spacing w:after="0" w:line="263" w:lineRule="auto"/>
        <w:rPr>
          <w:sz w:val="20"/>
          <w:szCs w:val="20"/>
          <w:color w:val="auto"/>
        </w:rPr>
      </w:pPr>
      <w:r>
        <w:rPr>
          <w:rFonts w:ascii="Arial" w:cs="Arial" w:eastAsia="Arial" w:hAnsi="Arial"/>
          <w:sz w:val="19"/>
          <w:szCs w:val="19"/>
          <w:color w:val="auto"/>
        </w:rPr>
        <w:t>so redesignated under the Ratio-Based Incremental Facility (which, for the avoidance of doubt, shall have the effect of increasing the Cash-Capped Incremental Facility or the Prepayment-Based Incremental Facility, as applicable, by the amount of such redesignated Incremental Equivalent Debt). The Borrower may appoint any Person as arranger of such Incremental Equivalent Debt (such Person (who may be the Administrative Agent, if it so agrees), the “</w:t>
      </w:r>
      <w:r>
        <w:rPr>
          <w:rFonts w:ascii="Arial" w:cs="Arial" w:eastAsia="Arial" w:hAnsi="Arial"/>
          <w:sz w:val="19"/>
          <w:szCs w:val="19"/>
          <w:b w:val="1"/>
          <w:bCs w:val="1"/>
          <w:i w:val="1"/>
          <w:iCs w:val="1"/>
          <w:color w:val="auto"/>
        </w:rPr>
        <w:t>Incremental Equivalent Debt Arranger</w:t>
      </w:r>
      <w:r>
        <w:rPr>
          <w:rFonts w:ascii="Arial" w:cs="Arial" w:eastAsia="Arial" w:hAnsi="Arial"/>
          <w:sz w:val="19"/>
          <w:szCs w:val="19"/>
          <w:color w:val="auto"/>
        </w:rPr>
        <w:t>”).</w:t>
      </w:r>
    </w:p>
    <w:p>
      <w:pPr>
        <w:spacing w:after="0" w:line="176" w:lineRule="exact"/>
        <w:rPr>
          <w:sz w:val="20"/>
          <w:szCs w:val="20"/>
          <w:color w:val="auto"/>
        </w:rPr>
      </w:pPr>
    </w:p>
    <w:p>
      <w:pPr>
        <w:jc w:val="both"/>
        <w:ind w:firstLine="1505"/>
        <w:spacing w:after="0" w:line="268" w:lineRule="auto"/>
        <w:tabs>
          <w:tab w:leader="none" w:pos="197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As a condition precedent to the incurrence of any Incremental Equivalent Debt pursuant to this Section 2.17, (i) such Incremental Equivalent Debt shall not be Guaranteed by any Person that is not a Loan Party or that does not become a Loan Party and, to the extent secured, such Incremental Equivalent Debt shall be secured either on a first lien “equal and ratable” basis with the Term Loan Facility or on a “junior” basis with the Term Loan Facility, in each case over the same (or less) Collateral that secures the Term Loan Facility, (ii) to the extent secured, such Incremental Equivalent Debt shall be subject to Applicable Intercreditor Arrangements, (iii) such Incremental Equivalent Debt shall have a final maturity no earlier than the then Latest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that Extendable Bridge Loans/Interim Debt, customary escrow arrangements and Incremental Equivalent Debt in an amount not in excess of the Inside Maturity Basket may have a maturity date earlier than the Latest Maturity Date, (iv) the Weighted Average Life to Maturity of such Incremental Equivalent Debt shall not</w:t>
      </w:r>
    </w:p>
    <w:p>
      <w:pPr>
        <w:spacing w:after="0" w:line="2" w:lineRule="exact"/>
        <w:rPr>
          <w:rFonts w:ascii="Arial" w:cs="Arial" w:eastAsia="Arial" w:hAnsi="Arial"/>
          <w:sz w:val="18"/>
          <w:szCs w:val="18"/>
          <w:color w:val="auto"/>
        </w:rPr>
      </w:pPr>
    </w:p>
    <w:p>
      <w:pPr>
        <w:jc w:val="both"/>
        <w:ind w:firstLine="8"/>
        <w:spacing w:after="0" w:line="267" w:lineRule="auto"/>
        <w:tabs>
          <w:tab w:leader="none" w:pos="33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be shorter than that of any then-existing Term Loan Tranche, or (B) to the extent unsecured, be subject to any amortization prior to the final maturity thereof, or be subject to any mandatory redemption or prepayment provisions or rights (except (x) customary assets sale, event of loss or similar event or change of control provisions and customary acceleration rights after an event of default, (y) special mandatory redemptions in connection with customary escrow arrangements or (z) so-called “AHYDO”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Extendable Bridge Loans/Interim Debt and Incremental Equivalent Debt in an amount not in excess of the Inside Maturity Basket at the time of Incurrence, the Weighted Average Life to Maturity thereof may be shorter than the then longest remaining Weighted Average Life to Maturity of any then outstanding Term Loans, (v) such Incremental Equivalent Debt (other than any Extendable Bridge Loans/Interim Debt) shall not be subject to any mandatory redemption or prepayment provisions or rights (except to the extent any such mandatory redemption or prepayment is required to be applied pro rata (or greater than pro rata) to the Term Loans and other Incremental Equivalent Debt that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(vi) with respect to any Incremental Equivalent Debt consisting of term loans that are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the Term Loan Facility, secured on a</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basis with the Term Loan Facility,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Dollars, and incurred on or prior to the date that is twenty-four (24) months after the Closing Date, the MFN Provision shall be applicable thereto as though such loans were a New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(vi) shall not apply to any Incremental Equivalent Debt that is in an aggregate amount for all New Term Facilities and/or Incremental Equivalent Debt of less than the greater of $950,000,000 and 50% of Four Quarter Consolidated EBITDA) and (vii) the covenants, events of default, guarantees, collateral and other terms of such Incremental Equivalent Debt are customary for similar debt securities or loans in light of then-prevailing market conditions at the time of incurrence (as determined by the Borrower in good faith) (it being understood that (A) no Incremental Equivalent Debt in the form of term loans or notes shall include any financial maintenance covenants, but that customary cross-acceleration provisions may be included and (B) any negative covenants with respect to indebtedness, investments, liens or restricted payments shall be incurrence-based;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negative covenants applicable to Extendable Bridge Loans/Interim Debt may be maintenance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Borrower’s option, delivery of a certificate of a Responsible Officer of the Borrower to the Incremental Equivalent Debt Arranger in good faith at least three Business Days (or such shorter period as may be agreed by the Incremental Equivalent Debt Arranger) prior to the incurrence of such Incremental Equivalent Debt, together with a reasonably detailed description of the material terms and conditions of such Incremental Equivalent Debt or drafts of the documentation relating thereto, stating that the Borrower has determined in good faith that such terms and conditions satisfy the requirement set forth in this clause (b), shall be conclusive evidence that such terms and conditions satisfy such requirement unless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5" w:name="page156"/>
    <w:bookmarkEnd w:id="155"/>
    <w:p>
      <w:pPr>
        <w:jc w:val="both"/>
        <w:spacing w:after="0" w:line="255" w:lineRule="auto"/>
        <w:rPr>
          <w:sz w:val="20"/>
          <w:szCs w:val="20"/>
          <w:color w:val="auto"/>
        </w:rPr>
      </w:pPr>
      <w:r>
        <w:rPr>
          <w:rFonts w:ascii="Arial" w:cs="Arial" w:eastAsia="Arial" w:hAnsi="Arial"/>
          <w:sz w:val="19"/>
          <w:szCs w:val="19"/>
          <w:color w:val="auto"/>
        </w:rPr>
        <w:t>Incremental Equivalent Debt Arranger provides notice to the Borrower of its objection during such three Business Day period (including a reasonable description of the basis upon which it objects)). Notwithstanding the foregoing, (x) to the extent any terms of any Incremental Equivalent Debt are more favorable to the existing Lenders than comparable terms existing in the Loan Documents, such terms (if favorable to the existing Lenders) shall either (i) be applicable only during periods after the then Latest Maturity Date of any other outstanding Term Loans, New Term Loans, Specified Refinancing Term Loans or Extended Term Loans, as applicable or (ii) in consultation with the Administrative Agent, be incorporated into this Agreement (or any other applicable Loan Document) for the benefit of all existing Lenders (to the extent applicable to such Lender) without further amendment requirements and (y) the terms of any Incremental Equivalent Debt may be incorporated if otherwise reasonably satisfactory to the Borrower, the Incremental Equivalent Debt Arranger and the Administrative Agent. Subject to the foregoing, the conditions precedent to each such incurrence shall be agreed to by the creditors providing such Incremental Equivalent Debt and the Borrower.</w:t>
      </w:r>
    </w:p>
    <w:p>
      <w:pPr>
        <w:spacing w:after="0" w:line="190" w:lineRule="exact"/>
        <w:rPr>
          <w:sz w:val="20"/>
          <w:szCs w:val="20"/>
          <w:color w:val="auto"/>
        </w:rPr>
      </w:pPr>
    </w:p>
    <w:p>
      <w:pPr>
        <w:jc w:val="both"/>
        <w:ind w:firstLine="1505"/>
        <w:spacing w:after="0" w:line="256" w:lineRule="auto"/>
        <w:tabs>
          <w:tab w:leader="none" w:pos="201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Lenders hereby authorize the Incremental Equivalent Debt Arranger (and the Lenders hereby authorize the Incremental Equivalent Debt Arranger to execute and deliver such amendments) to enter into amendments to this Agreement and the other Loan Documents with the Borrower as may be necessary in order to secure any Incremental Equivalent Debt with the Collateral and/or to make such technical amendments as may be necessary or appropriate in the reasonable opinion of the Incremental Equivalent Debt Arranger and the Borrower in connection with the incurrence of such Incremental Equivalent Debt, in each case on terms consistent with this Section 2.17. If the Incremental Equivalent Debt Arranger is not the Administrative Agent, the actions authorized to be taken by the Incremental Equivalent Debt Arranger herein shall be done in consultation with the Administrative Agent and, with respect to applicable documentation (including amendments to this Agreement and the other Loan Documents), any comments to such documentation reasonably requested by the Administrative Agent shall be reflected therein.</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2.18  Defaulting Lenders.</w:t>
      </w:r>
    </w:p>
    <w:p>
      <w:pPr>
        <w:spacing w:after="0" w:line="216" w:lineRule="exact"/>
        <w:rPr>
          <w:sz w:val="20"/>
          <w:szCs w:val="20"/>
          <w:color w:val="auto"/>
        </w:rPr>
      </w:pPr>
    </w:p>
    <w:p>
      <w:pPr>
        <w:ind w:firstLine="1505"/>
        <w:spacing w:after="0" w:line="287" w:lineRule="auto"/>
        <w:tabs>
          <w:tab w:leader="none" w:pos="198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if any Lender becomes a Defaulting Lender, then, until such time as that Lender is no longer a Defaulting Lender, to the extent permitted by applicable Law:</w:t>
      </w:r>
    </w:p>
    <w:p>
      <w:pPr>
        <w:spacing w:after="0" w:line="152" w:lineRule="exact"/>
        <w:rPr>
          <w:rFonts w:ascii="Arial" w:cs="Arial" w:eastAsia="Arial" w:hAnsi="Arial"/>
          <w:sz w:val="19"/>
          <w:szCs w:val="19"/>
          <w:color w:val="auto"/>
        </w:rPr>
      </w:pPr>
    </w:p>
    <w:p>
      <w:pPr>
        <w:ind w:left="760" w:firstLine="1494"/>
        <w:spacing w:after="0" w:line="260" w:lineRule="auto"/>
        <w:tabs>
          <w:tab w:leader="none" w:pos="274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That Defaulting Lender’s right to approve or disapprove any amendment, waiver or consent with respect to this Agreement shall be restricted as set forth in Section 10.01.</w:t>
      </w:r>
    </w:p>
    <w:p>
      <w:pPr>
        <w:spacing w:after="0" w:line="176" w:lineRule="exact"/>
        <w:rPr>
          <w:rFonts w:ascii="Arial" w:cs="Arial" w:eastAsia="Arial" w:hAnsi="Arial"/>
          <w:sz w:val="20"/>
          <w:szCs w:val="20"/>
          <w:color w:val="auto"/>
        </w:rPr>
      </w:pPr>
    </w:p>
    <w:p>
      <w:pPr>
        <w:jc w:val="both"/>
        <w:ind w:left="760" w:firstLine="1494"/>
        <w:spacing w:after="0" w:line="232" w:lineRule="exact"/>
        <w:tabs>
          <w:tab w:leader="none" w:pos="2764"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that Defaulting Lender (whether voluntary or mandatory, at maturity, pursuant to Article VIII or otherwise, and including any amounts made available to the Administrative Agent by that Defaulting Lender pursuant to Section 10.09),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as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9"/>
          <w:szCs w:val="19"/>
          <w:u w:val="single" w:color="auto"/>
          <w:color w:val="auto"/>
        </w:rPr>
        <w:t>third</w:t>
      </w:r>
      <w:r>
        <w:rPr>
          <w:rFonts w:ascii="Arial" w:cs="Arial" w:eastAsia="Arial" w:hAnsi="Arial"/>
          <w:sz w:val="19"/>
          <w:szCs w:val="19"/>
          <w:color w:val="auto"/>
        </w:rPr>
        <w:t>, if so determined by the Administrative Agent and the Borrower, to be held in a non</w:t>
      </w:r>
      <w:r>
        <w:rPr>
          <w:rFonts w:ascii="MS PGothic" w:cs="MS PGothic" w:eastAsia="MS PGothic" w:hAnsi="MS PGothic"/>
          <w:sz w:val="19"/>
          <w:szCs w:val="19"/>
          <w:color w:val="auto"/>
        </w:rPr>
        <w:t>‑</w:t>
      </w:r>
      <w:r>
        <w:rPr>
          <w:rFonts w:ascii="Arial" w:cs="Arial" w:eastAsia="Arial" w:hAnsi="Arial"/>
          <w:sz w:val="19"/>
          <w:szCs w:val="19"/>
          <w:color w:val="auto"/>
        </w:rPr>
        <w:t xml:space="preserve">interest bearing deposit account and released in order to satisfy obligations of that Defaulting Lender to fund Loans under this Agreement; </w:t>
      </w:r>
      <w:r>
        <w:rPr>
          <w:rFonts w:ascii="Arial" w:cs="Arial" w:eastAsia="Arial" w:hAnsi="Arial"/>
          <w:sz w:val="19"/>
          <w:szCs w:val="19"/>
          <w:u w:val="single" w:color="auto"/>
          <w:color w:val="auto"/>
        </w:rPr>
        <w:t>fourth</w:t>
      </w:r>
      <w:r>
        <w:rPr>
          <w:rFonts w:ascii="Arial" w:cs="Arial" w:eastAsia="Arial" w:hAnsi="Arial"/>
          <w:sz w:val="19"/>
          <w:szCs w:val="19"/>
          <w:color w:val="auto"/>
        </w:rPr>
        <w:t>, to the payment of any amounts owing to the Lenders as a result of any non</w:t>
      </w:r>
      <w:r>
        <w:rPr>
          <w:rFonts w:ascii="MS PGothic" w:cs="MS PGothic" w:eastAsia="MS PGothic" w:hAnsi="MS PGothic"/>
          <w:sz w:val="19"/>
          <w:szCs w:val="19"/>
          <w:color w:val="auto"/>
        </w:rPr>
        <w:t>‑</w:t>
      </w:r>
      <w:r>
        <w:rPr>
          <w:rFonts w:ascii="Arial" w:cs="Arial" w:eastAsia="Arial" w:hAnsi="Arial"/>
          <w:sz w:val="19"/>
          <w:szCs w:val="19"/>
          <w:color w:val="auto"/>
        </w:rPr>
        <w:t xml:space="preserve">appealable judgment of a court of competent jurisdiction obtained by any Lender against that Defaulting Lender as a result of that Defaulting Lender’s breach of its obligations under this Agreement; </w:t>
      </w:r>
      <w:r>
        <w:rPr>
          <w:rFonts w:ascii="Arial" w:cs="Arial" w:eastAsia="Arial" w:hAnsi="Arial"/>
          <w:sz w:val="19"/>
          <w:szCs w:val="19"/>
          <w:u w:val="single" w:color="auto"/>
          <w:color w:val="auto"/>
        </w:rPr>
        <w:t>fifth</w:t>
      </w:r>
      <w:r>
        <w:rPr>
          <w:rFonts w:ascii="Arial" w:cs="Arial" w:eastAsia="Arial" w:hAnsi="Arial"/>
          <w:sz w:val="19"/>
          <w:szCs w:val="19"/>
          <w:color w:val="auto"/>
        </w:rPr>
        <w:t>, so long as no Default or Event of Default pursuant to Sections 8.01(a), (f) or (g)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6" w:name="page157"/>
    <w:bookmarkEnd w:id="156"/>
    <w:p>
      <w:pPr>
        <w:jc w:val="both"/>
        <w:ind w:left="760"/>
        <w:spacing w:after="0" w:line="232" w:lineRule="exact"/>
        <w:rPr>
          <w:sz w:val="20"/>
          <w:szCs w:val="20"/>
          <w:color w:val="auto"/>
        </w:rPr>
      </w:pPr>
      <w:r>
        <w:rPr>
          <w:rFonts w:ascii="Arial" w:cs="Arial" w:eastAsia="Arial" w:hAnsi="Arial"/>
          <w:sz w:val="18"/>
          <w:szCs w:val="18"/>
          <w:color w:val="auto"/>
        </w:rPr>
        <w:t>exists, to the payment of any amounts owing to the Borrower as a result of any non</w:t>
      </w:r>
      <w:r>
        <w:rPr>
          <w:rFonts w:ascii="MS PGothic" w:cs="MS PGothic" w:eastAsia="MS PGothic" w:hAnsi="MS PGothic"/>
          <w:sz w:val="18"/>
          <w:szCs w:val="18"/>
          <w:color w:val="auto"/>
        </w:rPr>
        <w:t>‑</w:t>
      </w:r>
      <w:r>
        <w:rPr>
          <w:rFonts w:ascii="Arial" w:cs="Arial" w:eastAsia="Arial" w:hAnsi="Arial"/>
          <w:sz w:val="18"/>
          <w:szCs w:val="18"/>
          <w:color w:val="auto"/>
        </w:rPr>
        <w:t xml:space="preserve">appealable judgment of a court of competent jurisdiction obtained by the Borrower against that Defaulting Lender as a result of that Defaulting Lender’s breach of its obligations under this Agreement; and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in respect of which that Defaulting Lender has not fully funded its appropriate share and (y) such Loans were made at a time when the conditions set forth in Section 4.02 were satisfied or waived, such payment shall be applied solely to pay the Loans of all non</w:t>
      </w:r>
      <w:r>
        <w:rPr>
          <w:rFonts w:ascii="MS PGothic" w:cs="MS PGothic" w:eastAsia="MS PGothic" w:hAnsi="MS PGothic"/>
          <w:sz w:val="18"/>
          <w:szCs w:val="18"/>
          <w:color w:val="auto"/>
        </w:rPr>
        <w:t>‑</w:t>
      </w:r>
      <w:r>
        <w:rPr>
          <w:rFonts w:ascii="Arial" w:cs="Arial" w:eastAsia="Arial" w:hAnsi="Arial"/>
          <w:sz w:val="18"/>
          <w:szCs w:val="18"/>
          <w:color w:val="auto"/>
        </w:rPr>
        <w:t>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Section 2.18(a)(ii) shall be deemed paid to and redirected by that Defaulting Lender, and each Lender irrevocably consents hereto.</w:t>
      </w:r>
    </w:p>
    <w:p>
      <w:pPr>
        <w:spacing w:after="0" w:line="201" w:lineRule="exact"/>
        <w:rPr>
          <w:sz w:val="20"/>
          <w:szCs w:val="20"/>
          <w:color w:val="auto"/>
        </w:rPr>
      </w:pPr>
    </w:p>
    <w:p>
      <w:pPr>
        <w:jc w:val="both"/>
        <w:ind w:firstLine="1505"/>
        <w:spacing w:after="0" w:line="272" w:lineRule="auto"/>
        <w:tabs>
          <w:tab w:leader="none" w:pos="197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If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Loans of the other Lenders or take such other actions as the Administrative Agent may reasonably determine to be necessary to cause the Loans to be held on a pro rata basis by the Lenders in accordance with their ratable shares in respect of that Lender,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2.19  Specified Refinancing Debt.</w:t>
      </w:r>
    </w:p>
    <w:p>
      <w:pPr>
        <w:spacing w:after="0" w:line="216" w:lineRule="exact"/>
        <w:rPr>
          <w:sz w:val="20"/>
          <w:szCs w:val="20"/>
          <w:color w:val="auto"/>
        </w:rPr>
      </w:pPr>
    </w:p>
    <w:p>
      <w:pPr>
        <w:jc w:val="both"/>
        <w:ind w:firstLine="1505"/>
        <w:spacing w:after="0" w:line="269" w:lineRule="auto"/>
        <w:tabs>
          <w:tab w:leader="none" w:pos="20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may, from time to time after the Closing Date, add one or more new term loan facilities to the Facilities (“</w:t>
      </w:r>
      <w:r>
        <w:rPr>
          <w:rFonts w:ascii="Arial" w:cs="Arial" w:eastAsia="Arial" w:hAnsi="Arial"/>
          <w:sz w:val="18"/>
          <w:szCs w:val="18"/>
          <w:b w:val="1"/>
          <w:bCs w:val="1"/>
          <w:i w:val="1"/>
          <w:iCs w:val="1"/>
          <w:color w:val="auto"/>
        </w:rPr>
        <w:t>Specified Refinancing Debt</w:t>
      </w:r>
      <w:r>
        <w:rPr>
          <w:rFonts w:ascii="Arial" w:cs="Arial" w:eastAsia="Arial" w:hAnsi="Arial"/>
          <w:sz w:val="18"/>
          <w:szCs w:val="18"/>
          <w:color w:val="auto"/>
        </w:rPr>
        <w:t>”; and the commitments in respect of such new term loan facilities, the “</w:t>
      </w:r>
      <w:r>
        <w:rPr>
          <w:rFonts w:ascii="Arial" w:cs="Arial" w:eastAsia="Arial" w:hAnsi="Arial"/>
          <w:sz w:val="18"/>
          <w:szCs w:val="18"/>
          <w:b w:val="1"/>
          <w:bCs w:val="1"/>
          <w:i w:val="1"/>
          <w:iCs w:val="1"/>
          <w:color w:val="auto"/>
        </w:rPr>
        <w:t>Specified Refinancing Term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Commitment</w:t>
      </w:r>
      <w:r>
        <w:rPr>
          <w:rFonts w:ascii="Arial" w:cs="Arial" w:eastAsia="Arial" w:hAnsi="Arial"/>
          <w:sz w:val="18"/>
          <w:szCs w:val="18"/>
          <w:color w:val="auto"/>
        </w:rPr>
        <w:t>”) pursuant to procedures reasonably specified by any Person appointed by the Borrower, as agent under such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Debt (such Person (who may be the Administrative Agent, if it so agrees), the “</w:t>
      </w:r>
      <w:r>
        <w:rPr>
          <w:rFonts w:ascii="Arial" w:cs="Arial" w:eastAsia="Arial" w:hAnsi="Arial"/>
          <w:sz w:val="18"/>
          <w:szCs w:val="18"/>
          <w:b w:val="1"/>
          <w:bCs w:val="1"/>
          <w:i w:val="1"/>
          <w:iCs w:val="1"/>
          <w:color w:val="auto"/>
        </w:rPr>
        <w:t>Specified Refinancing Agent</w:t>
      </w:r>
      <w:r>
        <w:rPr>
          <w:rFonts w:ascii="Arial" w:cs="Arial" w:eastAsia="Arial" w:hAnsi="Arial"/>
          <w:sz w:val="18"/>
          <w:szCs w:val="18"/>
          <w:color w:val="auto"/>
        </w:rPr>
        <w:t xml:space="preserve">”) and reasonably acceptable to the Borrower, to refinance (including by extending the maturity) (i) all or any portion of any Term Loan Tranches then outstanding under this Agreement or (ii) all or any portion of any Term Commitment Increase or New Term Facility incurred under Section 2.16, in each case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Specified Refinancing Debt: (i)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as the other Loans and Commitments hereunder; (ii) will not have obligors other than the Loan Parties or entities who shall have become Loan Parties (it being understood that the roles of such obligors as Borrower or Guarantors with respect to such obligations may be interchanged); (iii) will be (x) unsecured or (y) secured by the Collateral on a first lien “equal and ratable” basis with the Liens securing the Obligations or on a “junior” basis to the Liens securing the Obligations (in each case pursuant to intercreditor arrangements reasonably satisfactory to the Specified Refinancing Agent and, if the Specified Refinancing Agent is not the Administrative Agent, the Administrative Agent); (iv) will have such pricing and optional prepayment terms as may be agreed by the Borrower and the applicable Lenders thereof; (v) will have a maturity date that is not prior to the date that is the scheduled Maturity Date of, and will have a Weighted Average Life to Maturity that is not shorter than the Weighted Average Life to Maturity of, the Term Loans being refinanced; </w:t>
      </w:r>
      <w:r>
        <w:rPr>
          <w:rFonts w:ascii="Arial" w:cs="Arial" w:eastAsia="Arial" w:hAnsi="Arial"/>
          <w:sz w:val="18"/>
          <w:szCs w:val="18"/>
          <w:u w:val="single" w:color="auto"/>
          <w:color w:val="auto"/>
        </w:rPr>
        <w:t>provided</w:t>
      </w:r>
      <w:r>
        <w:rPr>
          <w:rFonts w:ascii="Arial" w:cs="Arial" w:eastAsia="Arial" w:hAnsi="Arial"/>
          <w:sz w:val="18"/>
          <w:szCs w:val="18"/>
          <w:color w:val="auto"/>
        </w:rPr>
        <w:t>, that Extendable Bridge Loans/Interim Debt and Specified Refinancing Debt in an amount not in excess of the Inside Maturity Basket at the time of Incurrence may have a maturity date earlier than the Latest Maturity Date of all then outstanding Term Loans and, with respect to Extendable Bridge Loans/Interim Debt and Specified Refinancing Debt in 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7" w:name="page158"/>
    <w:bookmarkEnd w:id="157"/>
    <w:p>
      <w:pPr>
        <w:jc w:val="both"/>
        <w:spacing w:after="0" w:line="268" w:lineRule="auto"/>
        <w:rPr>
          <w:sz w:val="20"/>
          <w:szCs w:val="20"/>
          <w:color w:val="auto"/>
        </w:rPr>
      </w:pPr>
      <w:r>
        <w:rPr>
          <w:rFonts w:ascii="Arial" w:cs="Arial" w:eastAsia="Arial" w:hAnsi="Arial"/>
          <w:sz w:val="18"/>
          <w:szCs w:val="18"/>
          <w:color w:val="auto"/>
        </w:rPr>
        <w:t>amount not in excess of the Inside Maturity Basket at the time of Incurrence, the Weighted Average Life to Maturity thereof may be shorter than the then longest remaining Weighted Average Life to Maturity of any then outstanding Term Loans; (vi) any Specified Refinancing Term Loans shall share ratably in any prepayments of Term Loans pursuant to Section 2.05 (or otherwise provide for more favorable prepayment treatment for the then outstanding Term Loan Tranches than the Specified Refinancing Term Loans); (vii) subject to clauses (iv) and (v) above, will have terms and conditions (other than pricing and optional prepayment and redemption terms) that are customary for similar debt securities in light of then-prevailing market conditions at the time of incurrence or issuance (as determined by the Borrower in good faith) (it being understood that no Specified Refinancing Debt shall include any financial maintenance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Borrower’s option, delivery of a certificate of a Responsible Officer of the Borrower to the Specified Refinancing Agent in good faith at least three Business Days (or such shorter period as may be agreed by the Specified Refinancing Agent) prior to the incurrence of such Specified Refinancing Debt, together with a reasonably detailed description of the material terms and conditions of such Specified Refinancing Debt or drafts of the documentation relating thereto, stating that the Borrower has determined in good faith that such terms and conditions satisfy the requirement set forth in this clause (a), shall be conclusive evidence that such terms and conditions satisfy such requirement unless the Specified Refinancing Agent provides notice to the Borrower of its objection during such three Business Day period (including a reasonable description of the basis upon which it objects)); and (viii) the Net Cash Proceeds of such Specified Refinancing Debt shall be applied, substantially concurrently with the incurrence thereof, to the pro rata prepayment of outstanding Loans being so refinanced pursuant to Section 2.05, and the payment of fees, expenses and premiums, if any, payable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Specified Refinancing Debt (x) may provide for any additional or different financial or other covenants or other provisions that (1) are agreed among the Borrower and the Lenders thereof and applicable only during periods after the then Latest Maturity Date in effect or (2) are, in consultation with the Administrative Agent, incorporated into this Agreement (or any other applicable Loan Document) for the benefit of all existing Lenders (to the extent applicable to such Lender) without further amendment requirements and (y) shall not have a principal or commitment amount (or accreted value) greater than the Loans being refinanced (plus an amount equal to accrued interest, fees, discounts, premiums and expenses). Any Lender approached to provide all or a portion of any Specified Refinancing Debt may elect or decline, in its sole discretion, to provide such Specified Refinancing Debt. To achieve the full amount of a requested issuance of Specified Refinancing Debt, the Borrower may also invite additional Eligible Assignees to become Lenders in respect of such Specified Refinancing Debt pursuant to a joinder agreement to this Agreement in form and substance reasonably satisfactory to the Specified Refinancing Agent. For the avoidance of doubt, any allocations of Specified Refinancing Debt shall be made at the Borrower’s sole discretion, and the Borrower will not be obligated to allocate any Specified Refinancing Debt to any Lender.</w:t>
      </w:r>
    </w:p>
    <w:p>
      <w:pPr>
        <w:spacing w:after="0" w:line="172" w:lineRule="exact"/>
        <w:rPr>
          <w:sz w:val="20"/>
          <w:szCs w:val="20"/>
          <w:color w:val="auto"/>
        </w:rPr>
      </w:pPr>
    </w:p>
    <w:p>
      <w:pPr>
        <w:jc w:val="both"/>
        <w:ind w:firstLine="1505"/>
        <w:spacing w:after="0" w:line="271" w:lineRule="auto"/>
        <w:tabs>
          <w:tab w:leader="none" w:pos="200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effectiveness of any Refinancing Amendment shall be subject to conditions as are mutually agreed with the participating Lenders providing such Specified Refinancing Debt and to the extent reasonably requested by the Specified Refinancing Agent, receipt by the Specified Refinancing Agent of legal opinions, board resolutions, officers’ certificates and/or reaffirmation agreements with respect to the Borrower and the Guarantors, including any supplements or amendments to the Collateral Documents providing for such Specified Refinancing Debt to be secured thereby, consistent with those delivered on the Closing Date under Section 4.01 or delivered from time to time pursuant to Section 6.12, 6.14 and/or Section 6.17 (other than changes to such legal opinions resulting from a change in Law, change in fact or change to counsel’s form of opinion). The Lenders hereby authorize the Specified Refinancing Agent to enter into amendments to this Agreement and the other Loan Documents with the Borrower as may be necessary in order to establish new Tranches of Specified Refinancing Debt and to make such technical amendments as may be necessary or appropriate in the reasonable opinion of the Specified Refinancing Agent and the Borrowers in connection with the establishment of such new Tranches, in each case on terms consistent with and/or to effect the provisions of this Section 2.19.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8" w:name="page159"/>
    <w:bookmarkEnd w:id="158"/>
    <w:p>
      <w:pPr>
        <w:ind w:firstLine="1505"/>
        <w:spacing w:after="0" w:line="260" w:lineRule="auto"/>
        <w:tabs>
          <w:tab w:leader="none" w:pos="198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Each class of Specified Refinancing Debt incurred under this Section 2.19 shall be in an aggregate principal amount that is (x) not less $5,000,000 and (y) an integral multiple of $1,000,000 in excess thereof.</w:t>
      </w:r>
    </w:p>
    <w:p>
      <w:pPr>
        <w:spacing w:after="0" w:line="176" w:lineRule="exact"/>
        <w:rPr>
          <w:rFonts w:ascii="Arial" w:cs="Arial" w:eastAsia="Arial" w:hAnsi="Arial"/>
          <w:sz w:val="20"/>
          <w:szCs w:val="20"/>
          <w:color w:val="auto"/>
        </w:rPr>
      </w:pPr>
    </w:p>
    <w:p>
      <w:pPr>
        <w:jc w:val="both"/>
        <w:ind w:firstLine="1505"/>
        <w:spacing w:after="0" w:line="270" w:lineRule="auto"/>
        <w:tabs>
          <w:tab w:leader="none" w:pos="200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Specified Refinancing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Borrower, the Specified Refinancing Agent and the Lenders providing such Specified Refinancing Debt, effect such amendments to this Agreement and the other Loan Documents as may be necessary or appropriate, in the reasonable opinion of the Specified Refinancing Agent and the Borrower, to effect the provisions of or consistent with this Section 2.19. If the Specified Refinancing Agent is not the Administrative Agent, the actions authorized to be taken by the Specified Refinancing Agent herein shall be done in consultation with the Administrative Agent and, with respect to the preparation of any documentation necessary or appropriate to carry out the provisions of this Section 2.19 (including amendments to this Agreement and the other Loan Documents), any comments to such documentation reasonably requested by the Administrative Agent shall be reflected therein.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INCREASED COSTS PROTECTION AND ILLEGALITY</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3.01  Taxes.</w:t>
      </w:r>
    </w:p>
    <w:p>
      <w:pPr>
        <w:spacing w:after="0" w:line="216" w:lineRule="exact"/>
        <w:rPr>
          <w:sz w:val="20"/>
          <w:szCs w:val="20"/>
          <w:color w:val="auto"/>
        </w:rPr>
      </w:pPr>
    </w:p>
    <w:p>
      <w:pPr>
        <w:ind w:firstLine="1505"/>
        <w:spacing w:after="0" w:line="316" w:lineRule="auto"/>
        <w:tabs>
          <w:tab w:leader="none" w:pos="199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sums payable by any Loan Party hereunder or under any other Loan Document to any Lender or Agent shall (except to the extent required by Law) be paid free and clear of, and without any deduction or withholding on account of, any Taxes.</w:t>
      </w:r>
    </w:p>
    <w:p>
      <w:pPr>
        <w:spacing w:after="0" w:line="129" w:lineRule="exact"/>
        <w:rPr>
          <w:rFonts w:ascii="Arial" w:cs="Arial" w:eastAsia="Arial" w:hAnsi="Arial"/>
          <w:sz w:val="18"/>
          <w:szCs w:val="18"/>
          <w:color w:val="auto"/>
        </w:rPr>
      </w:pPr>
    </w:p>
    <w:p>
      <w:pPr>
        <w:jc w:val="both"/>
        <w:ind w:firstLine="1505"/>
        <w:spacing w:after="0" w:line="254" w:lineRule="auto"/>
        <w:tabs>
          <w:tab w:leader="none" w:pos="199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If any Loan Party or any other applicable withholding agent is required by Law (as determined in the good faith discretion of an applicable withholding agent) to make any deduction or withholding on account of any Tax from any sum paid or payable by any Loan Party to any Lender or Agent under any of the Loan Documents: (i) the applicable Loan Party or other applicable withholding agent shall make such deduction or withholding and pay to the relevant Governmental Authority any such Tax before the date on which penalties attach thereto, such payment to be made (if the liability to pay is imposed on any Loan Party) for its own account or (if that liability is imposed on the Lender or Agent) on behalf of and in the name of the Lender or Agent (as applicable); (ii) if the relevant Tax is a Non-Excluded Tax or Other Tax, the sum payable to such Lender or Agent (as applicable) shall be increased by such Loan Party to the extent necessary to ensure that, after the making of any required deduction or withholding (including any deductions or withholdings attributable to any payments required to be made under this Section 3.01), the Lender (or, in the case of a payment received by an Agent for its own account, such Agent), receives a net sum equal to what it would have received had no such deduction or withholding been required or made; and (iii) as soon as practicable after any payment of such Tax by a Loan Party to a Governmental Authority pursuant to this Section, the Loan Party making such payments shall deliver to the applicable Agent the original or a certified copy of a receipt issued by such Governmental Authority evidencing such payment, a copy of the return reporting such payment or other evidence of such payment reasonably satisfactory to the applicable Agent.</w:t>
      </w:r>
    </w:p>
    <w:p>
      <w:pPr>
        <w:spacing w:after="0" w:line="191" w:lineRule="exact"/>
        <w:rPr>
          <w:rFonts w:ascii="Arial" w:cs="Arial" w:eastAsia="Arial" w:hAnsi="Arial"/>
          <w:sz w:val="19"/>
          <w:szCs w:val="19"/>
          <w:color w:val="auto"/>
        </w:rPr>
      </w:pPr>
    </w:p>
    <w:p>
      <w:pPr>
        <w:ind w:firstLine="1505"/>
        <w:spacing w:after="0" w:line="260" w:lineRule="auto"/>
        <w:tabs>
          <w:tab w:leader="none" w:pos="198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Each Lender shall, at such times as are reasonably requested by the Borrower or the Administrative Agent, provide the Borrower and the Administrative Agent with any documentation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59" w:name="page160"/>
    <w:bookmarkEnd w:id="159"/>
    <w:p>
      <w:pPr>
        <w:jc w:val="both"/>
        <w:spacing w:after="0" w:line="276" w:lineRule="auto"/>
        <w:rPr>
          <w:sz w:val="20"/>
          <w:szCs w:val="20"/>
          <w:color w:val="auto"/>
        </w:rPr>
      </w:pPr>
      <w:r>
        <w:rPr>
          <w:rFonts w:ascii="Arial" w:cs="Arial" w:eastAsia="Arial" w:hAnsi="Arial"/>
          <w:sz w:val="18"/>
          <w:szCs w:val="18"/>
          <w:color w:val="auto"/>
        </w:rPr>
        <w:t>prescribed by Laws or reasonably requested by the Borrower or the Administrative Agent certifying as to any entitlement of such Lender to an exemption from, or reduction in, withholding Tax with respect to any payments to be made to such Lender under any Loan Document. Each such Lender shall, whenever a lapse in time or change in circumstances renders any such documentation (including any specific documentation required below in this Section 3.01(c))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of its legal ineligibility to do so.</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Without limiting the foregoing:</w:t>
      </w:r>
    </w:p>
    <w:p>
      <w:pPr>
        <w:spacing w:after="0" w:line="216" w:lineRule="exact"/>
        <w:rPr>
          <w:sz w:val="20"/>
          <w:szCs w:val="20"/>
          <w:color w:val="auto"/>
        </w:rPr>
      </w:pPr>
    </w:p>
    <w:p>
      <w:pPr>
        <w:jc w:val="both"/>
        <w:ind w:left="380" w:firstLine="2"/>
        <w:spacing w:after="0" w:line="250" w:lineRule="auto"/>
        <w:tabs>
          <w:tab w:leader="none" w:pos="78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Each US Lender shall deliver to the Borrower and the Administrative Agent on or before the date on which it becomes a party to this Agreement two properly completed and duly signed original copies of IRS Form W-9 (or any successor form) certifying that such Lender is exempt from U.S. federal backup withholding.</w:t>
      </w:r>
    </w:p>
    <w:p>
      <w:pPr>
        <w:spacing w:after="0" w:line="77" w:lineRule="exact"/>
        <w:rPr>
          <w:rFonts w:ascii="Arial" w:cs="Arial" w:eastAsia="Arial" w:hAnsi="Arial"/>
          <w:sz w:val="20"/>
          <w:szCs w:val="20"/>
          <w:color w:val="auto"/>
        </w:rPr>
      </w:pPr>
    </w:p>
    <w:p>
      <w:pPr>
        <w:jc w:val="both"/>
        <w:ind w:left="380" w:firstLine="2"/>
        <w:spacing w:after="0" w:line="250" w:lineRule="auto"/>
        <w:tabs>
          <w:tab w:leader="none" w:pos="7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Each Non-US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77" w:lineRule="exact"/>
        <w:rPr>
          <w:rFonts w:ascii="Arial" w:cs="Arial" w:eastAsia="Arial" w:hAnsi="Arial"/>
          <w:sz w:val="20"/>
          <w:szCs w:val="20"/>
          <w:color w:val="auto"/>
        </w:rPr>
      </w:pPr>
    </w:p>
    <w:p>
      <w:pPr>
        <w:jc w:val="both"/>
        <w:ind w:left="1500" w:firstLine="754"/>
        <w:spacing w:after="0" w:line="250" w:lineRule="auto"/>
        <w:tabs>
          <w:tab w:leader="none" w:pos="2719"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two properly completed and duly signed original copies of IRS Form W-8BEN or W-8BEN-E (or any successor form), as applicable, claiming eligibility for the benefits of an income tax treaty to which the United States is a party, and such other documentation as required under the Code,</w:t>
      </w:r>
    </w:p>
    <w:p>
      <w:pPr>
        <w:spacing w:after="0" w:line="185" w:lineRule="exact"/>
        <w:rPr>
          <w:rFonts w:ascii="Arial" w:cs="Arial" w:eastAsia="Arial" w:hAnsi="Arial"/>
          <w:sz w:val="20"/>
          <w:szCs w:val="20"/>
          <w:color w:val="auto"/>
        </w:rPr>
      </w:pPr>
    </w:p>
    <w:p>
      <w:pPr>
        <w:ind w:left="2700" w:hanging="446"/>
        <w:spacing w:after="0"/>
        <w:tabs>
          <w:tab w:leader="none" w:pos="270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two properly completed and duly signed original copies of IRS Form W-8ECI (or any successor form),</w:t>
      </w:r>
    </w:p>
    <w:p>
      <w:pPr>
        <w:spacing w:after="0" w:line="227" w:lineRule="exact"/>
        <w:rPr>
          <w:rFonts w:ascii="Arial" w:cs="Arial" w:eastAsia="Arial" w:hAnsi="Arial"/>
          <w:sz w:val="19"/>
          <w:szCs w:val="19"/>
          <w:color w:val="auto"/>
        </w:rPr>
      </w:pPr>
    </w:p>
    <w:p>
      <w:pPr>
        <w:jc w:val="both"/>
        <w:ind w:left="1500" w:firstLine="754"/>
        <w:spacing w:after="0" w:line="282" w:lineRule="auto"/>
        <w:tabs>
          <w:tab w:leader="none" w:pos="269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the exemption for portfolio interest under Section 871(h) or Section 881(c) of the Code, (A) two properly completed and duly signed certificates substantially in the form of Exhibit J (any such certificate, a “</w:t>
      </w:r>
      <w:r>
        <w:rPr>
          <w:rFonts w:ascii="Arial" w:cs="Arial" w:eastAsia="Arial" w:hAnsi="Arial"/>
          <w:sz w:val="18"/>
          <w:szCs w:val="18"/>
          <w:b w:val="1"/>
          <w:bCs w:val="1"/>
          <w:i w:val="1"/>
          <w:iCs w:val="1"/>
          <w:color w:val="auto"/>
        </w:rPr>
        <w:t>United States Tax Compliance Certificate</w:t>
      </w:r>
      <w:r>
        <w:rPr>
          <w:rFonts w:ascii="Arial" w:cs="Arial" w:eastAsia="Arial" w:hAnsi="Arial"/>
          <w:sz w:val="18"/>
          <w:szCs w:val="18"/>
          <w:color w:val="auto"/>
        </w:rPr>
        <w:t>”) and (B) two properly completed and duly signed original copies of IRS Form W-8BEN or W-8BEN-E (or any successor form), as applicable,</w:t>
      </w:r>
    </w:p>
    <w:p>
      <w:pPr>
        <w:spacing w:after="0" w:line="161" w:lineRule="exact"/>
        <w:rPr>
          <w:rFonts w:ascii="Arial" w:cs="Arial" w:eastAsia="Arial" w:hAnsi="Arial"/>
          <w:sz w:val="18"/>
          <w:szCs w:val="18"/>
          <w:color w:val="auto"/>
        </w:rPr>
      </w:pPr>
    </w:p>
    <w:p>
      <w:pPr>
        <w:jc w:val="both"/>
        <w:ind w:left="1500" w:firstLine="754"/>
        <w:spacing w:after="0" w:line="257" w:lineRule="auto"/>
        <w:tabs>
          <w:tab w:leader="none" w:pos="2708"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to the extent a Non-US Lender is not the beneficial owner (for example, where the Non-US Lender is a partnership or a participating Lender), IRS Form W-8IMY (or any successor form) of the Non-US Lender, accompanied by a Form W-8ECI, W-8BEN, or W-8BEN-E, United States Tax Compliance Certificate, Form W-9, Form W-8IMY or any other required information (or, in each case, any successor form) from each beneficial owner that would be required under this Section 3.01(c) if such beneficial owner were a Lender, as applicable (provided that, if the Non-US Lender is a partnership (and not a participating Lender) and one or more of the Non-US Lender’s direct or indirect owners are claiming the portfolio interest exemption, the United States Tax Compliance Certificate may be provided by such Non-US Lender on behalf of such direct or indirect owners), or</w:t>
      </w:r>
    </w:p>
    <w:p>
      <w:pPr>
        <w:spacing w:after="0" w:line="180" w:lineRule="exact"/>
        <w:rPr>
          <w:rFonts w:ascii="Arial" w:cs="Arial" w:eastAsia="Arial" w:hAnsi="Arial"/>
          <w:sz w:val="19"/>
          <w:szCs w:val="19"/>
          <w:color w:val="auto"/>
        </w:rPr>
      </w:pPr>
    </w:p>
    <w:p>
      <w:pPr>
        <w:jc w:val="both"/>
        <w:ind w:left="1500" w:firstLine="754"/>
        <w:spacing w:after="0" w:line="263" w:lineRule="auto"/>
        <w:tabs>
          <w:tab w:leader="none" w:pos="2701"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two properly completed and duly signed original copies of any other form upon the reasonable request of the Borrower or the Administrative Agent or as prescribed by applicable U.S. federal income tax Laws (including, for the avoidance of doubt, Treasury Regulations) as a basis for claiming a complete exemption from, or a reduction in, United States federal withholding tax on any payments to such Lender under the Loan Documents.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0" w:name="page161"/>
    <w:bookmarkEnd w:id="160"/>
    <w:p>
      <w:pPr>
        <w:jc w:val="both"/>
        <w:ind w:left="380" w:firstLine="2"/>
        <w:spacing w:after="0" w:line="272" w:lineRule="auto"/>
        <w:tabs>
          <w:tab w:leader="none" w:pos="7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those Sections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and, if necessary, to determine the amount to deduct and withhold from such payment. Solely for purposes of this Section 3.01(c)(3), “FATCA” shall include any amendments made to FATCA after the Closing Date.</w:t>
      </w:r>
    </w:p>
    <w:p>
      <w:pPr>
        <w:spacing w:after="0" w:line="62" w:lineRule="exact"/>
        <w:rPr>
          <w:rFonts w:ascii="Arial" w:cs="Arial" w:eastAsia="Arial" w:hAnsi="Arial"/>
          <w:sz w:val="18"/>
          <w:szCs w:val="18"/>
          <w:color w:val="auto"/>
        </w:rPr>
      </w:pPr>
    </w:p>
    <w:p>
      <w:pPr>
        <w:ind w:left="380" w:firstLine="2"/>
        <w:spacing w:after="0" w:line="260" w:lineRule="auto"/>
        <w:tabs>
          <w:tab w:leader="none" w:pos="78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Notwithstanding any other provision of this Section 3.01(c), a Lender shall not be required to deliver any documentation that such Lender is not legally eligible to deliver.</w:t>
      </w:r>
    </w:p>
    <w:p>
      <w:pPr>
        <w:spacing w:after="0" w:line="68" w:lineRule="exact"/>
        <w:rPr>
          <w:rFonts w:ascii="Arial" w:cs="Arial" w:eastAsia="Arial" w:hAnsi="Arial"/>
          <w:sz w:val="20"/>
          <w:szCs w:val="20"/>
          <w:color w:val="auto"/>
        </w:rPr>
      </w:pPr>
    </w:p>
    <w:p>
      <w:pPr>
        <w:ind w:left="380" w:firstLine="2"/>
        <w:spacing w:after="0" w:line="287" w:lineRule="auto"/>
        <w:tabs>
          <w:tab w:leader="none" w:pos="78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Each Lender hereby authorizes the Administrative Agent to deliver to the Loan Parties and to any successor Administrative Agent any documentation provided by such Lender to the Administrative Agent pursuant to this Section 3.01(c).</w:t>
      </w:r>
    </w:p>
    <w:p>
      <w:pPr>
        <w:spacing w:after="0" w:line="44" w:lineRule="exact"/>
        <w:rPr>
          <w:rFonts w:ascii="Arial" w:cs="Arial" w:eastAsia="Arial" w:hAnsi="Arial"/>
          <w:sz w:val="19"/>
          <w:szCs w:val="19"/>
          <w:color w:val="auto"/>
        </w:rPr>
      </w:pPr>
    </w:p>
    <w:p>
      <w:pPr>
        <w:jc w:val="both"/>
        <w:ind w:firstLine="1505"/>
        <w:spacing w:after="0" w:line="271" w:lineRule="auto"/>
        <w:tabs>
          <w:tab w:leader="none" w:pos="201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On or before the Closing Date (and on or before the date any successor or replacement Administrative Agent becomes the Administrative Agent hereunder), to the extent copies thereof have not previously been so delivered, the Administrative Agent shall deliver to the Borrower two properly completed and duly executed copies of either (i) IRS Form W-9 (or any successor form) certifying that it is exempt from U.S. federal backup withholding tax or (ii) IRS Form W-8ECI (or any successor form) with respect to payments to be received under the Loan Documents for its own account and IRS Form W-8IMY (or any successor form) assuming primary responsibility for withholding under Chapters 3 and 4 of the Code with respect to payments to be received under the Loan Documents for the account of Lenders. The Administrative Agent agrees that if any documentation it previously delivered expires or becomes obsolete or inaccurate in any respect, it shall update such documentation or promptly notify the Borrower of its legal ineligibility to do so. Notwithstanding anything to the contrary in this Section 3.01(d), the Administrative Agent shall not be required to deliver any documentation that the Administrative Agent is not legally eligible to deliver as a result of a change in Law after the date hereof.</w:t>
      </w:r>
    </w:p>
    <w:p>
      <w:pPr>
        <w:spacing w:after="0" w:line="173" w:lineRule="exact"/>
        <w:rPr>
          <w:rFonts w:ascii="Arial" w:cs="Arial" w:eastAsia="Arial" w:hAnsi="Arial"/>
          <w:sz w:val="18"/>
          <w:szCs w:val="18"/>
          <w:color w:val="auto"/>
        </w:rPr>
      </w:pPr>
    </w:p>
    <w:p>
      <w:pPr>
        <w:jc w:val="both"/>
        <w:ind w:firstLine="1505"/>
        <w:spacing w:after="0" w:line="250" w:lineRule="auto"/>
        <w:tabs>
          <w:tab w:leader="none" w:pos="2002" w:val="left"/>
        </w:tabs>
        <w:numPr>
          <w:ilvl w:val="1"/>
          <w:numId w:val="150"/>
        </w:numPr>
        <w:rPr>
          <w:rFonts w:ascii="Arial" w:cs="Arial" w:eastAsia="Arial" w:hAnsi="Arial"/>
          <w:sz w:val="20"/>
          <w:szCs w:val="20"/>
          <w:color w:val="auto"/>
        </w:rPr>
      </w:pPr>
      <w:r>
        <w:rPr>
          <w:rFonts w:ascii="Arial" w:cs="Arial" w:eastAsia="Arial" w:hAnsi="Arial"/>
          <w:sz w:val="20"/>
          <w:szCs w:val="20"/>
          <w:color w:val="auto"/>
        </w:rPr>
        <w:t>In addition to the payments by a Loan Party required by Section 3.01(b), the Borrower shall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jc w:val="both"/>
        <w:ind w:firstLine="1505"/>
        <w:spacing w:after="0" w:line="243" w:lineRule="auto"/>
        <w:tabs>
          <w:tab w:leader="none" w:pos="2003" w:val="left"/>
        </w:tabs>
        <w:numPr>
          <w:ilvl w:val="1"/>
          <w:numId w:val="150"/>
        </w:numPr>
        <w:rPr>
          <w:rFonts w:ascii="Arial" w:cs="Arial" w:eastAsia="Arial" w:hAnsi="Arial"/>
          <w:sz w:val="20"/>
          <w:szCs w:val="20"/>
          <w:color w:val="auto"/>
        </w:rPr>
      </w:pPr>
      <w:r>
        <w:rPr>
          <w:rFonts w:ascii="Arial" w:cs="Arial" w:eastAsia="Arial" w:hAnsi="Arial"/>
          <w:sz w:val="20"/>
          <w:szCs w:val="20"/>
          <w:color w:val="auto"/>
        </w:rPr>
        <w:t>The Borrower shall indemnify a Lender or the Administrative Agent (each a “</w:t>
      </w:r>
      <w:r>
        <w:rPr>
          <w:rFonts w:ascii="Arial" w:cs="Arial" w:eastAsia="Arial" w:hAnsi="Arial"/>
          <w:sz w:val="20"/>
          <w:szCs w:val="20"/>
          <w:b w:val="1"/>
          <w:bCs w:val="1"/>
          <w:i w:val="1"/>
          <w:iCs w:val="1"/>
          <w:color w:val="auto"/>
        </w:rPr>
        <w:t>Tax Indemnitee</w:t>
      </w:r>
      <w:r>
        <w:rPr>
          <w:rFonts w:ascii="Arial" w:cs="Arial" w:eastAsia="Arial" w:hAnsi="Arial"/>
          <w:sz w:val="20"/>
          <w:szCs w:val="20"/>
          <w:color w:val="auto"/>
        </w:rPr>
        <w:t>”), within 10 days after written demand therefor, for the full amount of any Non-Excluded Taxes, and any Other Taxes payable by such Tax Indemnitee (including Non-Excluded Taxes or Other Taxes imposed on or attributable to amounts payable under this Section 3.01), whether or not such Taxes were correctly or legally imposed or asserted by the Governmental Authority. A certificate as to the amount of such payment or liability prepared in good faith and delivered by the Tax Indemnitee or by the Agent on its own behalf or on behalf of another Tax Indemnitee, shall be conclusive absent manifest error.</w:t>
      </w:r>
    </w:p>
    <w:p>
      <w:pPr>
        <w:spacing w:after="0" w:line="195" w:lineRule="exact"/>
        <w:rPr>
          <w:rFonts w:ascii="Arial" w:cs="Arial" w:eastAsia="Arial" w:hAnsi="Arial"/>
          <w:sz w:val="20"/>
          <w:szCs w:val="20"/>
          <w:color w:val="auto"/>
        </w:rPr>
      </w:pPr>
    </w:p>
    <w:p>
      <w:pPr>
        <w:jc w:val="both"/>
        <w:ind w:firstLine="1505"/>
        <w:spacing w:after="0" w:line="282" w:lineRule="auto"/>
        <w:tabs>
          <w:tab w:leader="none" w:pos="20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and to the extent that a Tax Indemnitee, in its sole discretion (exercised in good faith), determines that it has received a refund of any Non-Excluded Taxes or Other Taxes in respect of which it has received additional payments under this Section 3.01, then such Tax Indemnitee shall pay to the relevant Loan Party the amount of such refund (but not in excess of the additional amounts received by such Tax Indemnitee in respect of such Taxes), net of all reasonable out-of-pocket expenses of the Tax</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1" w:name="page162"/>
    <w:bookmarkEnd w:id="161"/>
    <w:p>
      <w:pPr>
        <w:jc w:val="both"/>
        <w:spacing w:after="0" w:line="243" w:lineRule="auto"/>
        <w:rPr>
          <w:sz w:val="20"/>
          <w:szCs w:val="20"/>
          <w:color w:val="auto"/>
        </w:rPr>
      </w:pPr>
      <w:r>
        <w:rPr>
          <w:rFonts w:ascii="Arial" w:cs="Arial" w:eastAsia="Arial" w:hAnsi="Arial"/>
          <w:sz w:val="20"/>
          <w:szCs w:val="20"/>
          <w:color w:val="auto"/>
        </w:rPr>
        <w:t xml:space="preserve">Indemnitee (including any Taxes imposed with respect to such refund), and without interest (other than any interest paid by the relevant Governmental Authority with respect to such refund),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Loan Party, upon the request of the Tax Indemnitee, agrees to repay the amount paid over to the Tax Indemnitee (plus any penalties, interest or other charges imposed by the relevant Governmental Authority) to the Tax Indemnitee if the Tax Indemnitee is required to repay such refund to such Governmental Authority. This subsection shall not be construed to require a Tax Indemnitee to make available its Tax returns (or any other information relating to its Taxes that it deems confidential) to any Loan Party or any other Person.</w:t>
      </w:r>
    </w:p>
    <w:p>
      <w:pPr>
        <w:spacing w:after="0" w:line="196" w:lineRule="exact"/>
        <w:rPr>
          <w:sz w:val="20"/>
          <w:szCs w:val="20"/>
          <w:color w:val="auto"/>
        </w:rPr>
      </w:pPr>
    </w:p>
    <w:p>
      <w:pPr>
        <w:jc w:val="both"/>
        <w:ind w:firstLine="1505"/>
        <w:spacing w:after="0" w:line="271" w:lineRule="auto"/>
        <w:tabs>
          <w:tab w:leader="none" w:pos="19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event that a Loan Party makes an indemnification payment to a Tax Indemnitee with respect to Non-Excluded Taxes or Other Taxes pursuant to subsection (f) of this Section 3.01 or a Loan Party is required to repay to a Tax Indemnitee an amount in respect of a refund of any Non-Excluded Taxes or Other Taxes previously paid over to such Loan Party pursuant to subsection (g) of this Section 3.01, such Tax Indemnitee shall reasonably cooperate with all reasonable requests of such Loan Party, at the sole expense of such Loan Party, if (i) in the reasonable judgment of the Tax Indemnitee such cooperation shall not subject such Tax Indemnitee, as the case may be, to any unreimbursed third party cost or expense or otherwise be materially disadvantageous to such Tax Indemnitee and (ii) based on advice of such Loan Party’s independent accountants or external legal counsel, there is a reasonable basis for such Loan Party to contest with the applicable Governmental Authority the imposition of such Non-Excluded Taxes or Other Taxes or the repayment of such refund. Any resulting refund shall be governed by Section 3.01(g). This subsection shall not be construed to require a Tax Indemnitee to make available its Tax returns (or any other information relating to its Taxes that it deems confidential) to any Loan Party or any other Person.</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3.02  [Reserved].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3.03  Market Disruption; Inability to Determine Rates.</w:t>
      </w:r>
    </w:p>
    <w:p>
      <w:pPr>
        <w:spacing w:after="0" w:line="216" w:lineRule="exact"/>
        <w:rPr>
          <w:sz w:val="20"/>
          <w:szCs w:val="20"/>
          <w:color w:val="auto"/>
        </w:rPr>
      </w:pPr>
    </w:p>
    <w:p>
      <w:pPr>
        <w:ind w:left="1980" w:hanging="475"/>
        <w:spacing w:after="0"/>
        <w:tabs>
          <w:tab w:leader="none" w:pos="19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Alternate Rate of Interest. Subject to clauses (b), (c), (d), (e) and (f) of this </w:t>
      </w:r>
      <w:r>
        <w:rPr>
          <w:rFonts w:ascii="Arial" w:cs="Arial" w:eastAsia="Arial" w:hAnsi="Arial"/>
          <w:sz w:val="20"/>
          <w:szCs w:val="20"/>
          <w:u w:val="single" w:color="auto"/>
          <w:color w:val="auto"/>
        </w:rPr>
        <w:t>Section 3.03</w:t>
      </w:r>
      <w:r>
        <w:rPr>
          <w:rFonts w:ascii="Arial" w:cs="Arial" w:eastAsia="Arial" w:hAnsi="Arial"/>
          <w:sz w:val="20"/>
          <w:szCs w:val="20"/>
          <w:color w:val="auto"/>
        </w:rPr>
        <w:t>, if:</w:t>
      </w:r>
    </w:p>
    <w:p>
      <w:pPr>
        <w:spacing w:after="0" w:line="15" w:lineRule="exact"/>
        <w:rPr>
          <w:rFonts w:ascii="Arial" w:cs="Arial" w:eastAsia="Arial" w:hAnsi="Arial"/>
          <w:sz w:val="20"/>
          <w:szCs w:val="20"/>
          <w:color w:val="auto"/>
        </w:rPr>
      </w:pPr>
    </w:p>
    <w:p>
      <w:pPr>
        <w:jc w:val="both"/>
        <w:ind w:left="760" w:firstLine="1494"/>
        <w:spacing w:after="0" w:line="241" w:lineRule="auto"/>
        <w:tabs>
          <w:tab w:leader="none" w:pos="2502"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absent manifest error)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w:t>
      </w:r>
    </w:p>
    <w:p>
      <w:pPr>
        <w:spacing w:after="0" w:line="207" w:lineRule="exact"/>
        <w:rPr>
          <w:rFonts w:ascii="Arial" w:cs="Arial" w:eastAsia="Arial" w:hAnsi="Arial"/>
          <w:sz w:val="20"/>
          <w:szCs w:val="20"/>
          <w:color w:val="auto"/>
        </w:rPr>
      </w:pPr>
    </w:p>
    <w:p>
      <w:pPr>
        <w:jc w:val="both"/>
        <w:ind w:left="760" w:firstLine="1494"/>
        <w:spacing w:after="0" w:line="246" w:lineRule="auto"/>
        <w:tabs>
          <w:tab w:leader="none" w:pos="2773"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w:t>
      </w:r>
    </w:p>
    <w:p>
      <w:pPr>
        <w:spacing w:after="0" w:line="205" w:lineRule="exact"/>
        <w:rPr>
          <w:sz w:val="20"/>
          <w:szCs w:val="20"/>
          <w:color w:val="auto"/>
        </w:rPr>
      </w:pPr>
    </w:p>
    <w:p>
      <w:pPr>
        <w:jc w:val="both"/>
        <w:ind w:left="760" w:firstLine="749"/>
        <w:spacing w:after="0" w:line="254" w:lineRule="auto"/>
        <w:rPr>
          <w:sz w:val="20"/>
          <w:szCs w:val="20"/>
          <w:color w:val="auto"/>
        </w:rPr>
      </w:pPr>
      <w:r>
        <w:rPr>
          <w:rFonts w:ascii="Arial" w:cs="Arial" w:eastAsia="Arial" w:hAnsi="Arial"/>
          <w:sz w:val="19"/>
          <w:szCs w:val="19"/>
          <w:color w:val="auto"/>
        </w:rPr>
        <w:t xml:space="preserve">then the Administrative Agent shall give notice thereof to the Borrower and the Lenders by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Committed Loan Notice in accordance with the terms of Section 2.02, any Committed Loan Notice that requests the conversion of any Term Benchmark Borrowing and any Committed Loan Notice that requests a Term Benchmark Borrowing shall instead be deemed to be a Committed Loan Notice, for (x) Adjusted Daily Simple SOFR so long as the Adjusted Daily Simple SOFR is not also the subject of </w:t>
      </w:r>
      <w:r>
        <w:rPr>
          <w:rFonts w:ascii="Arial" w:cs="Arial" w:eastAsia="Arial" w:hAnsi="Arial"/>
          <w:sz w:val="19"/>
          <w:szCs w:val="19"/>
          <w:u w:val="single" w:color="auto"/>
          <w:color w:val="auto"/>
        </w:rPr>
        <w:t>Section 3.03(a)(i)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or (y) a Base Rate Borrowing if the Adjusted Daily Simple SOFR also is the subject of </w:t>
      </w:r>
      <w:r>
        <w:rPr>
          <w:rFonts w:ascii="Arial" w:cs="Arial" w:eastAsia="Arial" w:hAnsi="Arial"/>
          <w:sz w:val="19"/>
          <w:szCs w:val="19"/>
          <w:u w:val="single" w:color="auto"/>
          <w:color w:val="auto"/>
        </w:rPr>
        <w:t>Section 3.03(a)(i)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Furthermore, if any Term Benchmark</w:t>
      </w:r>
    </w:p>
    <w:p>
      <w:pPr>
        <w:jc w:val="center"/>
        <w:spacing w:after="0" w:line="228" w:lineRule="auto"/>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2" w:name="page163"/>
    <w:bookmarkEnd w:id="162"/>
    <w:p>
      <w:pPr>
        <w:jc w:val="both"/>
        <w:ind w:left="760"/>
        <w:spacing w:after="0" w:line="273" w:lineRule="auto"/>
        <w:rPr>
          <w:sz w:val="20"/>
          <w:szCs w:val="20"/>
          <w:color w:val="auto"/>
        </w:rPr>
      </w:pPr>
      <w:r>
        <w:rPr>
          <w:rFonts w:ascii="Arial" w:cs="Arial" w:eastAsia="Arial" w:hAnsi="Arial"/>
          <w:sz w:val="18"/>
          <w:szCs w:val="18"/>
          <w:color w:val="auto"/>
        </w:rPr>
        <w:t xml:space="preserve">Loan is outstanding on the date of the Borrower’s receipt of the notice from the Administrative Agent referred to in this Section </w:t>
      </w:r>
      <w:r>
        <w:rPr>
          <w:rFonts w:ascii="Arial" w:cs="Arial" w:eastAsia="Arial" w:hAnsi="Arial"/>
          <w:sz w:val="18"/>
          <w:szCs w:val="18"/>
          <w:u w:val="single" w:color="auto"/>
          <w:color w:val="auto"/>
        </w:rPr>
        <w:t>3.03(a)</w:t>
      </w:r>
      <w:r>
        <w:rPr>
          <w:rFonts w:ascii="Arial" w:cs="Arial" w:eastAsia="Arial" w:hAnsi="Arial"/>
          <w:sz w:val="18"/>
          <w:szCs w:val="18"/>
          <w:color w:val="auto"/>
        </w:rPr>
        <w:t xml:space="preserve"> with respect to the Adjusted Term SOFR Rate applicable to such Term Benchmark Loan, then until (x) the Administrative Agent notifies the Borrower and the Lenders that the circumstances giving rise to such notice no longer exist with respect to the relevant Benchmark and (y) the Borrower delivers a new Committed Loan Notice in accordance with the terms of Section 2.02, any Term Benchmark Loan shall on the last day of the Interest Period applicable to such Loan (or the next succeeding Business Day if such day is not a Business Day), be converted by the Administrative Agent to, and shall constitute, (x) an Adjusted Daily Simple SOFR Borrowing so long as the Adjusted Daily Simple SOFR is not also the subject of </w:t>
      </w:r>
      <w:r>
        <w:rPr>
          <w:rFonts w:ascii="Arial" w:cs="Arial" w:eastAsia="Arial" w:hAnsi="Arial"/>
          <w:sz w:val="18"/>
          <w:szCs w:val="18"/>
          <w:u w:val="single" w:color="auto"/>
          <w:color w:val="auto"/>
        </w:rPr>
        <w:t>Section 3.03(a)(i)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or (y) a Base Rate Loan if the Adjusted Daily Simple SOFR also is the subject of </w:t>
      </w:r>
      <w:r>
        <w:rPr>
          <w:rFonts w:ascii="Arial" w:cs="Arial" w:eastAsia="Arial" w:hAnsi="Arial"/>
          <w:sz w:val="18"/>
          <w:szCs w:val="18"/>
          <w:u w:val="single" w:color="auto"/>
          <w:color w:val="auto"/>
        </w:rPr>
        <w:t>Section 3.03(a)(i)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on such day.</w:t>
      </w:r>
    </w:p>
    <w:p>
      <w:pPr>
        <w:spacing w:after="0" w:line="182" w:lineRule="exact"/>
        <w:rPr>
          <w:sz w:val="20"/>
          <w:szCs w:val="20"/>
          <w:color w:val="auto"/>
        </w:rPr>
      </w:pPr>
    </w:p>
    <w:p>
      <w:pPr>
        <w:jc w:val="both"/>
        <w:ind w:firstLine="1505"/>
        <w:spacing w:after="0" w:line="255" w:lineRule="auto"/>
        <w:tabs>
          <w:tab w:leader="none" w:pos="199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4" w:lineRule="exact"/>
        <w:rPr>
          <w:rFonts w:ascii="Arial" w:cs="Arial" w:eastAsia="Arial" w:hAnsi="Arial"/>
          <w:sz w:val="19"/>
          <w:szCs w:val="19"/>
          <w:color w:val="auto"/>
        </w:rPr>
      </w:pPr>
    </w:p>
    <w:p>
      <w:pPr>
        <w:jc w:val="both"/>
        <w:ind w:firstLine="1505"/>
        <w:spacing w:after="0" w:line="282" w:lineRule="auto"/>
        <w:tabs>
          <w:tab w:leader="none" w:pos="19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will have the right to make Benchmark Replacement Conforming Changes from time to time, in consultation with the Borrower,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1" w:lineRule="exact"/>
        <w:rPr>
          <w:rFonts w:ascii="Arial" w:cs="Arial" w:eastAsia="Arial" w:hAnsi="Arial"/>
          <w:sz w:val="18"/>
          <w:szCs w:val="18"/>
          <w:color w:val="auto"/>
        </w:rPr>
      </w:pPr>
    </w:p>
    <w:p>
      <w:pPr>
        <w:jc w:val="both"/>
        <w:ind w:firstLine="1505"/>
        <w:spacing w:after="0" w:line="242" w:lineRule="auto"/>
        <w:tabs>
          <w:tab w:leader="none" w:pos="1985"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505"/>
        <w:spacing w:after="0" w:line="246" w:lineRule="auto"/>
        <w:tabs>
          <w:tab w:leader="none" w:pos="202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3" w:name="page164"/>
    <w:bookmarkEnd w:id="163"/>
    <w:p>
      <w:pPr>
        <w:jc w:val="both"/>
        <w:spacing w:after="0" w:line="242" w:lineRule="auto"/>
        <w:rPr>
          <w:sz w:val="20"/>
          <w:szCs w:val="20"/>
          <w:color w:val="auto"/>
        </w:rPr>
      </w:pPr>
      <w:r>
        <w:rPr>
          <w:rFonts w:ascii="Arial" w:cs="Arial" w:eastAsia="Arial" w:hAnsi="Arial"/>
          <w:sz w:val="20"/>
          <w:szCs w:val="20"/>
          <w:color w:val="auto"/>
        </w:rPr>
        <w:t>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7" w:lineRule="exact"/>
        <w:rPr>
          <w:sz w:val="20"/>
          <w:szCs w:val="20"/>
          <w:color w:val="auto"/>
        </w:rPr>
      </w:pPr>
    </w:p>
    <w:p>
      <w:pPr>
        <w:jc w:val="both"/>
        <w:ind w:firstLine="1505"/>
        <w:spacing w:after="0" w:line="268" w:lineRule="auto"/>
        <w:tabs>
          <w:tab w:leader="none" w:pos="19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Term Benchmark Loan of, conversion to or continuation of Term Benchmark Loans to be made, converted or continued during any Benchmark Unavailability Period and, failing that, either (x) the Borrower will be deemed to have converted any request for a Term Benchmark Borrowing into a request for a Borrowing of or conversion to a Base Rate Loan.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is outstanding on the date of the Borrower’s receipt of notice of the commencement of a Benchmark Unavailability Period with respect to the Benchmark applicable to such Term Benchmark Loan, then until such time as a</w:t>
      </w:r>
    </w:p>
    <w:p>
      <w:pPr>
        <w:spacing w:after="0" w:line="2" w:lineRule="exact"/>
        <w:rPr>
          <w:rFonts w:ascii="Arial" w:cs="Arial" w:eastAsia="Arial" w:hAnsi="Arial"/>
          <w:sz w:val="18"/>
          <w:szCs w:val="18"/>
          <w:color w:val="auto"/>
        </w:rPr>
      </w:pPr>
    </w:p>
    <w:p>
      <w:pPr>
        <w:jc w:val="both"/>
        <w:spacing w:after="0" w:line="241" w:lineRule="auto"/>
        <w:rPr>
          <w:rFonts w:ascii="Arial" w:cs="Arial" w:eastAsia="Arial" w:hAnsi="Arial"/>
          <w:sz w:val="18"/>
          <w:szCs w:val="18"/>
          <w:color w:val="auto"/>
        </w:rPr>
      </w:pPr>
      <w:r>
        <w:rPr>
          <w:rFonts w:ascii="Arial" w:cs="Arial" w:eastAsia="Arial" w:hAnsi="Arial"/>
          <w:sz w:val="20"/>
          <w:szCs w:val="20"/>
          <w:color w:val="auto"/>
        </w:rPr>
        <w:t>Benchmark Replacement is implemented pursuant to this Section‎ 3.03, any Term Benchmark Loan shall on the last day of the Interest Period applicable to such Loan (or the next succeeding Business Day if such day is not a Business Day) be converted by the Administrative Agent to, and shall constitute a Base Rate Loan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-318770</wp:posOffset>
            </wp:positionV>
            <wp:extent cx="6299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9920" cy="8255"/>
                    </a:xfrm>
                    <a:prstGeom prst="rect">
                      <a:avLst/>
                    </a:prstGeom>
                    <a:noFill/>
                  </pic:spPr>
                </pic:pic>
              </a:graphicData>
            </a:graphic>
          </wp:anchor>
        </w:drawing>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3.04  Increased Cost and Reduced Return; Capital Adequacy.</w:t>
      </w:r>
    </w:p>
    <w:p>
      <w:pPr>
        <w:spacing w:after="0" w:line="216" w:lineRule="exact"/>
        <w:rPr>
          <w:sz w:val="20"/>
          <w:szCs w:val="20"/>
          <w:color w:val="auto"/>
        </w:rPr>
      </w:pPr>
    </w:p>
    <w:p>
      <w:pPr>
        <w:jc w:val="both"/>
        <w:ind w:firstLine="1505"/>
        <w:spacing w:after="0" w:line="273" w:lineRule="auto"/>
        <w:tabs>
          <w:tab w:leader="none" w:pos="19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any Lender reasonably determines that as a result of the introduction of or any change in or in the interpretation of any Law, in each case after the Closing Date, or such Lender’s compliance therewith, there shall be any increase in the cost to such Lender of agreeing to make or making, funding or maintaining any Loan the interest on which is determined by reference to the Term SOFR Rate, or a reduction in the amount received or receivable by such Lender in connection with any of the foregoing (excluding for purposes of this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any such increased costs or reduction in amount resulting from any Tax that is an Excluded Tax or any Non-Excluded Taxes or Other Taxes indemnifiable under Section 3.01), then from time to time within fifteen (15) days after demand of such Lender setting forth in reasonable detail such increased costs (with a copy of such demand to the Administrative Agent given in accordance with </w:t>
      </w:r>
      <w:r>
        <w:rPr>
          <w:rFonts w:ascii="Arial" w:cs="Arial" w:eastAsia="Arial" w:hAnsi="Arial"/>
          <w:sz w:val="18"/>
          <w:szCs w:val="18"/>
          <w:u w:val="single" w:color="auto"/>
          <w:color w:val="auto"/>
        </w:rPr>
        <w:t>Section 3.06</w:t>
      </w:r>
      <w:r>
        <w:rPr>
          <w:rFonts w:ascii="Arial" w:cs="Arial" w:eastAsia="Arial" w:hAnsi="Arial"/>
          <w:sz w:val="18"/>
          <w:szCs w:val="18"/>
          <w:color w:val="auto"/>
        </w:rPr>
        <w:t>), the Borrower shall pay to such Lender such additional amounts as will compensate such Lender for such increased cost or reduction.</w:t>
      </w:r>
    </w:p>
    <w:p>
      <w:pPr>
        <w:spacing w:after="0" w:line="168" w:lineRule="exact"/>
        <w:rPr>
          <w:rFonts w:ascii="Arial" w:cs="Arial" w:eastAsia="Arial" w:hAnsi="Arial"/>
          <w:sz w:val="18"/>
          <w:szCs w:val="18"/>
          <w:color w:val="auto"/>
        </w:rPr>
      </w:pPr>
    </w:p>
    <w:p>
      <w:pPr>
        <w:jc w:val="both"/>
        <w:ind w:firstLine="1505"/>
        <w:spacing w:after="0" w:line="257" w:lineRule="auto"/>
        <w:tabs>
          <w:tab w:leader="none" w:pos="20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If any Lender determines that the introduction of any Law regarding capital adequacy or liquidity or any change therein or in the interpretation thereof, in each case after the Closing Date,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and liquidity and such Lender’s desired return on capital), then from time to time within fifteen (15) days after demand of such Lender setting forth in reasonable detail the charge and the calculation of such reduced rate of return (with a copy of such demand to the Administrative Agent given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3.06</w:t>
      </w:r>
      <w:r>
        <w:rPr>
          <w:rFonts w:ascii="Arial" w:cs="Arial" w:eastAsia="Arial" w:hAnsi="Arial"/>
          <w:sz w:val="19"/>
          <w:szCs w:val="19"/>
          <w:color w:val="auto"/>
        </w:rPr>
        <w:t>), the Borrower shall pay to such Lender such additional amounts as will compensate such Lender for such reduction within ten (10) days after receipt of demand therefor.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4" w:name="page165"/>
    <w:bookmarkEnd w:id="164"/>
    <w:p>
      <w:pPr>
        <w:jc w:val="both"/>
        <w:ind w:firstLine="1505"/>
        <w:spacing w:after="0" w:line="282" w:lineRule="auto"/>
        <w:tabs>
          <w:tab w:leader="none" w:pos="1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Borrower shall not be required to compensate a Lender pursuant to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such increased cost or reduction incurred more than one hundred and eighty (180) days prior to the date that such Lender demands, or notifies the Borrower of its intention to demand,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circumstance giving rise to such increased cost or reduction is retroactive, then such 180 day period referred to above shall be extended to include the period of retroactive effect thereof.</w:t>
      </w:r>
    </w:p>
    <w:p>
      <w:pPr>
        <w:spacing w:after="0" w:line="161" w:lineRule="exact"/>
        <w:rPr>
          <w:rFonts w:ascii="Arial" w:cs="Arial" w:eastAsia="Arial" w:hAnsi="Arial"/>
          <w:sz w:val="18"/>
          <w:szCs w:val="18"/>
          <w:color w:val="auto"/>
        </w:rPr>
      </w:pPr>
    </w:p>
    <w:p>
      <w:pPr>
        <w:jc w:val="both"/>
        <w:ind w:firstLine="1505"/>
        <w:spacing w:after="0" w:line="278" w:lineRule="auto"/>
        <w:tabs>
          <w:tab w:leader="none" w:pos="199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then such Lender will, if requested by the Borrower and at the Borrower’s expense, use commercially reasonable efforts to designate another Lending Office for any Loan affected by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efforts would not, in the judgment of such Lender, be inconsistent with the internal policies of, or otherwise be disadvantageous in any material legal, economic or regulatory respect to such Lender or its Lending Office. The provisions of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shall not affect or postpone any Obligations of the Borrower or rights of such Lender pursuant to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1505"/>
        <w:spacing w:after="0" w:line="278" w:lineRule="auto"/>
        <w:tabs>
          <w:tab w:leader="none" w:pos="200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(i) the Dodd-Frank Wall Street Reform and Consumer Protection Act and all requests, rules, regulations,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have gone into effect after the Closing Date, regardless of the date enacted, adopted or issued.</w:t>
      </w:r>
    </w:p>
    <w:p>
      <w:pPr>
        <w:spacing w:after="0" w:line="16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3.05 Funding Losses. Upon written demand of any Lender (with a copy to the Administrative Agent) from time to time, setting forth in reasonable detail the basis for calculating such compensation, the Borrower shall promptly compensate such Lender for and hold such Lender harmless from any loss, cost or expense incurred by it as a result of:</w:t>
      </w:r>
    </w:p>
    <w:p>
      <w:pPr>
        <w:spacing w:after="0" w:line="186" w:lineRule="exact"/>
        <w:rPr>
          <w:sz w:val="20"/>
          <w:szCs w:val="20"/>
          <w:color w:val="auto"/>
        </w:rPr>
      </w:pPr>
    </w:p>
    <w:p>
      <w:pPr>
        <w:ind w:firstLine="1505"/>
        <w:spacing w:after="0" w:line="316" w:lineRule="auto"/>
        <w:tabs>
          <w:tab w:leader="none" w:pos="19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9" w:lineRule="exact"/>
        <w:rPr>
          <w:rFonts w:ascii="Arial" w:cs="Arial" w:eastAsia="Arial" w:hAnsi="Arial"/>
          <w:sz w:val="18"/>
          <w:szCs w:val="18"/>
          <w:color w:val="auto"/>
        </w:rPr>
      </w:pPr>
    </w:p>
    <w:p>
      <w:pPr>
        <w:ind w:firstLine="1505"/>
        <w:spacing w:after="0" w:line="287" w:lineRule="auto"/>
        <w:tabs>
          <w:tab w:leader="none" w:pos="199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52" w:lineRule="exact"/>
        <w:rPr>
          <w:rFonts w:ascii="Arial" w:cs="Arial" w:eastAsia="Arial" w:hAnsi="Arial"/>
          <w:sz w:val="19"/>
          <w:szCs w:val="19"/>
          <w:color w:val="auto"/>
        </w:rPr>
      </w:pPr>
    </w:p>
    <w:p>
      <w:pPr>
        <w:ind w:firstLine="1505"/>
        <w:spacing w:after="0" w:line="260" w:lineRule="auto"/>
        <w:tabs>
          <w:tab w:leader="none" w:pos="198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any mandatory assignment of such Lender’s Loans (other than Base Rate Loans) pursuant to </w:t>
      </w:r>
      <w:r>
        <w:rPr>
          <w:rFonts w:ascii="Arial" w:cs="Arial" w:eastAsia="Arial" w:hAnsi="Arial"/>
          <w:sz w:val="20"/>
          <w:szCs w:val="20"/>
          <w:u w:val="single" w:color="auto"/>
          <w:color w:val="auto"/>
        </w:rPr>
        <w:t>Section 3.07</w:t>
      </w:r>
      <w:r>
        <w:rPr>
          <w:rFonts w:ascii="Arial" w:cs="Arial" w:eastAsia="Arial" w:hAnsi="Arial"/>
          <w:sz w:val="20"/>
          <w:szCs w:val="20"/>
          <w:color w:val="auto"/>
        </w:rPr>
        <w:t xml:space="preserve"> on a day other than the last day of the Interest Period for such Loans;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including any loss or expense arising from the liquidation or reemployment of funds obtained by it to maintain such Loan or from fees payable to terminate the deposits from which such funds were obtained, but excluding any such loss for which no reasonable means of calculation exist, as set forth in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3.06  Matters Applicable to All Requests for Compensation.</w:t>
      </w:r>
    </w:p>
    <w:p>
      <w:pPr>
        <w:spacing w:after="0" w:line="216" w:lineRule="exact"/>
        <w:rPr>
          <w:sz w:val="20"/>
          <w:szCs w:val="20"/>
          <w:color w:val="auto"/>
        </w:rPr>
      </w:pPr>
    </w:p>
    <w:p>
      <w:pPr>
        <w:jc w:val="both"/>
        <w:ind w:firstLine="1505"/>
        <w:spacing w:after="0" w:line="250" w:lineRule="auto"/>
        <w:tabs>
          <w:tab w:leader="none" w:pos="1979"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A certificate of any Agent or any Lender claiming compensation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setting forth the additional amount or amounts to be paid to it hereunder shall be conclusive in the absence of manifest error. In determining such amount, such Agent or such Lender may use any reasonable averaging and attribution methods.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5" w:name="page166"/>
    <w:bookmarkEnd w:id="165"/>
    <w:p>
      <w:pPr>
        <w:jc w:val="both"/>
        <w:ind w:firstLine="1505"/>
        <w:spacing w:after="0" w:line="242" w:lineRule="auto"/>
        <w:tabs>
          <w:tab w:leader="none" w:pos="199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With respect to any Lender’s claim for compensation under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 giving rise to such claim is retroactive, then such 180 day period referred to above shall be extended to include the period of retroactive effect thereof. If any Lender requests compensation by the Borrower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the Borrower may, by notice to such Lender (with a copy to the Administrative Agent), suspend the obligation of such Lender to make or continue from one Interest Period to another Term Benchmark Loans, or to convert Base Rate Loans into Term Benchmark Loans, until the event or condition giving rise to such request ceases to be in effect (in which case the provisions of </w:t>
      </w:r>
      <w:r>
        <w:rPr>
          <w:rFonts w:ascii="Arial" w:cs="Arial" w:eastAsia="Arial" w:hAnsi="Arial"/>
          <w:sz w:val="20"/>
          <w:szCs w:val="20"/>
          <w:u w:val="single" w:color="auto"/>
          <w:color w:val="auto"/>
        </w:rPr>
        <w:t>Section 3.06(c)</w:t>
      </w:r>
      <w:r>
        <w:rPr>
          <w:rFonts w:ascii="Arial" w:cs="Arial" w:eastAsia="Arial" w:hAnsi="Arial"/>
          <w:sz w:val="20"/>
          <w:szCs w:val="20"/>
          <w:color w:val="auto"/>
        </w:rPr>
        <w:t xml:space="preserve"> shall be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that such suspension shall not affect the right of such Lender to receive the compensation so requested.</w:t>
      </w:r>
    </w:p>
    <w:p>
      <w:pPr>
        <w:spacing w:after="0" w:line="194" w:lineRule="exact"/>
        <w:rPr>
          <w:rFonts w:ascii="Arial" w:cs="Arial" w:eastAsia="Arial" w:hAnsi="Arial"/>
          <w:sz w:val="20"/>
          <w:szCs w:val="20"/>
          <w:color w:val="auto"/>
        </w:rPr>
      </w:pPr>
    </w:p>
    <w:p>
      <w:pPr>
        <w:jc w:val="both"/>
        <w:ind w:firstLine="1505"/>
        <w:spacing w:after="0" w:line="243" w:lineRule="auto"/>
        <w:tabs>
          <w:tab w:leader="none" w:pos="198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If the obligation of any Lender to make or continue from one Interest Period to another any Term Benchmark Loan, or to convert Base Rate Loans into Term Benchmark Loans shall be suspended pursuant to </w:t>
      </w:r>
      <w:r>
        <w:rPr>
          <w:rFonts w:ascii="Arial" w:cs="Arial" w:eastAsia="Arial" w:hAnsi="Arial"/>
          <w:sz w:val="20"/>
          <w:szCs w:val="20"/>
          <w:u w:val="single" w:color="auto"/>
          <w:color w:val="auto"/>
        </w:rPr>
        <w:t>Section 3.06(b)</w:t>
      </w:r>
      <w:r>
        <w:rPr>
          <w:rFonts w:ascii="Arial" w:cs="Arial" w:eastAsia="Arial" w:hAnsi="Arial"/>
          <w:sz w:val="20"/>
          <w:szCs w:val="20"/>
          <w:color w:val="auto"/>
        </w:rPr>
        <w:t xml:space="preserve"> hereof, such Lender’s Term Benchmark Loans shall be automatically converted into Base Rate Loans on the last day(s) of the then current Interest Period(s) for such Term Benchmark Loans (or, in the case of an immediate conversion required by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on such earlier date as required by Law) and, unless and until such Lender gives notice as provided below that the circumstances specified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hereof that gave rise to such conversion no longer exist:</w:t>
      </w:r>
    </w:p>
    <w:p>
      <w:pPr>
        <w:spacing w:after="0" w:line="195" w:lineRule="exact"/>
        <w:rPr>
          <w:rFonts w:ascii="Arial" w:cs="Arial" w:eastAsia="Arial" w:hAnsi="Arial"/>
          <w:sz w:val="20"/>
          <w:szCs w:val="20"/>
          <w:color w:val="auto"/>
        </w:rPr>
      </w:pPr>
    </w:p>
    <w:p>
      <w:pPr>
        <w:jc w:val="both"/>
        <w:ind w:left="760" w:firstLine="1494"/>
        <w:spacing w:after="0" w:line="250" w:lineRule="auto"/>
        <w:tabs>
          <w:tab w:leader="none" w:pos="2784"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to the extent that such Lender’s Term Benchmark Loans have been so converted, all payments and prepayments of principal that would otherwise be applied to such Lender’s Term Benchmark Loans shall be applied instead to its Base Rate Loans; and</w:t>
      </w:r>
    </w:p>
    <w:p>
      <w:pPr>
        <w:spacing w:after="0" w:line="185" w:lineRule="exact"/>
        <w:rPr>
          <w:rFonts w:ascii="Arial" w:cs="Arial" w:eastAsia="Arial" w:hAnsi="Arial"/>
          <w:sz w:val="20"/>
          <w:szCs w:val="20"/>
          <w:color w:val="auto"/>
        </w:rPr>
      </w:pPr>
    </w:p>
    <w:p>
      <w:pPr>
        <w:jc w:val="both"/>
        <w:ind w:left="760" w:firstLine="1494"/>
        <w:spacing w:after="0" w:line="269" w:lineRule="auto"/>
        <w:tabs>
          <w:tab w:leader="none" w:pos="2751" w:val="left"/>
        </w:tabs>
        <w:numPr>
          <w:ilvl w:val="1"/>
          <w:numId w:val="159"/>
        </w:numPr>
        <w:rPr>
          <w:rFonts w:ascii="Arial" w:cs="Arial" w:eastAsia="Arial" w:hAnsi="Arial"/>
          <w:sz w:val="19"/>
          <w:szCs w:val="19"/>
          <w:color w:val="auto"/>
        </w:rPr>
      </w:pPr>
      <w:r>
        <w:rPr>
          <w:rFonts w:ascii="Arial" w:cs="Arial" w:eastAsia="Arial" w:hAnsi="Arial"/>
          <w:sz w:val="19"/>
          <w:szCs w:val="19"/>
          <w:color w:val="auto"/>
        </w:rPr>
        <w:t>all Loans that would otherwise be made or continued from one Interest Period to another by such Lender as Term Benchmark Loans shall be made or continued instead as Base Rate Loans, and all Base Rate Loans of such Lender that would otherwise be converted into Term Benchmark Loans shall remain as Base Rate Loans.</w:t>
      </w:r>
    </w:p>
    <w:p>
      <w:pPr>
        <w:spacing w:after="0" w:line="169" w:lineRule="exact"/>
        <w:rPr>
          <w:rFonts w:ascii="Arial" w:cs="Arial" w:eastAsia="Arial" w:hAnsi="Arial"/>
          <w:sz w:val="19"/>
          <w:szCs w:val="19"/>
          <w:color w:val="auto"/>
        </w:rPr>
      </w:pPr>
    </w:p>
    <w:p>
      <w:pPr>
        <w:jc w:val="both"/>
        <w:ind w:firstLine="1505"/>
        <w:spacing w:after="0" w:line="257" w:lineRule="auto"/>
        <w:tabs>
          <w:tab w:leader="none" w:pos="199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If any Lender gives notice to the Borrower (with a copy to the Agent) that the circumstances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hereof that gave rise to the conversion of such Lender’s Term Benchmark Loans pursuant to this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no longer exist (which such Lender agrees to do promptly upon such circumstances ceasing to exist) at a time when Term Benchmark Loans made by other Lenders are outstanding, such Lender’s Base Rate Loans shall be automatically converted, on the first day(s) of the next succeeding Interest Period(s) for such outstanding Term Benchmark Loans, to the extent necessary so that, after giving effect thereto, all Loans held by the Lenders holding Term Benchmark Loans and by such Lender are held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(as to principal amounts, interest rate basis, and Interest Periods) in accordance with their respective Commitments.</w:t>
      </w:r>
    </w:p>
    <w:p>
      <w:pPr>
        <w:spacing w:after="0" w:line="184" w:lineRule="exact"/>
        <w:rPr>
          <w:rFonts w:ascii="Arial" w:cs="Arial" w:eastAsia="Arial" w:hAnsi="Arial"/>
          <w:sz w:val="19"/>
          <w:szCs w:val="19"/>
          <w:color w:val="auto"/>
        </w:rPr>
      </w:pPr>
    </w:p>
    <w:p>
      <w:pPr>
        <w:jc w:val="both"/>
        <w:ind w:firstLine="1505"/>
        <w:spacing w:after="0" w:line="250" w:lineRule="auto"/>
        <w:tabs>
          <w:tab w:leader="none" w:pos="199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 Lender shall not be entitled to any compensation pursuant to the foregoing sections to the extent such Lender is not imposing such charges or requesting such compensation from borrowers (similarly situated to the Borrower hereunder) under comparable syndicated credit facilities.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3.07  Replacement of Lenders Under Certain Circumstances.</w:t>
      </w:r>
    </w:p>
    <w:p>
      <w:pPr>
        <w:spacing w:after="0" w:line="216" w:lineRule="exact"/>
        <w:rPr>
          <w:sz w:val="20"/>
          <w:szCs w:val="20"/>
          <w:color w:val="auto"/>
        </w:rPr>
      </w:pPr>
    </w:p>
    <w:p>
      <w:pPr>
        <w:jc w:val="both"/>
        <w:ind w:firstLine="1505"/>
        <w:spacing w:after="0" w:line="260" w:lineRule="auto"/>
        <w:tabs>
          <w:tab w:leader="none" w:pos="199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If at any time (i) the Borrower becomes obligated to pay additional amounts or indemnity payments described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a result of any condition described in such Sections or any Lender ceases to make Term Benchmark Loans as a result of any condition described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(ii) any Lender becomes a Defaulting Lender or (iii) any Lender becomes a “Non-Consenting Lender” (as defined below in this </w:t>
      </w:r>
      <w:r>
        <w:rPr>
          <w:rFonts w:ascii="Arial" w:cs="Arial" w:eastAsia="Arial" w:hAnsi="Arial"/>
          <w:sz w:val="19"/>
          <w:szCs w:val="19"/>
          <w:u w:val="single" w:color="auto"/>
          <w:color w:val="auto"/>
        </w:rPr>
        <w:t>Section 3.07</w:t>
      </w:r>
      <w:r>
        <w:rPr>
          <w:rFonts w:ascii="Arial" w:cs="Arial" w:eastAsia="Arial" w:hAnsi="Arial"/>
          <w:sz w:val="19"/>
          <w:szCs w:val="19"/>
          <w:color w:val="auto"/>
        </w:rPr>
        <w:t>), then the Borrower may, on three (3) Business Days’ prior written notice to the Administrative Agent and such Lender (for the avoidance of doubt, such notice shall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6" w:name="page167"/>
    <w:bookmarkEnd w:id="166"/>
    <w:p>
      <w:pPr>
        <w:jc w:val="both"/>
        <w:spacing w:after="0" w:line="282" w:lineRule="auto"/>
        <w:rPr>
          <w:sz w:val="20"/>
          <w:szCs w:val="20"/>
          <w:color w:val="auto"/>
        </w:rPr>
      </w:pPr>
      <w:r>
        <w:rPr>
          <w:rFonts w:ascii="Arial" w:cs="Arial" w:eastAsia="Arial" w:hAnsi="Arial"/>
          <w:sz w:val="18"/>
          <w:szCs w:val="18"/>
          <w:color w:val="auto"/>
        </w:rPr>
        <w:t xml:space="preserve">be deemed provided on the same day that an amendment or waiver is posted to the Lenders for consent), replace such Lender by causing such Lender to (and such Lender shall be obligated to) assign pursuant to </w:t>
      </w:r>
      <w:r>
        <w:rPr>
          <w:rFonts w:ascii="Arial" w:cs="Arial" w:eastAsia="Arial" w:hAnsi="Arial"/>
          <w:sz w:val="18"/>
          <w:szCs w:val="18"/>
          <w:u w:val="single" w:color="auto"/>
          <w:color w:val="auto"/>
        </w:rPr>
        <w:t>Section 10.07(b)</w:t>
      </w:r>
      <w:r>
        <w:rPr>
          <w:rFonts w:ascii="Arial" w:cs="Arial" w:eastAsia="Arial" w:hAnsi="Arial"/>
          <w:sz w:val="18"/>
          <w:szCs w:val="18"/>
          <w:color w:val="auto"/>
        </w:rPr>
        <w:t xml:space="preserve"> (with the assignment fee to be paid by the Borrower in such instance) all of its rights and obligations under this Agreement to one or more Eligible Assignees; </w:t>
      </w:r>
      <w:r>
        <w:rPr>
          <w:rFonts w:ascii="Arial" w:cs="Arial" w:eastAsia="Arial" w:hAnsi="Arial"/>
          <w:sz w:val="18"/>
          <w:szCs w:val="18"/>
          <w:u w:val="single" w:color="auto"/>
          <w:color w:val="auto"/>
        </w:rPr>
        <w:t>provided</w:t>
      </w:r>
      <w:r>
        <w:rPr>
          <w:rFonts w:ascii="Arial" w:cs="Arial" w:eastAsia="Arial" w:hAnsi="Arial"/>
          <w:sz w:val="18"/>
          <w:szCs w:val="18"/>
          <w:color w:val="auto"/>
        </w:rPr>
        <w:t>, that neither the Administrative Agent nor any Lender shall have any obligation to the Borrower to find a replacement Lender or other such Person.</w:t>
      </w:r>
    </w:p>
    <w:p>
      <w:pPr>
        <w:spacing w:after="0" w:line="161" w:lineRule="exact"/>
        <w:rPr>
          <w:sz w:val="20"/>
          <w:szCs w:val="20"/>
          <w:color w:val="auto"/>
        </w:rPr>
      </w:pPr>
    </w:p>
    <w:p>
      <w:pPr>
        <w:jc w:val="both"/>
        <w:ind w:firstLine="1505"/>
        <w:spacing w:after="0" w:line="254" w:lineRule="auto"/>
        <w:tabs>
          <w:tab w:leader="none" w:pos="201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Any Lender being replaced pursuant to </w:t>
      </w:r>
      <w:r>
        <w:rPr>
          <w:rFonts w:ascii="Arial" w:cs="Arial" w:eastAsia="Arial" w:hAnsi="Arial"/>
          <w:sz w:val="19"/>
          <w:szCs w:val="19"/>
          <w:u w:val="single" w:color="auto"/>
          <w:color w:val="auto"/>
        </w:rPr>
        <w:t>Section 3.07(a)</w:t>
      </w:r>
      <w:r>
        <w:rPr>
          <w:rFonts w:ascii="Arial" w:cs="Arial" w:eastAsia="Arial" w:hAnsi="Arial"/>
          <w:sz w:val="19"/>
          <w:szCs w:val="19"/>
          <w:color w:val="auto"/>
        </w:rPr>
        <w:t xml:space="preserve"> above shall (i) execute and deliver an Assignment and Assumption with respect to such Lender’s Commitment and outstanding Loans, and (ii) deliver any Notes evidencing such Loans to the Borrower or Administrative Agent. Pursuant to such Assignment and Assumption, (A) the assignee Lender shall acquire all or a portion, as the case may be, of the assigning Lender’s Commitment and outstanding Loans, (B) all obligations of the Borrower owing to the assigning Lender relating to the Loans and participations so assigned shall be paid in full by the assignee Lender to such assigning Lender concurrently with such assignment and assumption and (C) upon such payment and, if so requested by the assignee Lender, delivery to the assignee Lender of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does not execute and deliver to the Administrative Agent a duly executed Assignment and Assumption reflecting such replacement within five (5) Business Days of the date on which the assignee Lender executes and delivers such Assignment and Assumption to such Non-Consenting Lender, then such Non-Consenting Lender shall be deemed to have executed and delivered such Assignment and Assumption without any action on the part of the Non-Consenting Lender. In connection with the replacement of any Lender pursuant to </w:t>
      </w:r>
      <w:r>
        <w:rPr>
          <w:rFonts w:ascii="Arial" w:cs="Arial" w:eastAsia="Arial" w:hAnsi="Arial"/>
          <w:sz w:val="19"/>
          <w:szCs w:val="19"/>
          <w:u w:val="single" w:color="auto"/>
          <w:color w:val="auto"/>
        </w:rPr>
        <w:t>Section 3.07(a)</w:t>
      </w:r>
      <w:r>
        <w:rPr>
          <w:rFonts w:ascii="Arial" w:cs="Arial" w:eastAsia="Arial" w:hAnsi="Arial"/>
          <w:sz w:val="19"/>
          <w:szCs w:val="19"/>
          <w:color w:val="auto"/>
        </w:rPr>
        <w:t xml:space="preserve"> above, the Borrower shall pay to such Lender such amounts as may be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firstLine="1505"/>
        <w:spacing w:after="0" w:line="260" w:lineRule="auto"/>
        <w:tabs>
          <w:tab w:leader="none" w:pos="1982"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above, the Lender that acts as the Administrative Agent may not be replaced hereunder except in accordance with the terms of </w:t>
      </w:r>
      <w:r>
        <w:rPr>
          <w:rFonts w:ascii="Arial" w:cs="Arial" w:eastAsia="Arial" w:hAnsi="Arial"/>
          <w:sz w:val="20"/>
          <w:szCs w:val="20"/>
          <w:u w:val="single" w:color="auto"/>
          <w:color w:val="auto"/>
        </w:rPr>
        <w:t>Section 9.09</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505"/>
        <w:spacing w:after="0" w:line="232" w:lineRule="exact"/>
        <w:tabs>
          <w:tab w:leader="none" w:pos="198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 the event that (i) the Borrower or the Administrative Agent has requested the Lenders to consent to a departure or waiver of any provisions of the Loan Documents or to agree to any amendment thereto, (ii) the consent, waiver or amendment in question requires the agreement of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all the Lenders with respect to a certain class of the Loans and (iii) the Required Lenders have agreed to such consent, waiver or amendment, then any Lender who does not agree to such consent, waiver or amendment shall be deemed a “</w:t>
      </w:r>
      <w:r>
        <w:rPr>
          <w:rFonts w:ascii="Arial" w:cs="Arial" w:eastAsia="Arial" w:hAnsi="Arial"/>
          <w:sz w:val="18"/>
          <w:szCs w:val="18"/>
          <w:b w:val="1"/>
          <w:bCs w:val="1"/>
          <w:i w:val="1"/>
          <w:iCs w:val="1"/>
          <w:color w:val="auto"/>
        </w:rPr>
        <w:t>Non-Consenting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“Non</w:t>
      </w:r>
      <w:r>
        <w:rPr>
          <w:rFonts w:ascii="MS PGothic" w:cs="MS PGothic" w:eastAsia="MS PGothic" w:hAnsi="MS PGothic"/>
          <w:sz w:val="18"/>
          <w:szCs w:val="18"/>
          <w:color w:val="auto"/>
        </w:rPr>
        <w:t>‑</w:t>
      </w:r>
      <w:r>
        <w:rPr>
          <w:rFonts w:ascii="Arial" w:cs="Arial" w:eastAsia="Arial" w:hAnsi="Arial"/>
          <w:sz w:val="18"/>
          <w:szCs w:val="18"/>
          <w:color w:val="auto"/>
        </w:rPr>
        <w:t>Consenting Lender” shall also include any Lender that (x) rejects (or is deemed to reject) an Extension under Section 2.15, which Extension has been accepted by at least the Majority Lenders of the respective Tranche of Loans whose Loans and/or Commitments are to be extended pursuant to such Extension and (y) does not elect to become a lender in respect of any Specified Refinancing Debt pursuant to Section 2.19. For the avoidance of doubt, if any applicable Lender shall be deemed a Non</w:t>
      </w:r>
      <w:r>
        <w:rPr>
          <w:rFonts w:ascii="MS PGothic" w:cs="MS PGothic" w:eastAsia="MS PGothic" w:hAnsi="MS PGothic"/>
          <w:sz w:val="18"/>
          <w:szCs w:val="18"/>
          <w:color w:val="auto"/>
        </w:rPr>
        <w:t>‑</w:t>
      </w:r>
      <w:r>
        <w:rPr>
          <w:rFonts w:ascii="Arial" w:cs="Arial" w:eastAsia="Arial" w:hAnsi="Arial"/>
          <w:sz w:val="18"/>
          <w:szCs w:val="18"/>
          <w:color w:val="auto"/>
        </w:rPr>
        <w:t>Consenting Lender and is required to assign all or any portion of its Initial Term Loans or its Initial Term Loans are prepaid by the Borrower, pursuant to Section 3.07(a) on or prior to the date that is 6 months after the Closing Date in connection with any such waiver, amendment or modification constituting a Repricing Transaction, the Borrower shall pay such Non</w:t>
      </w:r>
      <w:r>
        <w:rPr>
          <w:rFonts w:ascii="MS PGothic" w:cs="MS PGothic" w:eastAsia="MS PGothic" w:hAnsi="MS PGothic"/>
          <w:sz w:val="18"/>
          <w:szCs w:val="18"/>
          <w:color w:val="auto"/>
        </w:rPr>
        <w:t>‑</w:t>
      </w:r>
      <w:r>
        <w:rPr>
          <w:rFonts w:ascii="Arial" w:cs="Arial" w:eastAsia="Arial" w:hAnsi="Arial"/>
          <w:sz w:val="18"/>
          <w:szCs w:val="18"/>
          <w:color w:val="auto"/>
        </w:rPr>
        <w:t>Consenting Lender a fee equal to 1.00% of the principal amount of the Initial Term Loans so assigned or prepaid.</w:t>
      </w:r>
    </w:p>
    <w:p>
      <w:pPr>
        <w:spacing w:after="0" w:line="196"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3.08 Survival. All of the Loan Parties’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Commitments and repayment of all other Obligations hereunder and resignation of the Administrative Agent.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2"/>
          <w:szCs w:val="22"/>
          <w:color w:val="auto"/>
        </w:rPr>
        <w:t>ARTICLE IV</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CONDITIONS PRECEDENT</w:t>
      </w:r>
    </w:p>
    <w:p>
      <w:pPr>
        <w:spacing w:after="0" w:line="200"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4.01 Conditions to the Initial Credit Extension on the Closing Date. The obligation of each Lender to make its initial Credit Extension hereunder on the Closing Date is subject to satisfaction or due waiver by the Arrangers of each of the following conditions precedent:</w:t>
      </w:r>
    </w:p>
    <w:p>
      <w:pPr>
        <w:spacing w:after="0" w:line="171" w:lineRule="exact"/>
        <w:rPr>
          <w:sz w:val="20"/>
          <w:szCs w:val="20"/>
          <w:color w:val="auto"/>
        </w:rPr>
      </w:pPr>
    </w:p>
    <w:p>
      <w:pPr>
        <w:jc w:val="both"/>
        <w:ind w:firstLine="1505"/>
        <w:spacing w:after="0" w:line="243" w:lineRule="auto"/>
        <w:tabs>
          <w:tab w:leader="none" w:pos="1988"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Administrative Agent shall have received all of the following, each of which shall be originals or facsimiles or “pdf” files (followed promptly by originals) unless otherwise specified, each properly executed by a Responsible Officer of the signing Loan Party, each dated as of the Closing Date (or, in the case of certificates of governmental officials, as of a recent date before the Closing Date), each in form and substance satisfactory to the Administrative Agent, and each accompanied by their respective required schedules and other attachments (and set forth thereon shall be all required information with respect to Holdings and the Borrowers, giving effect to the Transactions):</w:t>
      </w:r>
    </w:p>
    <w:p>
      <w:pPr>
        <w:spacing w:after="0" w:line="195" w:lineRule="exact"/>
        <w:rPr>
          <w:rFonts w:ascii="Arial" w:cs="Arial" w:eastAsia="Arial" w:hAnsi="Arial"/>
          <w:sz w:val="20"/>
          <w:szCs w:val="20"/>
          <w:color w:val="auto"/>
        </w:rPr>
      </w:pPr>
    </w:p>
    <w:p>
      <w:pPr>
        <w:jc w:val="both"/>
        <w:ind w:left="760" w:firstLine="1494"/>
        <w:spacing w:after="0" w:line="250" w:lineRule="auto"/>
        <w:tabs>
          <w:tab w:leader="none" w:pos="2748" w:val="left"/>
        </w:tabs>
        <w:numPr>
          <w:ilvl w:val="1"/>
          <w:numId w:val="162"/>
        </w:numPr>
        <w:rPr>
          <w:rFonts w:ascii="Arial" w:cs="Arial" w:eastAsia="Arial" w:hAnsi="Arial"/>
          <w:sz w:val="20"/>
          <w:szCs w:val="20"/>
          <w:color w:val="auto"/>
        </w:rPr>
      </w:pPr>
      <w:r>
        <w:rPr>
          <w:rFonts w:ascii="Arial" w:cs="Arial" w:eastAsia="Arial" w:hAnsi="Arial"/>
          <w:sz w:val="20"/>
          <w:szCs w:val="20"/>
          <w:color w:val="auto"/>
        </w:rPr>
        <w:t>executed counterparts of (A) this Agreement from Holdings and the Borrower, (B) the Holdings Guaranty from Holdings, (C) the Subsidiary Guaranty from the Subsidiary Guarantors and (D) the Intercompany Subordination Agreement from the Borrower and each Guarantor;</w:t>
      </w:r>
    </w:p>
    <w:p>
      <w:pPr>
        <w:spacing w:after="0" w:line="185" w:lineRule="exact"/>
        <w:rPr>
          <w:rFonts w:ascii="Arial" w:cs="Arial" w:eastAsia="Arial" w:hAnsi="Arial"/>
          <w:sz w:val="20"/>
          <w:szCs w:val="20"/>
          <w:color w:val="auto"/>
        </w:rPr>
      </w:pPr>
    </w:p>
    <w:p>
      <w:pPr>
        <w:jc w:val="both"/>
        <w:ind w:left="760" w:firstLine="1494"/>
        <w:spacing w:after="0" w:line="243" w:lineRule="auto"/>
        <w:tabs>
          <w:tab w:leader="none" w:pos="280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Security Agreement, duly executed by the Loan Parties, together with (1) certificates, if any, representing the Pledged Equity Interests accompanied by undated stock powers executed in blank (or stock transfer forms, as applicable) and instruments evidencing the Pledged Debt indorsed in blank (or instrument of transfer, as applicable) shall have been delivered to the Collateral Agent, (2) copies of proper financing statements, filed or duly prepared for filing under the Uniform Commercial Code in all United States jurisdictions that the Collateral Agent may deem reasonably necessary in order to perfect and protect the Liens on assets of each such Loan Party created under the Security Agreement, covering the Collateral described in the Security Agreement;</w:t>
      </w:r>
    </w:p>
    <w:p>
      <w:pPr>
        <w:spacing w:after="0" w:line="192" w:lineRule="exact"/>
        <w:rPr>
          <w:rFonts w:ascii="Arial" w:cs="Arial" w:eastAsia="Arial" w:hAnsi="Arial"/>
          <w:sz w:val="20"/>
          <w:szCs w:val="20"/>
          <w:color w:val="auto"/>
        </w:rPr>
      </w:pPr>
    </w:p>
    <w:p>
      <w:pPr>
        <w:ind w:left="760" w:firstLine="1494"/>
        <w:spacing w:after="0" w:line="260" w:lineRule="auto"/>
        <w:tabs>
          <w:tab w:leader="none" w:pos="2649"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an Intellectual Property Security Agreement, duly executed by each Loan Party that owns intellectual property that is required to be pledged in accordance with the Security Agreement;</w:t>
      </w:r>
    </w:p>
    <w:p>
      <w:pPr>
        <w:spacing w:after="0" w:line="176" w:lineRule="exact"/>
        <w:rPr>
          <w:rFonts w:ascii="Arial" w:cs="Arial" w:eastAsia="Arial" w:hAnsi="Arial"/>
          <w:sz w:val="20"/>
          <w:szCs w:val="20"/>
          <w:color w:val="auto"/>
        </w:rPr>
      </w:pPr>
    </w:p>
    <w:p>
      <w:pPr>
        <w:ind w:left="2600" w:hanging="346"/>
        <w:spacing w:after="0"/>
        <w:tabs>
          <w:tab w:leader="none" w:pos="26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 reasonably in advance of the</w:t>
      </w:r>
    </w:p>
    <w:p>
      <w:pPr>
        <w:spacing w:after="0" w:line="3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0"/>
          <w:szCs w:val="20"/>
          <w:color w:val="auto"/>
        </w:rPr>
        <w:t>Closing Date;</w:t>
      </w:r>
    </w:p>
    <w:p>
      <w:pPr>
        <w:spacing w:after="0" w:line="199" w:lineRule="exact"/>
        <w:rPr>
          <w:rFonts w:ascii="Arial" w:cs="Arial" w:eastAsia="Arial" w:hAnsi="Arial"/>
          <w:sz w:val="18"/>
          <w:szCs w:val="18"/>
          <w:color w:val="auto"/>
        </w:rPr>
      </w:pPr>
    </w:p>
    <w:p>
      <w:pPr>
        <w:ind w:left="2740" w:hanging="486"/>
        <w:spacing w:after="0"/>
        <w:tabs>
          <w:tab w:leader="none" w:pos="274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 Perfection Certificate, duly executed by each Loan Party;</w:t>
      </w:r>
    </w:p>
    <w:p>
      <w:pPr>
        <w:spacing w:after="0" w:line="215" w:lineRule="exact"/>
        <w:rPr>
          <w:rFonts w:ascii="Arial" w:cs="Arial" w:eastAsia="Arial" w:hAnsi="Arial"/>
          <w:sz w:val="20"/>
          <w:szCs w:val="20"/>
          <w:color w:val="auto"/>
        </w:rPr>
      </w:pPr>
    </w:p>
    <w:p>
      <w:pPr>
        <w:ind w:left="2580" w:hanging="326"/>
        <w:spacing w:after="0"/>
        <w:tabs>
          <w:tab w:leader="none" w:pos="258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Intercreditor Agreements, duly executed by each Loan Party;</w:t>
      </w:r>
    </w:p>
    <w:p>
      <w:pPr>
        <w:spacing w:after="0" w:line="215" w:lineRule="exact"/>
        <w:rPr>
          <w:rFonts w:ascii="Arial" w:cs="Arial" w:eastAsia="Arial" w:hAnsi="Arial"/>
          <w:sz w:val="20"/>
          <w:szCs w:val="20"/>
          <w:color w:val="auto"/>
        </w:rPr>
      </w:pPr>
    </w:p>
    <w:p>
      <w:pPr>
        <w:jc w:val="both"/>
        <w:ind w:left="760" w:firstLine="1494"/>
        <w:spacing w:after="0" w:line="246" w:lineRule="auto"/>
        <w:tabs>
          <w:tab w:leader="none" w:pos="2652"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all other documents and instruments (other than the Mortgages) required to create and perfect the Collateral Agent’s security interest in the Collateral shall have been executed by Holdings and the other Loan Parties and delivered and, if applicable, shall be in proper form for filing (including receipt of duly executed payoff letters and UCC-3 termination statements in connection with the Refinancing).</w:t>
      </w:r>
    </w:p>
    <w:p>
      <w:pPr>
        <w:spacing w:after="0" w:line="191" w:lineRule="exact"/>
        <w:rPr>
          <w:rFonts w:ascii="Arial" w:cs="Arial" w:eastAsia="Arial" w:hAnsi="Arial"/>
          <w:sz w:val="20"/>
          <w:szCs w:val="20"/>
          <w:color w:val="auto"/>
        </w:rPr>
      </w:pPr>
    </w:p>
    <w:p>
      <w:pPr>
        <w:ind w:left="2700" w:hanging="446"/>
        <w:spacing w:after="0"/>
        <w:tabs>
          <w:tab w:leader="none" w:pos="270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 Committed Loan Notice in each case relating to the initial Credit Extension;</w:t>
      </w:r>
    </w:p>
    <w:p>
      <w:pPr>
        <w:spacing w:after="0" w:line="215" w:lineRule="exact"/>
        <w:rPr>
          <w:rFonts w:ascii="Arial" w:cs="Arial" w:eastAsia="Arial" w:hAnsi="Arial"/>
          <w:sz w:val="20"/>
          <w:szCs w:val="20"/>
          <w:color w:val="auto"/>
        </w:rPr>
      </w:pPr>
    </w:p>
    <w:p>
      <w:pPr>
        <w:ind w:left="760" w:firstLine="1494"/>
        <w:spacing w:after="0" w:line="287" w:lineRule="auto"/>
        <w:tabs>
          <w:tab w:leader="none" w:pos="2641" w:val="left"/>
        </w:tabs>
        <w:numPr>
          <w:ilvl w:val="1"/>
          <w:numId w:val="162"/>
        </w:numPr>
        <w:rPr>
          <w:rFonts w:ascii="Arial" w:cs="Arial" w:eastAsia="Arial" w:hAnsi="Arial"/>
          <w:sz w:val="19"/>
          <w:szCs w:val="19"/>
          <w:color w:val="auto"/>
        </w:rPr>
      </w:pPr>
      <w:r>
        <w:rPr>
          <w:rFonts w:ascii="Arial" w:cs="Arial" w:eastAsia="Arial" w:hAnsi="Arial"/>
          <w:sz w:val="19"/>
          <w:szCs w:val="19"/>
          <w:color w:val="auto"/>
        </w:rPr>
        <w:t xml:space="preserve">a solvency certificate executed by the chief financial officer or similar officer, director or authorized signatory of the Borrower (after giving effect to the Transactions) substantially in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68" w:name="page169"/>
    <w:bookmarkEnd w:id="168"/>
    <w:p>
      <w:pPr>
        <w:jc w:val="both"/>
        <w:ind w:left="760" w:firstLine="1494"/>
        <w:spacing w:after="0" w:line="243" w:lineRule="auto"/>
        <w:tabs>
          <w:tab w:leader="none" w:pos="276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such documents and certifications (including Organization Documents and, if applicable, good standing certificates) as the Administrative Agent may reasonably require to evidence (A) the identity, authority and capacity of each Responsible Officer of the Loan Parties acting as such in connection with this Agreement and the other Loan Documents and (B) that Holdings, the Borrower and each Subsidiary Guarantor is duly organized or formed, and that each of them is validly existing and, to the extent applicable, in good standing, except to the extent that failure to be so qualified could not reasonably be expected to have a Material Adverse Effect;</w:t>
      </w:r>
    </w:p>
    <w:p>
      <w:pPr>
        <w:spacing w:after="0" w:line="195" w:lineRule="exact"/>
        <w:rPr>
          <w:rFonts w:ascii="Arial" w:cs="Arial" w:eastAsia="Arial" w:hAnsi="Arial"/>
          <w:sz w:val="20"/>
          <w:szCs w:val="20"/>
          <w:color w:val="auto"/>
        </w:rPr>
      </w:pPr>
    </w:p>
    <w:p>
      <w:pPr>
        <w:jc w:val="both"/>
        <w:ind w:left="760" w:firstLine="1494"/>
        <w:spacing w:after="0" w:line="246" w:lineRule="auto"/>
        <w:tabs>
          <w:tab w:leader="none" w:pos="2617"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 an opinion of Latham &amp; Watkins LLP, special New York counsel to Holdings, the Borrower and the Subsidiary Guarantors, addressed to each Secured Party and (B) opinions of local counsel for Holdings, the Borrower and the Subsidiary Guarantors listed on Schedule I hereto, in each case, in form and substance reasonably satisfactory to the Administrative Agent; and</w:t>
      </w:r>
    </w:p>
    <w:p>
      <w:pPr>
        <w:spacing w:after="0" w:line="191" w:lineRule="exact"/>
        <w:rPr>
          <w:rFonts w:ascii="Arial" w:cs="Arial" w:eastAsia="Arial" w:hAnsi="Arial"/>
          <w:sz w:val="20"/>
          <w:szCs w:val="20"/>
          <w:color w:val="auto"/>
        </w:rPr>
      </w:pPr>
    </w:p>
    <w:p>
      <w:pPr>
        <w:ind w:left="760" w:firstLine="1494"/>
        <w:spacing w:after="0" w:line="260" w:lineRule="auto"/>
        <w:tabs>
          <w:tab w:leader="none" w:pos="267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 certificate of a Responsible Officer of the Borrower certifying that the conditions set forth in Section 4.01(b), 4.01(c), 4.01(d) and 4.01(e) have been satisfied.</w:t>
      </w:r>
    </w:p>
    <w:p>
      <w:pPr>
        <w:spacing w:after="0" w:line="177"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Notwithstanding anything herein to the contrary, it is understood that to the extent that any Collateral (other than UCC Filing Collateral or Stock Certificates) that cannot be provided and/or perfected on the Closing Date after Holdings’ and the Borrower’s use of commercially reasonable efforts to do so, the provision and/or perfection of such Collateral shall not constitute a condition precedent for purposes of this Section 4.01, but instead shall be required to be delivered after the Closing Date in accordance with </w:t>
      </w:r>
      <w:r>
        <w:rPr>
          <w:rFonts w:ascii="Arial" w:cs="Arial" w:eastAsia="Arial" w:hAnsi="Arial"/>
          <w:sz w:val="18"/>
          <w:szCs w:val="18"/>
          <w:u w:val="single" w:color="auto"/>
          <w:color w:val="auto"/>
        </w:rPr>
        <w:t>Section 6.17</w:t>
      </w:r>
      <w:r>
        <w:rPr>
          <w:rFonts w:ascii="Arial" w:cs="Arial" w:eastAsia="Arial" w:hAnsi="Arial"/>
          <w:sz w:val="18"/>
          <w:szCs w:val="18"/>
          <w:color w:val="auto"/>
        </w:rPr>
        <w:t>; provided that Holdings and the Borrower shall have delivered all Stock Certificates (with respect to Arris and its Subsidiaries, to the extent received after Holdings’ and the Borrower’s use of commercially reasonable efforts to receive such certificates or otherwise without undue burden or expense). For purposes of this paragraph, “</w:t>
      </w:r>
      <w:r>
        <w:rPr>
          <w:rFonts w:ascii="Arial" w:cs="Arial" w:eastAsia="Arial" w:hAnsi="Arial"/>
          <w:sz w:val="18"/>
          <w:szCs w:val="18"/>
          <w:u w:val="single" w:color="auto"/>
          <w:color w:val="auto"/>
        </w:rPr>
        <w:t>UCC Filing Collateral</w:t>
      </w:r>
      <w:r>
        <w:rPr>
          <w:rFonts w:ascii="Arial" w:cs="Arial" w:eastAsia="Arial" w:hAnsi="Arial"/>
          <w:sz w:val="18"/>
          <w:szCs w:val="18"/>
          <w:color w:val="auto"/>
        </w:rPr>
        <w:t xml:space="preserve"> ” means Collateral, including Collateral constituting investment property, for which a security interest can be perfected by filing a UCC-1 financing statement. “</w:t>
      </w:r>
      <w:r>
        <w:rPr>
          <w:rFonts w:ascii="Arial" w:cs="Arial" w:eastAsia="Arial" w:hAnsi="Arial"/>
          <w:sz w:val="18"/>
          <w:szCs w:val="18"/>
          <w:u w:val="single" w:color="auto"/>
          <w:color w:val="auto"/>
        </w:rPr>
        <w:t>Stock Certificates</w:t>
      </w:r>
      <w:r>
        <w:rPr>
          <w:rFonts w:ascii="Arial" w:cs="Arial" w:eastAsia="Arial" w:hAnsi="Arial"/>
          <w:sz w:val="18"/>
          <w:szCs w:val="18"/>
          <w:color w:val="auto"/>
        </w:rPr>
        <w:t>” means certificates representing Capital Stock of the Borrower and the wholly owned Domestic Subsidiaries of the Loan Parties (other than Immaterial Subsidiaries) (provided that Holdings and the Borrower shall not be required to deliver Stock Certificates constituting Excluded Capital Stock).</w:t>
      </w:r>
    </w:p>
    <w:p>
      <w:pPr>
        <w:spacing w:after="0" w:line="174" w:lineRule="exact"/>
        <w:rPr>
          <w:sz w:val="20"/>
          <w:szCs w:val="20"/>
          <w:color w:val="auto"/>
        </w:rPr>
      </w:pPr>
    </w:p>
    <w:p>
      <w:pPr>
        <w:jc w:val="both"/>
        <w:ind w:firstLine="1505"/>
        <w:spacing w:after="0" w:line="250" w:lineRule="auto"/>
        <w:tabs>
          <w:tab w:leader="none" w:pos="199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Since November 8, 2018, there shall not have occurred there shall not have occurred any Effect (as defined in the Acquisition Agreement) that has had or is reasonably likely to have, individually or in the aggregate, a Company Material Adverse Effect (as defined in the Acquisition Agreement).</w:t>
      </w:r>
    </w:p>
    <w:p>
      <w:pPr>
        <w:spacing w:after="0" w:line="185" w:lineRule="exact"/>
        <w:rPr>
          <w:rFonts w:ascii="Arial" w:cs="Arial" w:eastAsia="Arial" w:hAnsi="Arial"/>
          <w:sz w:val="20"/>
          <w:szCs w:val="20"/>
          <w:color w:val="auto"/>
        </w:rPr>
      </w:pPr>
    </w:p>
    <w:p>
      <w:pPr>
        <w:jc w:val="both"/>
        <w:ind w:firstLine="1505"/>
        <w:spacing w:after="0" w:line="270" w:lineRule="auto"/>
        <w:tabs>
          <w:tab w:leader="none" w:pos="199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Arris Acquisition shall have been consummated or, substantially concurrently with the initial borrowing under this Agreement, shall be consummated, in all material respects in accordance with the terms of the Acquisition Agreement (whether, for the avoidance of doubt, by means of a “Scheme” (as defined in the Acquisition Agreement as in effect on the date hereof) or a Takeover Offer, and provided that for purposes of the foregoing an acquisition effected by means of a Takeover Offer shall be deemed to occur upon the Takeover Offer having been declared or become unconditional in all respects with respect to at least 90% of all of the equity interests of Arris), without giving effect to any modifications, amendments, consents or waivers thereto that in the aggregate are material and adverse to the Lenders or the Arrangers without the prior consent of the Arrangers (which consent shall not be unreasonably withheld, delayed or conditioned, it being understood that any change to the definition of Company Material Adverse Effect contained in the Acquisition Agreement shall be deemed to be material and adverse to the Arrangers). For purposes of the foregoing condition, it is hereby understood and agreed that any change in the purchase price (or amendment to the Acquisition Agreement related thereto) in connection with the Arris Acquisition shall not be deemed to be material and adverse to the interests of the Lenders and the Arrangers;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reduction of the purchase price shall be allocated to a reduction in any amounts to be funded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69" w:name="page170"/>
    <w:bookmarkEnd w:id="169"/>
    <w:p>
      <w:pPr>
        <w:jc w:val="both"/>
        <w:spacing w:after="0" w:line="278" w:lineRule="auto"/>
        <w:rPr>
          <w:sz w:val="20"/>
          <w:szCs w:val="20"/>
          <w:color w:val="auto"/>
        </w:rPr>
      </w:pPr>
      <w:r>
        <w:rPr>
          <w:rFonts w:ascii="Arial" w:cs="Arial" w:eastAsia="Arial" w:hAnsi="Arial"/>
          <w:sz w:val="18"/>
          <w:szCs w:val="18"/>
          <w:color w:val="auto"/>
        </w:rPr>
        <w:t xml:space="preserve">under the Closing Date Senior Notes and (B) an increase in purchase price shall not be deemed to be materially adverse to the Lenders or Arrangers so long as such increase is not funded by Indebtedness for borrowed money or Disqualified Stock of the Borrower or any of its Subsidiaries (other than an Upsized Facility (as defined in the Fee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each case the Arrangers shall be deemed to have consented to such modification, amendment, consent or waiver unless they shall object thereto in writing (including via email) within three Business Days of receipt of written notice of such modification, amendment, consent or waiver.</w:t>
      </w:r>
    </w:p>
    <w:p>
      <w:pPr>
        <w:spacing w:after="0" w:line="165" w:lineRule="exact"/>
        <w:rPr>
          <w:sz w:val="20"/>
          <w:szCs w:val="20"/>
          <w:color w:val="auto"/>
        </w:rPr>
      </w:pPr>
    </w:p>
    <w:p>
      <w:pPr>
        <w:ind w:left="1500"/>
        <w:spacing w:after="0"/>
        <w:tabs>
          <w:tab w:leader="none" w:pos="2000" w:val="left"/>
        </w:tabs>
        <w:rPr>
          <w:sz w:val="20"/>
          <w:szCs w:val="20"/>
          <w:color w:val="auto"/>
        </w:rPr>
      </w:pPr>
      <w:r>
        <w:rPr>
          <w:rFonts w:ascii="Arial" w:cs="Arial" w:eastAsia="Arial" w:hAnsi="Arial"/>
          <w:sz w:val="19"/>
          <w:szCs w:val="19"/>
          <w:color w:val="auto"/>
        </w:rPr>
        <w:t>(d)</w:t>
        <w:tab/>
        <w:t>The Refinancing shall have been consummated substantially concurrently with the initial borrowing under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2000" w:hanging="495"/>
        <w:spacing w:after="0"/>
        <w:tabs>
          <w:tab w:leader="none" w:pos="20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Specified Acquisition Agreement Representations and the Specified Representations shall be true and correct in</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all material respects.</w:t>
      </w:r>
    </w:p>
    <w:p>
      <w:pPr>
        <w:spacing w:after="0" w:line="199" w:lineRule="exact"/>
        <w:rPr>
          <w:rFonts w:ascii="Arial" w:cs="Arial" w:eastAsia="Arial" w:hAnsi="Arial"/>
          <w:sz w:val="16"/>
          <w:szCs w:val="16"/>
          <w:color w:val="auto"/>
        </w:rPr>
      </w:pPr>
    </w:p>
    <w:p>
      <w:pPr>
        <w:jc w:val="both"/>
        <w:ind w:firstLine="1505"/>
        <w:spacing w:after="0" w:line="302" w:lineRule="auto"/>
        <w:tabs>
          <w:tab w:leader="none" w:pos="198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Arrangers shall have received (a) audited consolidated balance sheets and the related consolidated statements of operations and comprehensive income (loss), stockholders’ equity and cash flows of Holdings as of the end of and for the fiscal years ended December 31, 2015, December 31, 2016 and December 31, 2017 and for any other fiscal year ended at least 90 days prior to the Closing Date, (b) audited consolidated balance sheets and the related consolidated statements of income (loss), comprehensive income (loss), stockholders’ equity and cash flows of Arris as of and for the fiscal years ended December 31, 2015, December 31, 2016 and December 31, 2017 and for any other fiscal year ended at least 90 days prior to the Closing Date (clauses (a) and (b), the “</w:t>
      </w:r>
      <w:r>
        <w:rPr>
          <w:rFonts w:ascii="Arial" w:cs="Arial" w:eastAsia="Arial" w:hAnsi="Arial"/>
          <w:sz w:val="16"/>
          <w:szCs w:val="16"/>
          <w:b w:val="1"/>
          <w:bCs w:val="1"/>
          <w:i w:val="1"/>
          <w:iCs w:val="1"/>
          <w:color w:val="auto"/>
        </w:rPr>
        <w:t>Audited Financial Statements</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jc w:val="both"/>
        <w:ind w:firstLine="8"/>
        <w:spacing w:after="0"/>
        <w:tabs>
          <w:tab w:leader="none" w:pos="28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unaudited consolidated balance sheets and the related consolidated statements of operations and comprehensive income (loss) and cash flows of Holdings as of the end of and for any fiscal quarter ended at least 45 days prior to the Closing Date (other than the fourth quarter, in which case 90 days prior to the Closing Date) and (d) unaudited consolidated balance sheets and the related consolidated statements of operations, comprehensive income (loss) and cash flows of Arris as of the end of and for any fiscal quarter ended at least 45 days prior to the Closing Date (other than the fourth quarter, in which case 90 days prior to the Closing Date) (clauses (c) and (d), the “</w:t>
      </w:r>
      <w:r>
        <w:rPr>
          <w:rFonts w:ascii="Arial" w:cs="Arial" w:eastAsia="Arial" w:hAnsi="Arial"/>
          <w:sz w:val="20"/>
          <w:szCs w:val="20"/>
          <w:b w:val="1"/>
          <w:bCs w:val="1"/>
          <w:i w:val="1"/>
          <w:iCs w:val="1"/>
          <w:color w:val="auto"/>
        </w:rPr>
        <w:t>Unaudited Financial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Statements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firstLine="1505"/>
        <w:spacing w:after="0" w:line="243" w:lineRule="auto"/>
        <w:tabs>
          <w:tab w:leader="none" w:pos="198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The Arrangers shall have received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combined balance sheet and related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combined statement of income of Holdings and its consolidated subsidiaries as of and for the 12-month period ending on the last day of the most recently completed four fiscal quarter period for which historical financial statements of Holdings and Arris are provided pursuant to clause (f) above, prepared so as to give effect to the Transactions as if the Transactions had occurred as of such date (in the case of such balance sheet) or at the beginning of such period (in the case of such other financial statements) which need not be prepared in compliance with Regulation S-X, or include adjustments for purchase accounting.</w:t>
      </w:r>
    </w:p>
    <w:p>
      <w:pPr>
        <w:spacing w:after="0" w:line="195" w:lineRule="exact"/>
        <w:rPr>
          <w:rFonts w:ascii="Arial" w:cs="Arial" w:eastAsia="Arial" w:hAnsi="Arial"/>
          <w:sz w:val="20"/>
          <w:szCs w:val="20"/>
          <w:color w:val="auto"/>
        </w:rPr>
      </w:pPr>
    </w:p>
    <w:p>
      <w:pPr>
        <w:ind w:left="2000" w:hanging="495"/>
        <w:spacing w:after="0"/>
        <w:tabs>
          <w:tab w:leader="none" w:pos="20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Closing Date Preferred Equity shall have been issued substantially concurrently with the initial funding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Term Loans.</w:t>
      </w:r>
    </w:p>
    <w:p>
      <w:pPr>
        <w:spacing w:after="0" w:line="199" w:lineRule="exact"/>
        <w:rPr>
          <w:rFonts w:ascii="Arial" w:cs="Arial" w:eastAsia="Arial" w:hAnsi="Arial"/>
          <w:sz w:val="18"/>
          <w:szCs w:val="18"/>
          <w:color w:val="auto"/>
        </w:rPr>
      </w:pPr>
    </w:p>
    <w:p>
      <w:pPr>
        <w:jc w:val="both"/>
        <w:ind w:firstLine="1505"/>
        <w:spacing w:after="0" w:line="246" w:lineRule="auto"/>
        <w:tabs>
          <w:tab w:leader="none" w:pos="200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All fees required to be paid on the Closing Date pursuant to this Agreement and any Fee Letter and reasonable, documented out-of-pocket expenses required to be paid on the Closing Date pursuant to this Agreement and any Fee Letter, to the extent invoiced at least five Business Days prior to the Closing Date (or such later date as Borrower may reasonably agree) shall have been paid (which amounts may be offset against the proceeds of the Facilities).</w:t>
      </w:r>
    </w:p>
    <w:p>
      <w:pPr>
        <w:spacing w:after="0" w:line="191" w:lineRule="exact"/>
        <w:rPr>
          <w:rFonts w:ascii="Arial" w:cs="Arial" w:eastAsia="Arial" w:hAnsi="Arial"/>
          <w:sz w:val="20"/>
          <w:szCs w:val="20"/>
          <w:color w:val="auto"/>
        </w:rPr>
      </w:pPr>
    </w:p>
    <w:p>
      <w:pPr>
        <w:jc w:val="both"/>
        <w:ind w:firstLine="1505"/>
        <w:spacing w:after="0" w:line="246" w:lineRule="auto"/>
        <w:tabs>
          <w:tab w:leader="none" w:pos="1987" w:val="left"/>
        </w:tabs>
        <w:numPr>
          <w:ilvl w:val="1"/>
          <w:numId w:val="166"/>
        </w:numPr>
        <w:rPr>
          <w:rFonts w:ascii="Arial" w:cs="Arial" w:eastAsia="Arial" w:hAnsi="Arial"/>
          <w:sz w:val="20"/>
          <w:szCs w:val="20"/>
          <w:color w:val="auto"/>
        </w:rPr>
      </w:pPr>
      <w:r>
        <w:rPr>
          <w:rFonts w:ascii="Arial" w:cs="Arial" w:eastAsia="Arial" w:hAnsi="Arial"/>
          <w:sz w:val="20"/>
          <w:szCs w:val="20"/>
          <w:color w:val="auto"/>
        </w:rPr>
        <w:t>The Lenders shall have received at least three Business Days prior to the Closing Date all documentation and other information about Holdings, the Borrower and each Subsidiary Guarantor as has been reasonably requested in writing at least ten Business Days prior to the Closing Date by such Lenders that they reasonably determine is required by regulatory authorities under applicable “know your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0" w:name="page171"/>
    <w:bookmarkEnd w:id="170"/>
    <w:p>
      <w:pPr>
        <w:jc w:val="both"/>
        <w:spacing w:after="0" w:line="287" w:lineRule="auto"/>
        <w:rPr>
          <w:sz w:val="20"/>
          <w:szCs w:val="20"/>
          <w:color w:val="auto"/>
        </w:rPr>
      </w:pPr>
      <w:r>
        <w:rPr>
          <w:rFonts w:ascii="Arial" w:cs="Arial" w:eastAsia="Arial" w:hAnsi="Arial"/>
          <w:sz w:val="19"/>
          <w:szCs w:val="19"/>
          <w:color w:val="auto"/>
        </w:rPr>
        <w:t>customer” and anti-money laundering rules and regulations, including without limitation the PATRIOT Act, including, to the extent the Borrower qualifies as a “legal entity customer” under the Beneficial Ownership Regulation, a Beneficial Ownership Certification.</w:t>
      </w:r>
    </w:p>
    <w:p>
      <w:pPr>
        <w:spacing w:after="0" w:line="15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4.02 Conditions to All Credit Extensions. The obligation of each Lender to honor any Request for Credit Extension (other than on the Closing Date, other than a Committed Loan Notice requesting only a conversion of Loans to the other Type, or a continuation of Term Benchmark Loans) is subject to the following conditions precedent:</w:t>
      </w:r>
    </w:p>
    <w:p>
      <w:pPr>
        <w:spacing w:after="0" w:line="186" w:lineRule="exact"/>
        <w:rPr>
          <w:sz w:val="20"/>
          <w:szCs w:val="20"/>
          <w:color w:val="auto"/>
        </w:rPr>
      </w:pPr>
    </w:p>
    <w:p>
      <w:pPr>
        <w:jc w:val="both"/>
        <w:ind w:firstLine="1505"/>
        <w:spacing w:after="0" w:line="273" w:lineRule="auto"/>
        <w:tabs>
          <w:tab w:leader="none" w:pos="198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in the case of any Borrowing in connection with a New Loan Commitment or Incremental Equivalent Debt to the provisions in Sections 2.16 and 2.17, the representations and warranties of the Borrower and each other Loan Party contained in Article V or any other Loan Document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Section 4.02, the representations and warranties contained in Sections 5.05(a) and (b) shall be deemed to refer to the most recent financial statements furnished pursuant to Sections 6.01(a) and (b), respectively, prior to such proposed Credit Extension.</w:t>
      </w:r>
    </w:p>
    <w:p>
      <w:pPr>
        <w:spacing w:after="0" w:line="168" w:lineRule="exact"/>
        <w:rPr>
          <w:rFonts w:ascii="Arial" w:cs="Arial" w:eastAsia="Arial" w:hAnsi="Arial"/>
          <w:sz w:val="18"/>
          <w:szCs w:val="18"/>
          <w:color w:val="auto"/>
        </w:rPr>
      </w:pPr>
    </w:p>
    <w:p>
      <w:pPr>
        <w:jc w:val="both"/>
        <w:ind w:firstLine="1505"/>
        <w:spacing w:after="0" w:line="250" w:lineRule="auto"/>
        <w:tabs>
          <w:tab w:leader="none" w:pos="198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Subject in the case of any Borrowing in connection with a New Loan Commitment or Incremental Equivalent Debt to the provisions in Sections 2.16 and 2.17, no Default or Event of Default shall exist, or would result from such proposed Credit Extension or from the application of the proceeds therefrom.</w:t>
      </w:r>
    </w:p>
    <w:p>
      <w:pPr>
        <w:spacing w:after="0" w:line="185" w:lineRule="exact"/>
        <w:rPr>
          <w:rFonts w:ascii="Arial" w:cs="Arial" w:eastAsia="Arial" w:hAnsi="Arial"/>
          <w:sz w:val="20"/>
          <w:szCs w:val="20"/>
          <w:color w:val="auto"/>
        </w:rPr>
      </w:pPr>
    </w:p>
    <w:p>
      <w:pPr>
        <w:ind w:left="2000" w:hanging="495"/>
        <w:spacing w:after="0"/>
        <w:tabs>
          <w:tab w:leader="none" w:pos="2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Administrative Agent shall have received a Request for Credit Extension in accordance with the requirements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hereof.</w:t>
      </w:r>
    </w:p>
    <w:p>
      <w:pPr>
        <w:spacing w:after="0" w:line="200"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8"/>
          <w:szCs w:val="18"/>
          <w:color w:val="auto"/>
        </w:rPr>
        <w:t>Each Request for Credit Extension (other than a Committed Loan Notice requesting only a conversion of Loans to the other Type or a continuation of Term Benchmark Loans) submitted by the Borrower shall be deemed to be a representation and warranty that</w:t>
      </w:r>
    </w:p>
    <w:p>
      <w:pPr>
        <w:jc w:val="both"/>
        <w:spacing w:after="0" w:line="253" w:lineRule="auto"/>
        <w:rPr>
          <w:sz w:val="20"/>
          <w:szCs w:val="20"/>
          <w:color w:val="auto"/>
        </w:rPr>
      </w:pPr>
      <w:r>
        <w:rPr>
          <w:rFonts w:ascii="Arial" w:cs="Arial" w:eastAsia="Arial" w:hAnsi="Arial"/>
          <w:sz w:val="20"/>
          <w:szCs w:val="20"/>
          <w:color w:val="auto"/>
        </w:rPr>
        <w:t xml:space="preserve">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(unless waived) on and as of the date of the applicable Credit Extension.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Each of Holdings and the Borrower represents and warrants to the Agents and the Lenders (after giving effect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Transactions) that, as of the Closing Date:</w:t>
      </w:r>
    </w:p>
    <w:p>
      <w:pPr>
        <w:spacing w:after="0" w:line="200"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5.01 Existence, Qualification and Power; Compliance with Laws. Each Loan Party and each of its Restricted Subsidiaries (a) is a Person duly organized or formed, validly existing and (to the extent applicable in the relevant jurisdiction) in good standing under the Laws of the jurisdiction of its incorporation or organization, (b) has all requisite power and authority to (i) own or lease its assets and carry on its business and (ii) execute, deliver and perform its obligations under the Loan Documents, in each case, to which it is a party, (c) is duly qualified and (to the extent applicable in the relevant jurisdictions) is in good standing under the Laws of each jurisdiction where its ownership, lease or operation of properties or the conduct of its business requires such qualification, (d) is in compliance with all Laws and (e) has all requisite governmental licenses, authorizations, consents and approvals to operate its business as currently conducted; except in each case referred to in clause (a) (other than with respect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1" w:name="page172"/>
    <w:bookmarkEnd w:id="171"/>
    <w:p>
      <w:pPr>
        <w:jc w:val="both"/>
        <w:spacing w:after="0" w:line="260" w:lineRule="auto"/>
        <w:rPr>
          <w:sz w:val="20"/>
          <w:szCs w:val="20"/>
          <w:color w:val="auto"/>
        </w:rPr>
      </w:pPr>
      <w:r>
        <w:rPr>
          <w:rFonts w:ascii="Arial" w:cs="Arial" w:eastAsia="Arial" w:hAnsi="Arial"/>
          <w:sz w:val="20"/>
          <w:szCs w:val="20"/>
          <w:color w:val="auto"/>
        </w:rPr>
        <w:t>Borrower), (b)(i) (other than with respect to the Borrower), (c), (d) or (e), to the extent that failure to do so could not reasonably be expected to have a Material Adverse Effect.</w:t>
      </w:r>
    </w:p>
    <w:p>
      <w:pPr>
        <w:spacing w:after="0" w:line="177"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 xml:space="preserve">5.02 Authorization; No Contravention. The execution, delivery and performance by each Loan Party of each Loan Document to which such Person is a party, and the consummation of the Transactions, are within such Loan Party’s corporate or other powers, have been duly authorized by all necessary corporate or other organizational action, and do not (a) contravene the terms of any of such Person’s Organization Documents, (b) conflict with or result in any breach or contravention of, or the creation of any Lien under (other than as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or require any payment to be made under (i) any Contractual Obligation to which such Person is a party or affecting such Person or the properties of such Person or any of its Restricted Subsidiaries or (ii) any material order, injunction, writ or decree of any Governmental Authority or any arbitral award to which such Person or its property is subject; or (c) violate any material Law; in each case, except with respect to any violation, breach or contravention or payment (but not creation of Liens), to the extent that such violation, conflict, breach, contravention or payment could not reasonably be expected to have a Material Adverse Effect.</w:t>
      </w:r>
    </w:p>
    <w:p>
      <w:pPr>
        <w:spacing w:after="0" w:line="170"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5.03 Governmental Authorization; Other Consents. No material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or (c) the perfection or maintenance of the Liens created under the Collateral Documents (including the priority thereof) as required or permitted by the terms thereof, except for (x) filings and registrations necessary to perfect the Liens on the Collateral granted by the Loan Parties or any Restricted Subsidiary in favor of the Secured Parties consisting of UCC financing statements, filings in the United States Patent and Trademark Office and the United States Copyright Office and Mortgages, (y) the approvals, consents, exemptions, authorizations, actions, notices and filings which have been duly obtained, taken, given or made and are in full force and effect and (z) those approvals, consents, exemptions, authorizations or other actions, notices or filings, the failure of which to obtain or make could not reasonably be expected to have a Material Adverse Effect.</w:t>
      </w:r>
    </w:p>
    <w:p>
      <w:pPr>
        <w:spacing w:after="0" w:line="187"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5.04 Binding Effect.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bankruptcy, insolvency, reorganization, examinorship, receivership, moratorium or other laws affecting creditors’ rights generally and by general principles of equity.</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5.05  Financial Statements; No Material Adverse Effect.</w:t>
      </w:r>
    </w:p>
    <w:p>
      <w:pPr>
        <w:spacing w:after="0" w:line="216" w:lineRule="exact"/>
        <w:rPr>
          <w:sz w:val="20"/>
          <w:szCs w:val="20"/>
          <w:color w:val="auto"/>
        </w:rPr>
      </w:pPr>
    </w:p>
    <w:p>
      <w:pPr>
        <w:jc w:val="both"/>
        <w:ind w:firstLine="1505"/>
        <w:spacing w:after="0" w:line="263" w:lineRule="auto"/>
        <w:tabs>
          <w:tab w:leader="none" w:pos="199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and (ii) fairly present in all material respects the financial condition of the entities to which they relate as of the date thereof and their results of operations for the period covered thereby in accordance with GAAP consistently applied throughout the period covered thereby, except as otherwise expressly noted therein.</w:t>
      </w:r>
    </w:p>
    <w:p>
      <w:pPr>
        <w:spacing w:after="0" w:line="176" w:lineRule="exact"/>
        <w:rPr>
          <w:rFonts w:ascii="Arial" w:cs="Arial" w:eastAsia="Arial" w:hAnsi="Arial"/>
          <w:sz w:val="19"/>
          <w:szCs w:val="19"/>
          <w:color w:val="auto"/>
        </w:rPr>
      </w:pPr>
    </w:p>
    <w:p>
      <w:pPr>
        <w:jc w:val="both"/>
        <w:ind w:firstLine="1505"/>
        <w:spacing w:after="0" w:line="263" w:lineRule="auto"/>
        <w:tabs>
          <w:tab w:leader="none" w:pos="198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Unaudited Financial Statements delivered to the Administrative Agent on or prior to the Closing Date, and the related consolidated statements of income or operations, shareholders’ equity and cash flows for such fiscal quarters and pro forma periods (i) were prepared in accordance with GAAP consistently applied throughout the period covered thereby, except as otherwise expressly noted therein and (ii) fairly present in all material respects the financial condition of Holdings and its Restricted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2" w:name="page173"/>
    <w:bookmarkEnd w:id="172"/>
    <w:p>
      <w:pPr>
        <w:spacing w:after="0" w:line="260" w:lineRule="auto"/>
        <w:rPr>
          <w:sz w:val="20"/>
          <w:szCs w:val="20"/>
          <w:color w:val="auto"/>
        </w:rPr>
      </w:pPr>
      <w:r>
        <w:rPr>
          <w:rFonts w:ascii="Arial" w:cs="Arial" w:eastAsia="Arial" w:hAnsi="Arial"/>
          <w:sz w:val="20"/>
          <w:szCs w:val="20"/>
          <w:color w:val="auto"/>
        </w:rPr>
        <w:t>Subsidiaries or Arris, as applicable, as of the date thereof and their results of operations for the period covered thereby, subject, in the case of clauses (i) and (ii), to the absence of footnotes and to normal year-end audit adjustments.</w:t>
      </w:r>
    </w:p>
    <w:p>
      <w:pPr>
        <w:spacing w:after="0" w:line="177" w:lineRule="exact"/>
        <w:rPr>
          <w:sz w:val="20"/>
          <w:szCs w:val="20"/>
          <w:color w:val="auto"/>
        </w:rPr>
      </w:pPr>
    </w:p>
    <w:p>
      <w:pPr>
        <w:ind w:firstLine="1505"/>
        <w:spacing w:after="0" w:line="260" w:lineRule="auto"/>
        <w:tabs>
          <w:tab w:leader="none" w:pos="1981"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Since the Closing Date, there has been no event or circumstance, either individually or in the aggregate, that has had or could reasonably be expected to have a Material Adverse Effect.</w:t>
      </w:r>
    </w:p>
    <w:p>
      <w:pPr>
        <w:spacing w:after="0" w:line="176" w:lineRule="exact"/>
        <w:rPr>
          <w:rFonts w:ascii="Arial" w:cs="Arial" w:eastAsia="Arial" w:hAnsi="Arial"/>
          <w:sz w:val="20"/>
          <w:szCs w:val="20"/>
          <w:color w:val="auto"/>
        </w:rPr>
      </w:pPr>
    </w:p>
    <w:p>
      <w:pPr>
        <w:jc w:val="both"/>
        <w:ind w:firstLine="1505"/>
        <w:spacing w:after="0" w:line="243" w:lineRule="auto"/>
        <w:tabs>
          <w:tab w:leader="none" w:pos="199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consolidated pro forma balance sheet of Holdings and its consolidated Restricted Subsidiaries as of December 31, 2018 and the related consolidated pro forma statements of income and cash flows of Holdings and its consolidated Restricted Subsidiaries for the twelve-month period then ended, certified by the chief financial officer or treasurer of the Borrower in his or her capacity as such, copies of which have been furnished to each Lender, fairly present in all material respects the consolidated pro forma financial condition of Holdings and its consolidated Restricted Subsidiaries as at such date and the consolidated pro forma results of operations of Holdings and its consolidated Restricted Subsidiaries for the period ended on such date, in each case on an unaudited Pro Forma Basis giving effect to the Transactions.</w:t>
      </w:r>
    </w:p>
    <w:p>
      <w:pPr>
        <w:spacing w:after="0" w:line="193"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5.06 Litigation. There are no actions, suits, proceedings, claims or disputes pending or, to the knowledge of the Borrower, threatened in writing or contemplated, at law, in equity, in arbitration or before any Governmental Authority, by or against Holdings, the Borrower or any of its Restricted Subsidiaries or against any of their properties or revenues that either individually or in the aggregate, could reasonably be expected to have a Material Adverse Effect.</w:t>
      </w:r>
    </w:p>
    <w:p>
      <w:pPr>
        <w:spacing w:after="0" w:line="191"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5.07 Use of Proceeds. The Borrower will only use the proceeds of the Initial Term Loans to finance the Transactions and pay Transaction Costs (including paying any fees, commissions and expenses associated therewith).</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5.08  Ownership of Property; Liens.</w:t>
      </w:r>
    </w:p>
    <w:p>
      <w:pPr>
        <w:spacing w:after="0" w:line="216" w:lineRule="exact"/>
        <w:rPr>
          <w:sz w:val="20"/>
          <w:szCs w:val="20"/>
          <w:color w:val="auto"/>
        </w:rPr>
      </w:pPr>
    </w:p>
    <w:p>
      <w:pPr>
        <w:jc w:val="both"/>
        <w:ind w:firstLine="1505"/>
        <w:spacing w:after="0" w:line="244" w:lineRule="auto"/>
        <w:tabs>
          <w:tab w:leader="none" w:pos="198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Each Loan Party and each of its Restricted Subsidiaries has good record and indefeasible title in fee simple (or local law equivalent) to, or valid leasehold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in each case, except as could not reasonably be expected to have a Material Adverse Effect.</w:t>
      </w:r>
    </w:p>
    <w:p>
      <w:pPr>
        <w:spacing w:after="0" w:line="194" w:lineRule="exact"/>
        <w:rPr>
          <w:rFonts w:ascii="Arial" w:cs="Arial" w:eastAsia="Arial" w:hAnsi="Arial"/>
          <w:sz w:val="20"/>
          <w:szCs w:val="20"/>
          <w:color w:val="auto"/>
        </w:rPr>
      </w:pPr>
    </w:p>
    <w:p>
      <w:pPr>
        <w:jc w:val="both"/>
        <w:ind w:firstLine="1505"/>
        <w:spacing w:after="0" w:line="269" w:lineRule="auto"/>
        <w:tabs>
          <w:tab w:leader="none" w:pos="197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5.08(b)</w:t>
      </w:r>
      <w:r>
        <w:rPr>
          <w:rFonts w:ascii="Arial" w:cs="Arial" w:eastAsia="Arial" w:hAnsi="Arial"/>
          <w:sz w:val="19"/>
          <w:szCs w:val="19"/>
          <w:color w:val="auto"/>
        </w:rPr>
        <w:t xml:space="preserve"> hereto is a complete and accurate list of all Material Real Property owned by any Loan Party, as of the Closing Date, showing as of the Closing Date the street address (to the extent available), county or other relevant jurisdiction, state and record owner thereof, and whether the real property is to be encumbered by a Mortgage.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5.09  Environmental Compliance.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Except as disclosed in </w:t>
      </w:r>
      <w:r>
        <w:rPr>
          <w:rFonts w:ascii="Arial" w:cs="Arial" w:eastAsia="Arial" w:hAnsi="Arial"/>
          <w:sz w:val="20"/>
          <w:szCs w:val="20"/>
          <w:u w:val="single" w:color="auto"/>
          <w:color w:val="auto"/>
        </w:rPr>
        <w:t>Schedule 5.09</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82" w:lineRule="auto"/>
        <w:tabs>
          <w:tab w:leader="none" w:pos="1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There are no Environmental Claims against Holdings, the Borrower or any of its Restricted Subsidiaries and none of Holdings, the Borrower or any Restricted Subsidiary knows of any basis for any Environmental Claim and their respective businesses, operations and properties are in compliance with applicable Environmental Laws; in each case, except as could not, or where such failure to be in compliance could not, individually or in the aggregate, reasonably be expected to have a Material Adverse Effect.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3" w:name="page174"/>
    <w:bookmarkEnd w:id="173"/>
    <w:p>
      <w:pPr>
        <w:jc w:val="both"/>
        <w:ind w:firstLine="1505"/>
        <w:spacing w:after="0" w:line="255" w:lineRule="auto"/>
        <w:tabs>
          <w:tab w:leader="none" w:pos="198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Except as could not reasonably be expected to have a Material Adverse Effect, (i) none of the properties currently or formerly owned or operated by any Loan Party or any of its Restricted Subsidiaries is listed or, to the knowledge of the Borrower, proposed for listing on the NPL or on the CERCLIS or any analogous foreign, state or local list; (ii) there are no and, to the knowledge of the Borrower, never have been any underground or aboveground storage tanks or any surface impoundments, septic tanks, pits, sumps or lagoons in which Hazardous Materials are being or have been treated, stored or Released on any property currently owned or operated by any Loan Party or any of its Restricted Subsidiaries; (iii) there is no asbestos or asbestos-containing material on or at any property currently owned or operated by any Loan Party or any of its Restricted Subsidiaries requiring investigation, remediation, mitigation, removal, or assessment, or other response, remedial or corrective action, pursuant to Environmental Law; and (iv) there have been no Releases of Hazardous Materials on, at, under or from any property currently or, to the knowledge of the Loan Parties, formerly owned or operated by any Loan Party or any of its Restricted Subsidiaries.</w:t>
      </w:r>
    </w:p>
    <w:p>
      <w:pPr>
        <w:spacing w:after="0" w:line="189" w:lineRule="exact"/>
        <w:rPr>
          <w:rFonts w:ascii="Arial" w:cs="Arial" w:eastAsia="Arial" w:hAnsi="Arial"/>
          <w:sz w:val="19"/>
          <w:szCs w:val="19"/>
          <w:color w:val="auto"/>
        </w:rPr>
      </w:pPr>
    </w:p>
    <w:p>
      <w:pPr>
        <w:jc w:val="both"/>
        <w:ind w:firstLine="1505"/>
        <w:spacing w:after="0" w:line="282" w:lineRule="auto"/>
        <w:tabs>
          <w:tab w:leader="none" w:pos="199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properties currently owned or operated by any Loan Party or any of its Restricted Subsidiaries do not contain any Hazardous Materials in amounts or concentrations which (i) constitute a violation of, (ii) require response or other corrective action under, or (iii) could be reasonably expected to give rise to liability under, Environmental Laws, which violations, response or other corrective actions and liabilities, in the aggregate, could reasonably be expected to result in a Material Adverse Effect.</w:t>
      </w:r>
    </w:p>
    <w:p>
      <w:pPr>
        <w:spacing w:after="0" w:line="161" w:lineRule="exact"/>
        <w:rPr>
          <w:rFonts w:ascii="Arial" w:cs="Arial" w:eastAsia="Arial" w:hAnsi="Arial"/>
          <w:sz w:val="18"/>
          <w:szCs w:val="18"/>
          <w:color w:val="auto"/>
        </w:rPr>
      </w:pPr>
    </w:p>
    <w:p>
      <w:pPr>
        <w:jc w:val="both"/>
        <w:ind w:firstLine="1505"/>
        <w:spacing w:after="0" w:line="244" w:lineRule="auto"/>
        <w:tabs>
          <w:tab w:leader="none" w:pos="199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None of Holdings, the Borrower or any of its Restricted Subsidiaries is undertaking, and has not completed, either individually or together with other parties, any investigation, response or other corrective action relating to any actual or threatened Release of Hazardous Materials at any location, either voluntarily or pursuant to the order of any Governmental Authority or the requirements of any Environmental Law except for such investigation, response or other corrective action that, in the aggregate, could not reasonably be expected to result in a Material Adverse Effect.</w:t>
      </w:r>
    </w:p>
    <w:p>
      <w:pPr>
        <w:spacing w:after="0" w:line="194" w:lineRule="exact"/>
        <w:rPr>
          <w:rFonts w:ascii="Arial" w:cs="Arial" w:eastAsia="Arial" w:hAnsi="Arial"/>
          <w:sz w:val="20"/>
          <w:szCs w:val="20"/>
          <w:color w:val="auto"/>
        </w:rPr>
      </w:pPr>
    </w:p>
    <w:p>
      <w:pPr>
        <w:jc w:val="both"/>
        <w:ind w:firstLine="1505"/>
        <w:spacing w:after="0" w:line="342" w:lineRule="auto"/>
        <w:tabs>
          <w:tab w:leader="none" w:pos="198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Hazardous Materials generated, used, treated, handled, or stored at, or transported or arranged for transport to or from, any property or facility currently or, to the knowledge of the Borrower, formerly owned or operated by Holdings, the Borrower or any of its Restricted Subsidiaries have been disposed of in a manner that would not reasonably be expected to result in a Material Adverse Effect.</w:t>
      </w:r>
    </w:p>
    <w:p>
      <w:pPr>
        <w:spacing w:after="0" w:line="118"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5.10 Taxes. Holdings, the Borrower and its Restricted Subsidiaries have filed all federal, state, local, foreign and other tax returns and reports required to be filed, and have paid all federal, state, local, foreign and other taxes, assessments, fees and other governmental charges levied or imposed upon them or their properties, income or assets otherwise due and payable (including in its capacity as a withholding agent), except those (a) which are being contested in good faith by appropriate proceedings diligently conducted that stay the enforcement of the tax in question and for which adequate reserves have been provided in accordance with GAAP or (b) with respect to which the failure to make such filing or payment could not individually or in the aggregate reasonably be expected to have a Material Adverse Effect. There is no proposed tax assessment, deficiency or other claim against Holdings, the Borrower or any of its Restricted Subsidiaries except (i) those being actively contested by Holdings, the Borrower or such Restricted Subsidiary, as applicable, in good faith and by appropriate proceedings diligently conducted that stay the enforcement of the tax in question and for which adequate reserves have been provided in accordance with GAAP or (ii) those that would not reasonably be expected to, individually or in the aggregate, have a Material Adverse Effect.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5.11  ERISA Compliance.</w:t>
      </w:r>
    </w:p>
    <w:p>
      <w:pPr>
        <w:spacing w:after="0" w:line="216" w:lineRule="exact"/>
        <w:rPr>
          <w:sz w:val="20"/>
          <w:szCs w:val="20"/>
          <w:color w:val="auto"/>
        </w:rPr>
      </w:pPr>
    </w:p>
    <w:p>
      <w:pPr>
        <w:ind w:left="2000" w:hanging="495"/>
        <w:spacing w:after="0"/>
        <w:tabs>
          <w:tab w:leader="none" w:pos="20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result in a Material Adverse Effect,</w:t>
      </w:r>
    </w:p>
    <w:p>
      <w:pPr>
        <w:spacing w:after="0" w:line="38" w:lineRule="exact"/>
        <w:rPr>
          <w:rFonts w:ascii="Arial" w:cs="Arial" w:eastAsia="Arial" w:hAnsi="Arial"/>
          <w:sz w:val="18"/>
          <w:szCs w:val="18"/>
          <w:color w:val="auto"/>
        </w:rPr>
      </w:pPr>
    </w:p>
    <w:p>
      <w:pPr>
        <w:ind w:left="240" w:hanging="232"/>
        <w:spacing w:after="0"/>
        <w:tabs>
          <w:tab w:leader="none" w:pos="2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each Plan is in compliance with the applicable provisions of ERISA,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4" w:name="page175"/>
    <w:bookmarkEnd w:id="174"/>
    <w:p>
      <w:pPr>
        <w:jc w:val="both"/>
        <w:spacing w:after="0" w:line="278" w:lineRule="auto"/>
        <w:rPr>
          <w:sz w:val="20"/>
          <w:szCs w:val="20"/>
          <w:color w:val="auto"/>
        </w:rPr>
      </w:pPr>
      <w:r>
        <w:rPr>
          <w:rFonts w:ascii="Arial" w:cs="Arial" w:eastAsia="Arial" w:hAnsi="Arial"/>
          <w:sz w:val="18"/>
          <w:szCs w:val="18"/>
          <w:color w:val="auto"/>
        </w:rPr>
        <w:t>Code and other federal or state Laws and (ii) each Plan that is intended to be qualified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with respect thereto, and to the knowledge of any Loan Party, nothing has occurred that would prevent, or cause the loss of, such tax-qualified status.</w:t>
      </w:r>
    </w:p>
    <w:p>
      <w:pPr>
        <w:spacing w:after="0" w:line="165" w:lineRule="exact"/>
        <w:rPr>
          <w:sz w:val="20"/>
          <w:szCs w:val="20"/>
          <w:color w:val="auto"/>
        </w:rPr>
      </w:pPr>
    </w:p>
    <w:p>
      <w:pPr>
        <w:jc w:val="both"/>
        <w:ind w:firstLine="1505"/>
        <w:spacing w:after="0" w:line="244" w:lineRule="auto"/>
        <w:tabs>
          <w:tab w:leader="none" w:pos="199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There are no pending or, to the knowledge of any Loan Party, threatened claims, actions or lawsuits, or action by any Governmental Authority, with respect to any Plan that could reasonably be expected to have a Material Adverse Effect. There has been no “prohibited transaction” within the meaning of Section 4975 of the Code or Section 406 or 407 of ERISA and not otherwise exempt under Section 408 of ERISA and no violation of the fiduciary responsibility rules with respect to any Plan that has resulted or could reasonably be expected to result in a Material Adverse Effect.</w:t>
      </w:r>
    </w:p>
    <w:p>
      <w:pPr>
        <w:spacing w:after="0" w:line="194" w:lineRule="exact"/>
        <w:rPr>
          <w:rFonts w:ascii="Arial" w:cs="Arial" w:eastAsia="Arial" w:hAnsi="Arial"/>
          <w:sz w:val="20"/>
          <w:szCs w:val="20"/>
          <w:color w:val="auto"/>
        </w:rPr>
      </w:pPr>
    </w:p>
    <w:p>
      <w:pPr>
        <w:jc w:val="both"/>
        <w:ind w:firstLine="1505"/>
        <w:spacing w:after="0" w:line="271" w:lineRule="auto"/>
        <w:tabs>
          <w:tab w:leader="none" w:pos="20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 No ERISA Event has occurred and no Loan Party is aware of any fact, event or circumstance that could reasonably be expected to constitute or result in an ERISA Event with respect to any Pension Plan; (ii) no Pension Plan has any Unfunded Pension Liability as of the Pension Plan’s most recent valuation date; (iii) neither any Loan Party nor any ERISA Affiliate has incurred, or reasonably expects to incur, any liability under Title IV of ERISA with respect to any Pension Plan (other than premiums due and not delinquent under Section 4007 of ERISA); (iv) neither any Loan Party nor any ERISA Affiliate has incurred, or reasonably expects to incur, any liability (and no event has occurred which, with the giving of notice under Section 4219 of ERISA, would result in such liability) under Section 4201 or 4243 of ERISA with respect to a Multiemployer Plan; and (v) neither the Borrower nor any ERISA Affiliate has engaged in a transaction that could be subject to Sections 4069 or 4212(c) of ERISA and (vi) no Pension Plan has been terminated by the plan administrator thereof, nor by PBGC, and no event or circumstance has occurred or exists that could reasonably be expected to cause the PBGC to institute proceedings under Title IV of ERISA to terminate any Pension Plan, except with respect to each of the foregoing clauses of this </w:t>
      </w:r>
      <w:r>
        <w:rPr>
          <w:rFonts w:ascii="Arial" w:cs="Arial" w:eastAsia="Arial" w:hAnsi="Arial"/>
          <w:sz w:val="18"/>
          <w:szCs w:val="18"/>
          <w:u w:val="single" w:color="auto"/>
          <w:color w:val="auto"/>
        </w:rPr>
        <w:t>Section 5.11(c)</w:t>
      </w:r>
      <w:r>
        <w:rPr>
          <w:rFonts w:ascii="Arial" w:cs="Arial" w:eastAsia="Arial" w:hAnsi="Arial"/>
          <w:sz w:val="18"/>
          <w:szCs w:val="18"/>
          <w:color w:val="auto"/>
        </w:rPr>
        <w:t>, as could not reasonably be expected, individually or in the aggregate, to have a Material Adverse Effect.</w:t>
      </w:r>
    </w:p>
    <w:p>
      <w:pPr>
        <w:spacing w:after="0" w:line="169" w:lineRule="exact"/>
        <w:rPr>
          <w:rFonts w:ascii="Arial" w:cs="Arial" w:eastAsia="Arial" w:hAnsi="Arial"/>
          <w:sz w:val="18"/>
          <w:szCs w:val="18"/>
          <w:color w:val="auto"/>
        </w:rPr>
      </w:pPr>
    </w:p>
    <w:p>
      <w:pPr>
        <w:jc w:val="both"/>
        <w:ind w:firstLine="1505"/>
        <w:spacing w:after="0" w:line="269" w:lineRule="auto"/>
        <w:tabs>
          <w:tab w:leader="none" w:pos="198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With respect to each scheme or arrangement related to retirement or pension obligations mandated by a government other than the United States (a “</w:t>
      </w:r>
      <w:r>
        <w:rPr>
          <w:rFonts w:ascii="Arial" w:cs="Arial" w:eastAsia="Arial" w:hAnsi="Arial"/>
          <w:sz w:val="19"/>
          <w:szCs w:val="19"/>
          <w:b w:val="1"/>
          <w:bCs w:val="1"/>
          <w:i w:val="1"/>
          <w:iCs w:val="1"/>
          <w:color w:val="auto"/>
        </w:rPr>
        <w:t>Foreign Government Scheme or Arrangement</w:t>
      </w:r>
      <w:r>
        <w:rPr>
          <w:rFonts w:ascii="Arial" w:cs="Arial" w:eastAsia="Arial" w:hAnsi="Arial"/>
          <w:sz w:val="19"/>
          <w:szCs w:val="19"/>
          <w:color w:val="auto"/>
        </w:rPr>
        <w:t>”) and with respect to each retirement or pension plan maintained or contributed to by any Loan Party that is not subject to United States law (a “</w:t>
      </w:r>
      <w:r>
        <w:rPr>
          <w:rFonts w:ascii="Arial" w:cs="Arial" w:eastAsia="Arial" w:hAnsi="Arial"/>
          <w:sz w:val="19"/>
          <w:szCs w:val="19"/>
          <w:b w:val="1"/>
          <w:bCs w:val="1"/>
          <w:i w:val="1"/>
          <w:iCs w:val="1"/>
          <w:color w:val="auto"/>
        </w:rPr>
        <w:t>Foreign Plan</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760" w:firstLine="1494"/>
        <w:spacing w:after="0" w:line="269" w:lineRule="auto"/>
        <w:tabs>
          <w:tab w:leader="none" w:pos="2763" w:val="left"/>
        </w:tabs>
        <w:numPr>
          <w:ilvl w:val="1"/>
          <w:numId w:val="175"/>
        </w:numPr>
        <w:rPr>
          <w:rFonts w:ascii="Arial" w:cs="Arial" w:eastAsia="Arial" w:hAnsi="Arial"/>
          <w:sz w:val="19"/>
          <w:szCs w:val="19"/>
          <w:color w:val="auto"/>
        </w:rPr>
      </w:pPr>
      <w:r>
        <w:rPr>
          <w:rFonts w:ascii="Arial" w:cs="Arial" w:eastAsia="Arial" w:hAnsi="Arial"/>
          <w:sz w:val="19"/>
          <w:szCs w:val="19"/>
          <w:color w:val="auto"/>
        </w:rPr>
        <w:t>any employer and employee contributions required by law or by the terms of any Foreign Government Scheme or Arrangement or any Foreign Plan have been made, or, if applicable, accrued, in accordance with normal accounting practices, except for any failure that could not reasonably be expected to have a Material Adverse Effect;</w:t>
      </w:r>
    </w:p>
    <w:p>
      <w:pPr>
        <w:spacing w:after="0" w:line="169" w:lineRule="exact"/>
        <w:rPr>
          <w:rFonts w:ascii="Arial" w:cs="Arial" w:eastAsia="Arial" w:hAnsi="Arial"/>
          <w:sz w:val="19"/>
          <w:szCs w:val="19"/>
          <w:color w:val="auto"/>
        </w:rPr>
      </w:pPr>
    </w:p>
    <w:p>
      <w:pPr>
        <w:jc w:val="both"/>
        <w:ind w:left="760" w:firstLine="1494"/>
        <w:spacing w:after="0" w:line="259" w:lineRule="auto"/>
        <w:tabs>
          <w:tab w:leader="none" w:pos="2772"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Closing Date, with respect to all current and former participants in such Foreign Plan according to the actuarial assumptions and valuations most recently used to account for such obligations in accordance with applicable generally accepted accounting principles except for any underfunding that could not reasonably be expected to have a Material Adverse Effect;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5" w:name="page176"/>
    <w:bookmarkEnd w:id="175"/>
    <w:p>
      <w:pPr>
        <w:jc w:val="both"/>
        <w:ind w:left="760" w:firstLine="1494"/>
        <w:spacing w:after="0" w:line="246" w:lineRule="auto"/>
        <w:tabs>
          <w:tab w:leader="none" w:pos="276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each Foreign Plan required to be registered has been registered and has been maintained in substantial compliance with its terms and with the requirements of any and all applicable laws, statutes, rules, regulations and orders and has been maintained, where required, in good standing with applicable regulatory authorities, except as could not reasonably be expected to have a Material Adverse Effect.</w:t>
      </w:r>
    </w:p>
    <w:p>
      <w:pPr>
        <w:spacing w:after="0" w:line="19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5.12 Subsidiaries; Capital Stock. As of the Closing Date, each Loan Party has no Restricted Subsidiaries other than those specifically disclosed in </w:t>
      </w:r>
      <w:r>
        <w:rPr>
          <w:rFonts w:ascii="Arial" w:cs="Arial" w:eastAsia="Arial" w:hAnsi="Arial"/>
          <w:sz w:val="20"/>
          <w:szCs w:val="20"/>
          <w:u w:val="single" w:color="auto"/>
          <w:color w:val="auto"/>
        </w:rPr>
        <w:t>Schedule 5.12</w:t>
      </w:r>
      <w:r>
        <w:rPr>
          <w:rFonts w:ascii="Arial" w:cs="Arial" w:eastAsia="Arial" w:hAnsi="Arial"/>
          <w:sz w:val="20"/>
          <w:szCs w:val="20"/>
          <w:color w:val="auto"/>
        </w:rPr>
        <w:t>, and all of the outstanding Capital Stock in such Subsidiaries that are owned by a Loan Party have been validly issued, are fully paid and non assessable (to the extent such concepts are applicable in the relevant jurisdiction) and are owned free and clear of all Liens except Permitted Liens.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5.13  Margin Regulations; Investment Company Act.</w:t>
      </w:r>
    </w:p>
    <w:p>
      <w:pPr>
        <w:spacing w:after="0" w:line="216" w:lineRule="exact"/>
        <w:rPr>
          <w:sz w:val="20"/>
          <w:szCs w:val="20"/>
          <w:color w:val="auto"/>
        </w:rPr>
      </w:pPr>
    </w:p>
    <w:p>
      <w:pPr>
        <w:jc w:val="both"/>
        <w:ind w:firstLine="1505"/>
        <w:spacing w:after="0" w:line="246" w:lineRule="auto"/>
        <w:tabs>
          <w:tab w:leader="none" w:pos="198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and no proceeds of the initial Borrowing of Term Loans will be used to purchase or carry any margin stock or to extend credit to others for the purpose of purchasing or carrying any margin stock.</w:t>
      </w:r>
    </w:p>
    <w:p>
      <w:pPr>
        <w:spacing w:after="0" w:line="191" w:lineRule="exact"/>
        <w:rPr>
          <w:rFonts w:ascii="Arial" w:cs="Arial" w:eastAsia="Arial" w:hAnsi="Arial"/>
          <w:sz w:val="20"/>
          <w:szCs w:val="20"/>
          <w:color w:val="auto"/>
        </w:rPr>
      </w:pPr>
    </w:p>
    <w:p>
      <w:pPr>
        <w:ind w:firstLine="1505"/>
        <w:spacing w:after="0" w:line="260" w:lineRule="auto"/>
        <w:tabs>
          <w:tab w:leader="none" w:pos="200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None of the Borrower, any Person Controlling the Borrower, or any Restricted Subsidiary is or is required to be registered as an “investment company” as defined in the Investment Company Act of 1940.</w:t>
      </w:r>
    </w:p>
    <w:p>
      <w:pPr>
        <w:spacing w:after="0" w:line="177"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5.14 Disclosure. As of the Closing Date,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and pro forma financial information, the Borrower represents only that such information was prepared in good faith based upon assumptions believed to be reasonable at the time of preparation and delivery; it being understood that such projections may vary from actual results and that such variances may be material. As of the Closing Date, in relation to the Initial Term Loans incurred by the Borrower on such date, the information included in the Beneficial Ownership Certification, if applicable, is, to the knowledge of the Borrower, true and correct in all respects.</w:t>
      </w:r>
    </w:p>
    <w:p>
      <w:pPr>
        <w:spacing w:after="0" w:line="187"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5.15 Compliance with Laws. Each of the Loan Parties and its Restricted Subsidiaries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94"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8"/>
          <w:szCs w:val="18"/>
          <w:color w:val="auto"/>
        </w:rPr>
        <w:t>5.16 Intellectual Property; Licenses, Etc. Each Loan Party owns, licenses or possesses the right to use, all of the trademarks, service marks, trade names, copyrights, patents, franchises, licenses and other intellectual property rights (collectively, “</w:t>
      </w:r>
      <w:r>
        <w:rPr>
          <w:rFonts w:ascii="Arial" w:cs="Arial" w:eastAsia="Arial" w:hAnsi="Arial"/>
          <w:sz w:val="18"/>
          <w:szCs w:val="18"/>
          <w:b w:val="1"/>
          <w:bCs w:val="1"/>
          <w:i w:val="1"/>
          <w:iCs w:val="1"/>
          <w:color w:val="auto"/>
        </w:rPr>
        <w:t>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that are necessary for the operation of their respective businesses, as currently conducted, and such IP Rights do not conflict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rights of any other Person, except to the extent such failure to own, license or possess or such conflicts, either individually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6" w:name="page177"/>
    <w:bookmarkEnd w:id="176"/>
    <w:p>
      <w:pPr>
        <w:jc w:val="both"/>
        <w:spacing w:after="0" w:line="243" w:lineRule="auto"/>
        <w:rPr>
          <w:sz w:val="20"/>
          <w:szCs w:val="20"/>
          <w:color w:val="auto"/>
        </w:rPr>
      </w:pPr>
      <w:r>
        <w:rPr>
          <w:rFonts w:ascii="Arial" w:cs="Arial" w:eastAsia="Arial" w:hAnsi="Arial"/>
          <w:sz w:val="20"/>
          <w:szCs w:val="20"/>
          <w:color w:val="auto"/>
        </w:rPr>
        <w:t>in the aggregate, could not reasonably be expected to have a Material Adverse Effect. Set forth on Schedule 5.16 is a complete and accurate list of all material registered or applications to register IP Rights owned or exclusively licensed by each Loan Party as of the Closing Date. The conduct of the business of any Loan Party as currently conducted or as contemplated to be conducted does not infringe upon or violate any rights held by any other Person except for such infringements, and violations which, individually or in the aggregate, could not reasonably be expected to have a Material Adverse Effect. No claim or litigation regarding any of the foregoing is pending or, to the knowledge of the Borrower, threatened in writing which, either individually or in the aggregate, could reasonably be expected to have a Material Adverse Effect.</w:t>
      </w:r>
    </w:p>
    <w:p>
      <w:pPr>
        <w:spacing w:after="0" w:line="193"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5.17 Solvency. On the Closing Date, after giving effect to the Transactions, the Borrower and its Subsidiaries on a consolidated basis, are Solvent.</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5.18  EEA Financial Institutions. No Loan Party is an EEA Financial Institution.</w:t>
      </w:r>
    </w:p>
    <w:p>
      <w:pPr>
        <w:spacing w:after="0" w:line="21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5.19 Labor Matters. There are no collective bargaining agreements or Multiemployer Plans, other than those listed on Schedule 5.19, covering the employees of Holdings, the Borrower or any of its Restricted Subsidiaries as of the Closing Date and, except as could not reasonably be expected to result in a Material Adverse Effect, neither the Borrower nor any Restricted Subsidiary has suffered any strikes, walkouts or work stoppages.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5.20  Perfection, Etc.</w:t>
      </w:r>
    </w:p>
    <w:p>
      <w:pPr>
        <w:spacing w:after="0" w:line="216" w:lineRule="exact"/>
        <w:rPr>
          <w:sz w:val="20"/>
          <w:szCs w:val="20"/>
          <w:color w:val="auto"/>
        </w:rPr>
      </w:pPr>
    </w:p>
    <w:p>
      <w:pPr>
        <w:jc w:val="both"/>
        <w:ind w:firstLine="1505"/>
        <w:spacing w:after="0" w:line="255" w:lineRule="auto"/>
        <w:tabs>
          <w:tab w:leader="none" w:pos="198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The Security Agreement is effective to create in favor of the Collateral Agent for the benefit of the Secured Parties, legal, valid and enforceable Liens on, and security interest in, the Security Agreement Collateral and, (i) when financing statements and other filings in appropriate form are filed in the offices specified on </w:t>
      </w:r>
      <w:r>
        <w:rPr>
          <w:rFonts w:ascii="Arial" w:cs="Arial" w:eastAsia="Arial" w:hAnsi="Arial"/>
          <w:sz w:val="19"/>
          <w:szCs w:val="19"/>
          <w:u w:val="single" w:color="auto"/>
          <w:color w:val="auto"/>
        </w:rPr>
        <w:t>Schedule 5.20</w:t>
      </w:r>
      <w:r>
        <w:rPr>
          <w:rFonts w:ascii="Arial" w:cs="Arial" w:eastAsia="Arial" w:hAnsi="Arial"/>
          <w:sz w:val="19"/>
          <w:szCs w:val="19"/>
          <w:color w:val="auto"/>
        </w:rPr>
        <w:t>, and (ii) upon the taking of possession or control by the Collateral Agent of the Security Agreement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Security Agreement shall constitute fully perfected Liens on, and security interests in, all right, title and interest of the grantors in the Security Agreement Collateral to the extent perfection is required in accordance with the terms of the Security Agreement (other than such Security Agreement Collateral in which a security interest cannot be perfected under the UCC as in effect at the relevant time in the relevant jurisdiction by the filing of a financing statement or possession or control by the secured party), in each case subject to (i) no Liens other than Liens permitted under the Loan Documents and (ii) the terms of the Intercreditor Agreements.</w:t>
      </w:r>
    </w:p>
    <w:p>
      <w:pPr>
        <w:spacing w:after="0" w:line="186" w:lineRule="exact"/>
        <w:rPr>
          <w:rFonts w:ascii="Arial" w:cs="Arial" w:eastAsia="Arial" w:hAnsi="Arial"/>
          <w:sz w:val="19"/>
          <w:szCs w:val="19"/>
          <w:color w:val="auto"/>
        </w:rPr>
      </w:pPr>
    </w:p>
    <w:p>
      <w:pPr>
        <w:jc w:val="both"/>
        <w:ind w:firstLine="1505"/>
        <w:spacing w:after="0" w:line="243" w:lineRule="auto"/>
        <w:tabs>
          <w:tab w:leader="none" w:pos="198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Liens created by each Intellectual Property Security Agreement constitute fully perfected Liens on, and security interests in, all right, title and interest of the grantors thereunder in such of the intellectual property as consists of Patents and Trademarks (each as defined in the Security Agreement) registered or applied for with the United States Patent and Trademark Office or Copyrights (as defined in the Security Agreement) registered or applied for with the United States Copyright Office, as the case may be, in each case to the extent perfection is required in accordance with the terms of the Security Agreement and in each case subject to no Liens other than Liens permitted under the Loan Documents.</w:t>
      </w:r>
    </w:p>
    <w:p>
      <w:pPr>
        <w:spacing w:after="0" w:line="195" w:lineRule="exact"/>
        <w:rPr>
          <w:rFonts w:ascii="Arial" w:cs="Arial" w:eastAsia="Arial" w:hAnsi="Arial"/>
          <w:sz w:val="20"/>
          <w:szCs w:val="20"/>
          <w:color w:val="auto"/>
        </w:rPr>
      </w:pPr>
    </w:p>
    <w:p>
      <w:pPr>
        <w:jc w:val="both"/>
        <w:ind w:firstLine="1505"/>
        <w:spacing w:after="0" w:line="263" w:lineRule="auto"/>
        <w:tabs>
          <w:tab w:leader="none" w:pos="199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Each Mortgage, when executed and delivered, will create legal, valid and enforceable first priority Liens on, and security interests in, all of the Loan Parties’ right, title and interest in and to the Mortgaged Property thereunder and the proceeds thereof in favor of the Collateral Agent for the benefit of the Secured Parties, subject only to Liens permitted by such Mortgage, and such Mortgage will constitute fully perfected Liens on, and security interests in, all right, title and interest of the Loan Parties in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7" w:name="page178"/>
    <w:bookmarkEnd w:id="177"/>
    <w:p>
      <w:pPr>
        <w:spacing w:after="0" w:line="260" w:lineRule="auto"/>
        <w:rPr>
          <w:sz w:val="20"/>
          <w:szCs w:val="20"/>
          <w:color w:val="auto"/>
        </w:rPr>
      </w:pPr>
      <w:r>
        <w:rPr>
          <w:rFonts w:ascii="Arial" w:cs="Arial" w:eastAsia="Arial" w:hAnsi="Arial"/>
          <w:sz w:val="20"/>
          <w:szCs w:val="20"/>
          <w:color w:val="auto"/>
        </w:rPr>
        <w:t>Mortgaged Property contemplated thereby and the proceeds thereof, in each case prior and superior in right to any other Person, other than Liens permitted by such Mortgage.</w:t>
      </w:r>
    </w:p>
    <w:p>
      <w:pPr>
        <w:spacing w:after="0" w:line="177" w:lineRule="exact"/>
        <w:rPr>
          <w:sz w:val="20"/>
          <w:szCs w:val="20"/>
          <w:color w:val="auto"/>
        </w:rPr>
      </w:pPr>
    </w:p>
    <w:p>
      <w:pPr>
        <w:jc w:val="both"/>
        <w:ind w:firstLine="1505"/>
        <w:spacing w:after="0" w:line="278" w:lineRule="auto"/>
        <w:tabs>
          <w:tab w:leader="none" w:pos="202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Each Collateral Document (other than Mortgages)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creates in favor of the Collateral Agent, for the benefit of the Secured Parties, legal, valid and enforceable Liens on, and security interests in, all of the Loan Parties’ right, title and interest in and to the Collateral described thereunder, and such Collateral Document constitutes fully perfected Liens on, and security interests in, all right, title and interest of the Loan Parties in such Collateral (to the extent intended to be created thereby and required to be perfected under the Loan Documents), in each case subject to no Liens other than the Liens permitted under the Loan Documents.</w:t>
      </w:r>
    </w:p>
    <w:p>
      <w:pPr>
        <w:spacing w:after="0" w:line="16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5.21 PATRIOT Act. To the extent applicable, each of Holdings and its Restricted Subsidiaries and each Unrestricted Subsidiary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w:t>
      </w:r>
    </w:p>
    <w:p>
      <w:pPr>
        <w:spacing w:after="0" w:line="191"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5.22 Anti-Corruption Laws and Sanctions.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to the knowledge of the Borrower, their respective officers, employees, directors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established hereby, is a Sanctioned Person, or engaged in any transactions or dealings with a Sanctioned Person or in a Sanctioned Country. No Borrowing, use of proceeds or other transaction contemplated by this Agreement will (i) directly or indirectly fund, finance, or facilitate any activities, business or transaction of or with a Sanctioned Person, or in any Sanctioned Country, or (ii) be used in any other manner that would result in a violation of Anti-Corruption Laws or Sanctions.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0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which is accrued and payable shall remain unpaid or unsatisfied, (A)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cause each Restricted Subsidiary to and (B) with respect to </w:t>
      </w:r>
      <w:r>
        <w:rPr>
          <w:rFonts w:ascii="Arial" w:cs="Arial" w:eastAsia="Arial" w:hAnsi="Arial"/>
          <w:sz w:val="20"/>
          <w:szCs w:val="20"/>
          <w:u w:val="single" w:color="auto"/>
          <w:color w:val="auto"/>
        </w:rPr>
        <w:t>Section 6.14</w:t>
      </w:r>
      <w:r>
        <w:rPr>
          <w:rFonts w:ascii="Arial" w:cs="Arial" w:eastAsia="Arial" w:hAnsi="Arial"/>
          <w:sz w:val="20"/>
          <w:szCs w:val="20"/>
          <w:color w:val="auto"/>
        </w:rPr>
        <w:t>, Holdings shall: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6.01  Financial Statements. Deliver to the Administrative Agent for further distribution to each Lender:</w:t>
      </w:r>
    </w:p>
    <w:p>
      <w:pPr>
        <w:spacing w:after="0" w:line="216" w:lineRule="exact"/>
        <w:rPr>
          <w:sz w:val="20"/>
          <w:szCs w:val="20"/>
          <w:color w:val="auto"/>
        </w:rPr>
      </w:pPr>
    </w:p>
    <w:p>
      <w:pPr>
        <w:jc w:val="both"/>
        <w:ind w:firstLine="1505"/>
        <w:spacing w:after="0" w:line="243" w:lineRule="auto"/>
        <w:tabs>
          <w:tab w:leader="none" w:pos="2015" w:val="left"/>
        </w:tabs>
        <w:numPr>
          <w:ilvl w:val="0"/>
          <w:numId w:val="180"/>
        </w:numPr>
        <w:rPr>
          <w:rFonts w:ascii="Arial" w:cs="Arial" w:eastAsia="Arial" w:hAnsi="Arial"/>
          <w:sz w:val="20"/>
          <w:szCs w:val="20"/>
          <w:color w:val="auto"/>
        </w:rPr>
      </w:pPr>
      <w:r>
        <w:rPr>
          <w:rFonts w:ascii="Arial" w:cs="Arial" w:eastAsia="Arial" w:hAnsi="Arial"/>
          <w:sz w:val="20"/>
          <w:szCs w:val="20"/>
          <w:color w:val="auto"/>
        </w:rPr>
        <w:t>within ninety (90) days after the end of each fiscal year of the Borrower, a consolidated balance sheet of the Borrower and its Subsidiaries as at the end of such fiscal year, and the related consolidated statements of income or operations, shareholders’ equity and cash flows for such fiscal year, in each case with all consolidating information regarding Borrower and its Restricted Subsidiaries required to reflect the adjustments necessary to eliminate the accounts of any Unrestricted Subsidiaries from such consolidated financial statements, setting forth in each case in comparative form the figures for the previous fiscal year, all in reasonable detail and prepared in accordance with GAAP, audited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8" w:name="page179"/>
    <w:bookmarkEnd w:id="178"/>
    <w:p>
      <w:pPr>
        <w:jc w:val="both"/>
        <w:spacing w:after="0" w:line="257" w:lineRule="auto"/>
        <w:rPr>
          <w:sz w:val="20"/>
          <w:szCs w:val="20"/>
          <w:color w:val="auto"/>
        </w:rPr>
      </w:pPr>
      <w:r>
        <w:rPr>
          <w:rFonts w:ascii="Arial" w:cs="Arial" w:eastAsia="Arial" w:hAnsi="Arial"/>
          <w:sz w:val="19"/>
          <w:szCs w:val="19"/>
          <w:color w:val="auto"/>
        </w:rPr>
        <w:t>accompanied by a report and opinion of Ernst &amp; Young LLP or any other independent certified public accountant of nationally recognized standing, which report and opinion shall be prepared in accordance with generally accepted auditing standards and shall not be subject to any “going concern” or like qualification, exception or explanatory paragraph or any qualification, exception or explanatory paragraph as to the scope of such audit (other than any such exception, qualification or explanatory paragraph that is expressly solely with respect to, or expressly resulting solely from, (i) an upcoming maturity date under the Facilities or other Indebtedness that is scheduled to occur within one year from the time such report and opinion are delivered, (ii) any potential inability to satisfy a financial maintenance covenant on a future date or in a future period or (iii) the activities, operations, financial results, assets or liabilities of any Unrestricted Subsidiary), together with a customary management discussion and analysis; and</w:t>
      </w:r>
    </w:p>
    <w:p>
      <w:pPr>
        <w:spacing w:after="0" w:line="180" w:lineRule="exact"/>
        <w:rPr>
          <w:sz w:val="20"/>
          <w:szCs w:val="20"/>
          <w:color w:val="auto"/>
        </w:rPr>
      </w:pPr>
    </w:p>
    <w:p>
      <w:pPr>
        <w:jc w:val="both"/>
        <w:ind w:firstLine="1505"/>
        <w:spacing w:after="0" w:line="241" w:lineRule="auto"/>
        <w:tabs>
          <w:tab w:leader="none" w:pos="201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within forty-five (45) days after the end of each of the first three (3) fiscal quarters of each fiscal year of the Borrower, a consolidated balance sheet of the Borrower and its Subsidiaries as at the end of such fiscal quarter, and the related consolidated statements of income or operations, shareholders’ equity and cash flows for such fiscal quarter and for the portion of the fiscal year then ended, in each case with all consolidating information regarding Borrower and its Restricted Subsidiaries required to reflect the adjustments necessary to eliminate the accounts of any Unrestricted Subsidiaries from such consolidated financial statements,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 together with a customary management discussion and analysis.</w:t>
      </w:r>
    </w:p>
    <w:p>
      <w:pPr>
        <w:spacing w:after="0" w:line="202"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Notwithstanding the foregoing, (i) in the event that the Borrower delivers to the Administrative Agent an Annual Report for the Borrower on Form 10-K for such fiscal year, as filed with the SEC, within 90 days after the end of such fiscal year, such Form 10-K shall satisfy all requirements of paragraph (a) of this Section to the extent that it contains the information required by such paragraph (a) and does not contain any “going concern” or like qualification, exception or explanatory paragraph or qualification or any exception or explanatory paragraph as to the scope of such audit (other than any such exception, qualification or explanatory paragraph that is expressly solely with respect to, or expressly resulting solely from, (i) an upcoming maturity date under the Facilities or other Indebtedness that is scheduled to occur within one year from the time such report and opinion are delivered, (ii) any potential inability to satisfy a financial maintenance covenant on a future date or in a future period or (iii) the activities, operations, financial results, assets or liabilities of any Unrestricted Subsidiary) and (ii) in the event that the Borrower delivers to the Administrative Agent a Quarterly Report for the Borrower on Form 10-Q for such fiscal quarter, as filed with the SEC, within 45 days after the end of such fiscal quarter, such Form 10-Q shall satisfy all requirements of paragraph (b) of this Section to the extent that it contains the information required by such paragraph (b); in each case to the extent that information contained in such 10-K or 10-Q satisfies the requirements of paragraphs (a) or (b) of this Section, as the case may be.</w:t>
      </w:r>
    </w:p>
    <w:p>
      <w:pPr>
        <w:spacing w:after="0" w:line="17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The information required by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may be included in materials furnished pursuant to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but the foregoing shall not be in derogation of the obligation of the Borrower to furnish the information and materials described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at the times specified therein.</w:t>
      </w:r>
    </w:p>
    <w:p>
      <w:pPr>
        <w:spacing w:after="0" w:line="18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 xml:space="preserve">The Borrower will be permitted to satisfy its obligations with respect to financial information relating to the Borrower described in clauses (a) and (b) above by furnishing financial information relating to Holdings;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same is accompanied by consolidating information that explains in reasonable detail the differences between the information relating to Holdings and any of its Subsidiaries other than the Borrower and its Subsidiaries, on the one hand, and the information relating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the Borrower, the Subsidiary Guarantors and the other Restricted Subsidiaries of the Borrower on a standalone basis, on the other hand.</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6.02  Certificates; Other Information. Deliver to the Administrative Agent:</w:t>
      </w:r>
    </w:p>
    <w:p>
      <w:pPr>
        <w:spacing w:after="0" w:line="216" w:lineRule="exact"/>
        <w:rPr>
          <w:sz w:val="20"/>
          <w:szCs w:val="20"/>
          <w:color w:val="auto"/>
        </w:rPr>
      </w:pPr>
    </w:p>
    <w:p>
      <w:pPr>
        <w:ind w:left="1980" w:hanging="475"/>
        <w:spacing w:after="0"/>
        <w:tabs>
          <w:tab w:leader="none" w:pos="19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505"/>
        <w:spacing w:after="0" w:line="246" w:lineRule="auto"/>
        <w:tabs>
          <w:tab w:leader="none" w:pos="199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No later than five days after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duly completed Compliance Certificate signed by a Responsible Officer of the Borrower, which may, unless the Administrative Agent or a Lender requests executed originals, be by electronic communication including fax or email and shall be deemed to be an original authentic counterpart thereof for all purposes;</w:t>
      </w:r>
    </w:p>
    <w:p>
      <w:pPr>
        <w:spacing w:after="0" w:line="191" w:lineRule="exact"/>
        <w:rPr>
          <w:rFonts w:ascii="Arial" w:cs="Arial" w:eastAsia="Arial" w:hAnsi="Arial"/>
          <w:sz w:val="20"/>
          <w:szCs w:val="20"/>
          <w:color w:val="auto"/>
        </w:rPr>
      </w:pPr>
    </w:p>
    <w:p>
      <w:pPr>
        <w:jc w:val="both"/>
        <w:ind w:firstLine="1505"/>
        <w:spacing w:after="0" w:line="282" w:lineRule="auto"/>
        <w:tabs>
          <w:tab w:leader="none" w:pos="20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Holdings or the Borrower may file or be required to file, copies of any report, filing or communication with the SEC under Section 13 or 15(d) of the Exchange Act, or with any Governmental Authority that may be substituted therefor, or with any national securities exchange, and in any case not otherwise required to be delivered to the Administrative Agent pursuant hereto;</w:t>
      </w:r>
    </w:p>
    <w:p>
      <w:pPr>
        <w:spacing w:after="0" w:line="161" w:lineRule="exact"/>
        <w:rPr>
          <w:rFonts w:ascii="Arial" w:cs="Arial" w:eastAsia="Arial" w:hAnsi="Arial"/>
          <w:sz w:val="18"/>
          <w:szCs w:val="18"/>
          <w:color w:val="auto"/>
        </w:rPr>
      </w:pPr>
    </w:p>
    <w:p>
      <w:pPr>
        <w:jc w:val="both"/>
        <w:ind w:firstLine="1505"/>
        <w:spacing w:after="0" w:line="244" w:lineRule="auto"/>
        <w:tabs>
          <w:tab w:leader="none" w:pos="198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promptly after the furnishing thereof, copies of any requests or notices received by any Loan Party (other than in the ordinary course of business), statement or report furnished to any holder of debt securities of any Loan Party or of any of its Subsidiaries (other than any immaterial correspondence in the ordinary course of business or any regularly required quarterly or annual certificates) pursuant to the terms of any Senior Notes Indenture or any public debt securities and not otherwise required to be furnished to the Lenders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any other clause of this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505"/>
        <w:spacing w:after="0" w:line="291" w:lineRule="auto"/>
        <w:tabs>
          <w:tab w:leader="none" w:pos="202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promptly, after receipt thereof by any Loan Party or any Subsidiary thereof, copies of each notice or other correspondence received from the SEC (or comparable agency in any applicable non-U.S. jurisdiction) concerning any material investigation or other material inquiry by such agency regarding financial or other operational results of any Loan Party or any Subsidiary thereof;</w:t>
      </w:r>
    </w:p>
    <w:p>
      <w:pPr>
        <w:spacing w:after="0" w:line="151" w:lineRule="exact"/>
        <w:rPr>
          <w:rFonts w:ascii="Arial" w:cs="Arial" w:eastAsia="Arial" w:hAnsi="Arial"/>
          <w:sz w:val="18"/>
          <w:szCs w:val="18"/>
          <w:color w:val="auto"/>
        </w:rPr>
      </w:pPr>
    </w:p>
    <w:p>
      <w:pPr>
        <w:ind w:left="2040" w:hanging="535"/>
        <w:spacing w:after="0"/>
        <w:tabs>
          <w:tab w:leader="none" w:pos="20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505"/>
        <w:spacing w:after="0" w:line="260" w:lineRule="auto"/>
        <w:tabs>
          <w:tab w:leader="none" w:pos="198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promptly upon any Loan Party obtaining knowledge of (i) the institution of any Adverse Proceeding not previously disclosed in writing by the Borrower to the Administrative Agent, or (ii) any material development in any Adverse Proceeding that, in the case of either clause (i) or (ii) could reasonably be expected to have a Material Adverse Effect, or seeks to enjoin or otherwise prevent the consummation of the Transactions, written notice thereof together with such other information as may be reasonably available to the Borrower to enable the Administrative Agent and its counsel to evaluate such matters;</w:t>
      </w:r>
    </w:p>
    <w:p>
      <w:pPr>
        <w:spacing w:after="0" w:line="180" w:lineRule="exact"/>
        <w:rPr>
          <w:rFonts w:ascii="Arial" w:cs="Arial" w:eastAsia="Arial" w:hAnsi="Arial"/>
          <w:sz w:val="19"/>
          <w:szCs w:val="19"/>
          <w:color w:val="auto"/>
        </w:rPr>
      </w:pPr>
    </w:p>
    <w:p>
      <w:pPr>
        <w:ind w:firstLine="1505"/>
        <w:spacing w:after="0" w:line="260" w:lineRule="auto"/>
        <w:tabs>
          <w:tab w:leader="none" w:pos="2017"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together with the delivery of each Compliance Certificate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a report supplementing </w:t>
      </w:r>
      <w:r>
        <w:rPr>
          <w:rFonts w:ascii="Arial" w:cs="Arial" w:eastAsia="Arial" w:hAnsi="Arial"/>
          <w:sz w:val="20"/>
          <w:szCs w:val="20"/>
          <w:u w:val="single" w:color="auto"/>
          <w:color w:val="auto"/>
        </w:rPr>
        <w:t>Schedule 5.12</w:t>
      </w:r>
      <w:r>
        <w:rPr>
          <w:rFonts w:ascii="Arial" w:cs="Arial" w:eastAsia="Arial" w:hAnsi="Arial"/>
          <w:sz w:val="20"/>
          <w:szCs w:val="20"/>
          <w:color w:val="auto"/>
        </w:rPr>
        <w:t xml:space="preserve">, </w:t>
      </w:r>
      <w:r>
        <w:rPr>
          <w:rFonts w:ascii="Arial" w:cs="Arial" w:eastAsia="Arial" w:hAnsi="Arial"/>
          <w:sz w:val="20"/>
          <w:szCs w:val="20"/>
          <w:u w:val="single" w:color="auto"/>
          <w:color w:val="auto"/>
        </w:rPr>
        <w:t>5.16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5.08(b)</w:t>
      </w:r>
      <w:r>
        <w:rPr>
          <w:rFonts w:ascii="Arial" w:cs="Arial" w:eastAsia="Arial" w:hAnsi="Arial"/>
          <w:sz w:val="20"/>
          <w:szCs w:val="20"/>
          <w:color w:val="auto"/>
        </w:rPr>
        <w:t xml:space="preserve"> hereto;</w:t>
      </w:r>
    </w:p>
    <w:p>
      <w:pPr>
        <w:spacing w:after="0" w:line="176" w:lineRule="exact"/>
        <w:rPr>
          <w:rFonts w:ascii="Arial" w:cs="Arial" w:eastAsia="Arial" w:hAnsi="Arial"/>
          <w:sz w:val="20"/>
          <w:szCs w:val="20"/>
          <w:color w:val="auto"/>
        </w:rPr>
      </w:pPr>
    </w:p>
    <w:p>
      <w:pPr>
        <w:ind w:left="1980" w:hanging="475"/>
        <w:spacing w:after="0"/>
        <w:tabs>
          <w:tab w:leader="none" w:pos="19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15" w:lineRule="exact"/>
        <w:rPr>
          <w:rFonts w:ascii="Arial" w:cs="Arial" w:eastAsia="Arial" w:hAnsi="Arial"/>
          <w:sz w:val="20"/>
          <w:szCs w:val="20"/>
          <w:color w:val="auto"/>
        </w:rPr>
      </w:pPr>
    </w:p>
    <w:p>
      <w:pPr>
        <w:jc w:val="both"/>
        <w:ind w:firstLine="1505"/>
        <w:spacing w:after="0" w:line="250" w:lineRule="auto"/>
        <w:tabs>
          <w:tab w:leader="none" w:pos="1987" w:val="left"/>
        </w:tabs>
        <w:numPr>
          <w:ilvl w:val="0"/>
          <w:numId w:val="182"/>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legal, financial or corporate affairs of any Loan Party or any Subsidiary, or compliance with the terms of the Loan Documents, as the Administrative Agent or any Lender may from time to time reasonably request, including without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80" w:name="page181"/>
    <w:bookmarkEnd w:id="180"/>
    <w:p>
      <w:pPr>
        <w:jc w:val="both"/>
        <w:spacing w:after="0" w:line="260" w:lineRule="auto"/>
        <w:rPr>
          <w:sz w:val="20"/>
          <w:szCs w:val="20"/>
          <w:color w:val="auto"/>
        </w:rPr>
      </w:pPr>
      <w:r>
        <w:rPr>
          <w:rFonts w:ascii="Arial" w:cs="Arial" w:eastAsia="Arial" w:hAnsi="Arial"/>
          <w:sz w:val="20"/>
          <w:szCs w:val="20"/>
          <w:color w:val="auto"/>
        </w:rPr>
        <w:t>limitation, any change in the information provided in the Beneficial Ownership Certification that would result in a change to the list of beneficial owners identified in parts (c) or (d) of such certification.</w:t>
      </w:r>
    </w:p>
    <w:p>
      <w:pPr>
        <w:spacing w:after="0" w:line="177"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20"/>
          <w:szCs w:val="20"/>
          <w:u w:val="single" w:color="auto"/>
          <w:color w:val="auto"/>
        </w:rPr>
        <w:t>Schedule 10.02</w:t>
      </w:r>
      <w:r>
        <w:rPr>
          <w:rFonts w:ascii="Arial" w:cs="Arial" w:eastAsia="Arial" w:hAnsi="Arial"/>
          <w:sz w:val="20"/>
          <w:szCs w:val="20"/>
          <w:color w:val="auto"/>
        </w:rPr>
        <w:t xml:space="preserve">; or (ii) on which such documents are posted on the Borrower’s behalf on IntraLinks/IntraAgency or another relevant Internet or intranet website, if any, to which each Lender and the Administrative Agent have access (whether a commercial, third-party website or whether sponsored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that the Borrower shall notify (which may be by facsimile or electronic mail) the Administrative Agent of the posting of any such documents and provide to the Administrative Agent by electronic mail electronic versions (i.e., soft copies) of such documents. The Administrative Agent shall have no responsibility to monitor compliance by the Borrower with any such request for delivery, and each Lender shall be solely responsible for timely accessing posted documents.</w:t>
      </w:r>
    </w:p>
    <w:p>
      <w:pPr>
        <w:spacing w:after="0" w:line="202"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The Borrower hereby acknowledges that (a) the Administrative Agent and/or the Arrangers will make available to the Lenders materials and/or information provided by or on behalf of the Borrower hereunder (collectively, “</w:t>
      </w:r>
      <w:r>
        <w:rPr>
          <w:rFonts w:ascii="Arial" w:cs="Arial" w:eastAsia="Arial" w:hAnsi="Arial"/>
          <w:sz w:val="18"/>
          <w:szCs w:val="18"/>
          <w:b w:val="1"/>
          <w:bCs w:val="1"/>
          <w:i w:val="1"/>
          <w:iCs w:val="1"/>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b w:val="1"/>
          <w:bCs w:val="1"/>
          <w:i w:val="1"/>
          <w:i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may have personnel who do not wish to receive material non-public information with respect to the Borrower or its Affiliates,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(although it may be sensitive and proprietary) with respect to the Borrower or its securities for purposes of United States Federal and state securities laws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79"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6.03 Notices. Promptly, after a Responsible Officer of the Borrower or any Guarantor has obtained knowledge thereof, notify the Administrative Agent:</w:t>
      </w:r>
    </w:p>
    <w:p>
      <w:pPr>
        <w:spacing w:after="0" w:line="177" w:lineRule="exact"/>
        <w:rPr>
          <w:sz w:val="20"/>
          <w:szCs w:val="20"/>
          <w:color w:val="auto"/>
        </w:rPr>
      </w:pPr>
    </w:p>
    <w:p>
      <w:pPr>
        <w:ind w:left="1980" w:hanging="475"/>
        <w:spacing w:after="0"/>
        <w:tabs>
          <w:tab w:leader="none" w:pos="19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15" w:lineRule="exact"/>
        <w:rPr>
          <w:rFonts w:ascii="Arial" w:cs="Arial" w:eastAsia="Arial" w:hAnsi="Arial"/>
          <w:sz w:val="20"/>
          <w:szCs w:val="20"/>
          <w:color w:val="auto"/>
        </w:rPr>
      </w:pPr>
    </w:p>
    <w:p>
      <w:pPr>
        <w:ind w:left="1980" w:hanging="475"/>
        <w:spacing w:after="0"/>
        <w:tabs>
          <w:tab w:leader="none" w:pos="19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 Adverse Effect; and</w:t>
      </w:r>
    </w:p>
    <w:p>
      <w:pPr>
        <w:spacing w:after="0" w:line="227" w:lineRule="exact"/>
        <w:rPr>
          <w:sz w:val="20"/>
          <w:szCs w:val="20"/>
          <w:color w:val="auto"/>
        </w:rPr>
      </w:pPr>
    </w:p>
    <w:p>
      <w:pPr>
        <w:ind w:left="520" w:firstLine="882"/>
        <w:spacing w:after="0" w:line="260" w:lineRule="auto"/>
        <w:tabs>
          <w:tab w:leader="none" w:pos="176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of the occurrence of any ERISA Event, where there is any reasonable likelihood of the imposition of liability on any Loan Party as a result thereof that would be reasonably expected to have a Material Adverse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81" w:name="page182"/>
    <w:bookmarkEnd w:id="181"/>
    <w:p>
      <w:pPr>
        <w:jc w:val="both"/>
        <w:spacing w:after="0" w:line="287"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shall be accompanied by a statement of a Responsible Officer of the Borrower setting forth details of the occurrence referred to therein and stating what action the Borrower has taken and proposes to take with respect thereto.</w:t>
      </w:r>
    </w:p>
    <w:p>
      <w:pPr>
        <w:spacing w:after="0" w:line="152"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6.04 Payment of Taxes. Except as would not, individually or in the aggregate, reasonably be expected to have a Material Adverse Effect, each Loan Party will, and will cause each of its Restricted Subsidiaries to, pay all Taxes imposed upon it or any of its properties or assets or in respect of any of its income, businesses or franchises (including in their capacity as a withholding agent) before any penalty or fine accrues thereon; provided, no such Tax or claim need be paid if it is being contested in good faith by appropriate proceedings promptly instituted and diligently conducted, so long as (a) adequate reserve or other appropriate provision, if any, as shall be required in conformity with GAAP (or the appropriate accounting method for such Loan Party) shall have been made therefor, and (b) in the case of a Tax or claim which has or may become a Lien against any of the Collateral, such contest proceedings operate to stay the sale of any portion of the Collateral to satisfy such Tax or claim.</w:t>
      </w:r>
    </w:p>
    <w:p>
      <w:pPr>
        <w:spacing w:after="0" w:line="18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6.05 Preservation of Existence, Etc. (a) Preserve, renew and maintain in full force and effect its legal existence under the Laws of the jurisdiction of its organization except in a transaction permitted by Section 7.04 or 7.05, (b) take all reasonable action to maintain all material rights, privileges (including its good standing), permits, licenses and franchises necessary or desirable in the normal conduct of its business, and (c) preserve or renew all of its material intellectual property, except, in the case of clause (b) or (c), as would not have a Material Adverse Effect.</w:t>
      </w:r>
    </w:p>
    <w:p>
      <w:pPr>
        <w:spacing w:after="0" w:line="19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6.06 Maintenance of Properties. Maintain, preserve, renew and protect all of its properties, IP Rights and equipment necessary in the operation of its business in good working order, condition and repair, ordinary wear and tear excepted and casualty or condemnation excepted.</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6.07  Maintenance of Insurance.</w:t>
      </w:r>
    </w:p>
    <w:p>
      <w:pPr>
        <w:spacing w:after="0" w:line="216" w:lineRule="exact"/>
        <w:rPr>
          <w:sz w:val="20"/>
          <w:szCs w:val="20"/>
          <w:color w:val="auto"/>
        </w:rPr>
      </w:pPr>
    </w:p>
    <w:p>
      <w:pPr>
        <w:jc w:val="both"/>
        <w:ind w:firstLine="1505"/>
        <w:spacing w:after="0" w:line="232" w:lineRule="exact"/>
        <w:tabs>
          <w:tab w:leader="none" w:pos="200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Maintain with financially sound and reputable insurance companies, insurance with respect to its properties and business against loss or damage of the kinds customarily insured against by Persons engaged in similar businesses, in each case in such amounts (giving effect to self</w:t>
      </w:r>
      <w:r>
        <w:rPr>
          <w:rFonts w:ascii="MS PGothic" w:cs="MS PGothic" w:eastAsia="MS PGothic" w:hAnsi="MS PGothic"/>
          <w:sz w:val="18"/>
          <w:szCs w:val="18"/>
          <w:color w:val="auto"/>
        </w:rPr>
        <w:t>‑</w:t>
      </w:r>
      <w:r>
        <w:rPr>
          <w:rFonts w:ascii="Arial" w:cs="Arial" w:eastAsia="Arial" w:hAnsi="Arial"/>
          <w:sz w:val="18"/>
          <w:szCs w:val="18"/>
          <w:color w:val="auto"/>
        </w:rPr>
        <w:t>insurance), with such deductibles, covering such risks and otherwise on such terms and conditions as shall be customary for such Persons. Each such policy of insurance (other than worker’s compensation, directors and officers liability or other insurance where such endorsements or additions are not customarily available) shall (i) name the Collateral Agent, on behalf of the Secured Parties as an additional insured thereunder as its interests may appear and (ii) in the case of each casualty insurance policy, contain a loss payable clause or endorsement, reasonably satisfactory in form and substance to the Collateral Agent, that names the Collateral Agent, on behalf of the Secured Parties, as the lender’s loss payee/mortgagee thereunder and provides for at least thirty days’ prior written notice to the Collateral Agent of any modification or cancellation of such policy, in each case, to the extent acceptable to the insurer.</w:t>
      </w:r>
    </w:p>
    <w:p>
      <w:pPr>
        <w:spacing w:after="0" w:line="201" w:lineRule="exact"/>
        <w:rPr>
          <w:rFonts w:ascii="Arial" w:cs="Arial" w:eastAsia="Arial" w:hAnsi="Arial"/>
          <w:sz w:val="18"/>
          <w:szCs w:val="18"/>
          <w:color w:val="auto"/>
        </w:rPr>
      </w:pPr>
    </w:p>
    <w:p>
      <w:pPr>
        <w:jc w:val="both"/>
        <w:ind w:firstLine="1505"/>
        <w:spacing w:after="0" w:line="243" w:lineRule="auto"/>
        <w:tabs>
          <w:tab w:leader="none" w:pos="200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in effect on the Closing Date or thereafter or any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Collateral Agent evidence of such compliance in form and substance reasonably acceptable to the Collateral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82" w:name="page183"/>
    <w:bookmarkEnd w:id="182"/>
    <w:p>
      <w:pPr>
        <w:jc w:val="both"/>
        <w:ind w:firstLine="1497"/>
        <w:spacing w:after="0" w:line="244" w:lineRule="auto"/>
        <w:rPr>
          <w:sz w:val="20"/>
          <w:szCs w:val="20"/>
          <w:color w:val="auto"/>
        </w:rPr>
      </w:pPr>
      <w:r>
        <w:rPr>
          <w:rFonts w:ascii="Arial" w:cs="Arial" w:eastAsia="Arial" w:hAnsi="Arial"/>
          <w:sz w:val="20"/>
          <w:szCs w:val="20"/>
          <w:color w:val="auto"/>
        </w:rPr>
        <w:t>6.08 Compliance with Laws. Comply in all material respects with all material Laws applicable to it or to its business or property, except in such instances in which such Law is being contested in good faith by appropriate proceedings diligently conducted or except as would not have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9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6.09 Books and Records. (a) Maintain proper books of record and account, in which full, true and correct (in all material respects) entries in conformity with GAAP consistently applied shall be made of all financial transactions and matters involving the assets and business of the Borrower or such Subsidiary, as the case may be; and (b) maintain such books of record and account in material conformity with all applicable requirements of any Governmental Authority having regulatory jurisdiction over the Borrower or such Subsidiary, as the case may be.</w:t>
      </w:r>
    </w:p>
    <w:p>
      <w:pPr>
        <w:spacing w:after="0" w:line="194"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6.10 Inspection Rights. Permit representatives of the Administrative Agent and, during the continuance of an Event of Default, of each Lender to visit and inspect any of its properties, to examine its corporate, financial and operating records, and make copies thereof or abstracts therefrom, and to discuss its affairs, finances and accounts with its directors, officers, and independent public accountants (provided that the Borrower shall be given reasonable opportunity to participate in any discussions with independent public accountants), all at the expense of the Borrower and at such reasonable times during normal business hours and as often as may be reasonably desired, upon reasonable advance notice to the Borrower; provided, however, that (i) visits by Lenders pursuant to this Section 6.10 shall be coordinated through the Administrative Agent, (ii) if no Default exists, the Administrative Agent and each Lender may visit no more than one time during any calendar year, and (iii) when an Event of Default exists the Administrative Agent or any Lender (or any of their respective representatives) may do any of the foregoing at the expense of the Borrower at any time during normal business hours and without advance notice.</w:t>
      </w:r>
    </w:p>
    <w:p>
      <w:pPr>
        <w:spacing w:after="0" w:line="190"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20"/>
          <w:szCs w:val="20"/>
          <w:color w:val="auto"/>
        </w:rPr>
        <w:t>6.11 Use of Proceeds. Use the proceeds of the initial Borrowing on the Closing Date to finance a portion of the Transaction, including any fees, commissions and expenses associated therewith. Use the proceeds of any Loans after the Closing Date for working capital and general corporate purposes of the Borrower and its Subsidiaries, including acquisitions and investments and payment of fees and expenses in connection therewith.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6.12  Covenant to Guarantee Obligations and Give Security.</w:t>
      </w:r>
    </w:p>
    <w:p>
      <w:pPr>
        <w:spacing w:after="0" w:line="216" w:lineRule="exact"/>
        <w:rPr>
          <w:sz w:val="20"/>
          <w:szCs w:val="20"/>
          <w:color w:val="auto"/>
        </w:rPr>
      </w:pPr>
    </w:p>
    <w:p>
      <w:pPr>
        <w:jc w:val="both"/>
        <w:ind w:firstLine="1505"/>
        <w:spacing w:after="0" w:line="243" w:lineRule="auto"/>
        <w:tabs>
          <w:tab w:leader="none" w:pos="2018"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Upon the formation or acquisition of any new Subsidiaries by any Loan Party (provided that each of (i) any redesignation resulting in an Unrestricted Subsidiary becoming a Restricted Subsidiary and (ii) any Excluded Subsidiary ceasing to be an Excluded Subsidiary but remaining a Restricted Subsidiary shall be deemed to constitute the acquisition of a Restricted Subsidiary for all purposes of this </w:t>
      </w:r>
      <w:r>
        <w:rPr>
          <w:rFonts w:ascii="Arial" w:cs="Arial" w:eastAsia="Arial" w:hAnsi="Arial"/>
          <w:sz w:val="20"/>
          <w:szCs w:val="20"/>
          <w:u w:val="single" w:color="auto"/>
          <w:color w:val="auto"/>
        </w:rPr>
        <w:t>Section 6.12</w:t>
      </w:r>
      <w:r>
        <w:rPr>
          <w:rFonts w:ascii="Arial" w:cs="Arial" w:eastAsia="Arial" w:hAnsi="Arial"/>
          <w:sz w:val="20"/>
          <w:szCs w:val="20"/>
          <w:color w:val="auto"/>
        </w:rPr>
        <w:t>), including by means of a Division, or upon the acquisition of any personal property (other than Excluded Assets) or any Material Real Property by any Loan Party, which real or personal property, in the reasonable judgment of the Collateral Agent, is not already subject to a perfected Lien in favor of the Collateral Agent for the benefit of the Secured Parties, and then the Borrower shall, in each case at the Borrower’s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83" w:name="page184"/>
    <w:bookmarkEnd w:id="183"/>
    <w:p>
      <w:pPr>
        <w:jc w:val="both"/>
        <w:ind w:left="-360" w:firstLine="1494"/>
        <w:spacing w:after="0" w:line="254" w:lineRule="auto"/>
        <w:tabs>
          <w:tab w:leader="none" w:pos="162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in connection with the formation, including by means of a Division, or acquisition of a Subsidiary, within forty-five (45) days after such formation or acquisition or such longer period as the Administrative Agent or the Collateral Agent, as applicable, may agree in its sole discretion, (A) cause each such Subsidiary that is not an Excluded Subsidiary to duly execute and deliver to the Administrative Agent a guaranty or guaranty supplement, in form and substance reasonably satisfactory to the Administrative Agent, guaranteeing the other Loan Parties’ obligations under the Loan Documents, and (B) (if not already so delivered) deliver certificates representing the Pledged Equity Interests of each such Subsidiary (other than any Unrestricted Subsidiary) accompanied by undated stock powers or other appropriate instruments of transfer executed in blank and instruments evidencing the Pledged Debt of such Subsidiary indorsed in blank to the Collateral Agent, together with, if requested by the Collateral Agent, supplements to the Security Agreement or other pledge or security agreements with respect to the pledge of any Equity Interests or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65% of voting Equity Interests of any Foreign Subsidiary that is a CFC or of any CFC Holdco shall be required to be pledged as Collateral and no such restriction shall apply to non-voting Equity Interests of such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(1) notwithstanding anything to the contrary in this Agreement, no assets owned directly or indirectly by any CFC (including any stock owned directly or indirectly by such CFC in a Domestic Subsidiary) or a CFC Holdco shall be required to be pledged as Collateral and (2) pledge and security agreements governed by any non-U.S. jurisdiction shall not be required.</w:t>
      </w:r>
    </w:p>
    <w:p>
      <w:pPr>
        <w:spacing w:after="0" w:line="190" w:lineRule="exact"/>
        <w:rPr>
          <w:rFonts w:ascii="Arial" w:cs="Arial" w:eastAsia="Arial" w:hAnsi="Arial"/>
          <w:sz w:val="19"/>
          <w:szCs w:val="19"/>
          <w:color w:val="auto"/>
        </w:rPr>
      </w:pPr>
    </w:p>
    <w:p>
      <w:pPr>
        <w:jc w:val="both"/>
        <w:ind w:left="-360" w:firstLine="1494"/>
        <w:spacing w:after="0" w:line="278" w:lineRule="auto"/>
        <w:tabs>
          <w:tab w:leader="none" w:pos="16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within forty-five (45) days after such formation, including by means of a Division, or acquisition (or such longer period, as the Collateral Agent may agree in its sole discretion), furnish to the Collateral Agent a description of the real and personal properties of the Loan Parties and their respective Subsidiaries (other than Excluded Subsidiaries) in detail reasonably satisfactory to the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provided pursuant to this clause (ii) shall consist solely of information of the type that would be set forth on Schedules 1 through 12 of the Perfection Certificate and Schedule 5.08(b) hereto,</w:t>
      </w:r>
    </w:p>
    <w:p>
      <w:pPr>
        <w:spacing w:after="0" w:line="164" w:lineRule="exact"/>
        <w:rPr>
          <w:rFonts w:ascii="Arial" w:cs="Arial" w:eastAsia="Arial" w:hAnsi="Arial"/>
          <w:sz w:val="18"/>
          <w:szCs w:val="18"/>
          <w:color w:val="auto"/>
        </w:rPr>
      </w:pPr>
    </w:p>
    <w:p>
      <w:pPr>
        <w:jc w:val="both"/>
        <w:ind w:left="-360" w:firstLine="1494"/>
        <w:spacing w:after="0" w:line="257" w:lineRule="auto"/>
        <w:tabs>
          <w:tab w:leader="none" w:pos="148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within ninety (90) days after such formation, including by means of a Division, or acquisition, or such longer period, as the Collateral Agent may agree in its sole discretion, duly execute and deliver, and cause each such Subsidiary that is not an Excluded Subsidiary to duly execute and deliver, to the Collateral Agent, Mortgages (with respect to Material Real Properties only), Security Agreement Supplements, IP Security Agreement Supplements and other security agreements, as specified by and in form and substance reasonably satisfactory to the Collateral Agent (consistent with the Security Agreement, IP Security Agreement and Mortgages), securing payment of all the Obligations of the applicable Loan Party or such Subsidiary, as the case may be, under the Loan Documents and constituting Liens on all such properties,</w:t>
      </w:r>
    </w:p>
    <w:p>
      <w:pPr>
        <w:spacing w:after="0" w:line="184" w:lineRule="exact"/>
        <w:rPr>
          <w:rFonts w:ascii="Arial" w:cs="Arial" w:eastAsia="Arial" w:hAnsi="Arial"/>
          <w:sz w:val="19"/>
          <w:szCs w:val="19"/>
          <w:color w:val="auto"/>
        </w:rPr>
      </w:pPr>
    </w:p>
    <w:p>
      <w:pPr>
        <w:jc w:val="both"/>
        <w:ind w:left="-360" w:firstLine="1494"/>
        <w:spacing w:after="0" w:line="271" w:lineRule="auto"/>
        <w:tabs>
          <w:tab w:leader="none" w:pos="147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within ninety (90) days after such formation, including by means of a Division, or acquisition, or such longer period, as the Collateral Agent may agree in its sole discretion, take, and cause such Subsidiary that is not an Excluded Subsidiary to take, whatever action (including, without limitation, the recording of Mortgages (with respect to Material Real Properties only), the delivery of life of loan flood hazard determinations (together with a notice about special flood hazard area status and flood disaster assistance duly executed by the Borrower and evidence of flood insurance in accordance with Section 6.07(b), if applicable), the filing of Uniform Commercial Code financing statements, the giving of notices and delivery of stock and membership interest certificates) may be necessary or advisable in the reasonable opinion of the Collateral Agent to vest in the Collateral Agent (or in any representative of the Administrative Agent designated by it) valid and subsisting Liens on the properties purported to be subject to the Mortgages, Security Agreement Supplements, IP Security Agreement Supplements and security agreements delivered pursuant to this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to the extent required under the Loan Documents and</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365125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14" w:right="339" w:bottom="1440" w:gutter="0" w:footer="0" w:header="0"/>
        </w:sectPr>
      </w:pPr>
    </w:p>
    <w:bookmarkStart w:id="184" w:name="page185"/>
    <w:bookmarkEnd w:id="184"/>
    <w:p>
      <w:pPr>
        <w:ind w:left="760"/>
        <w:spacing w:after="0"/>
        <w:rPr>
          <w:sz w:val="20"/>
          <w:szCs w:val="20"/>
          <w:color w:val="auto"/>
        </w:rPr>
      </w:pPr>
      <w:r>
        <w:rPr>
          <w:rFonts w:ascii="Arial" w:cs="Arial" w:eastAsia="Arial" w:hAnsi="Arial"/>
          <w:sz w:val="20"/>
          <w:szCs w:val="20"/>
          <w:color w:val="auto"/>
        </w:rPr>
        <w:t>subject to the Perfection Exceptions, enforceable against all third parties in accordance with their terms,</w:t>
      </w:r>
    </w:p>
    <w:p>
      <w:pPr>
        <w:spacing w:after="0" w:line="216" w:lineRule="exact"/>
        <w:rPr>
          <w:sz w:val="20"/>
          <w:szCs w:val="20"/>
          <w:color w:val="auto"/>
        </w:rPr>
      </w:pPr>
    </w:p>
    <w:p>
      <w:pPr>
        <w:jc w:val="both"/>
        <w:ind w:left="760" w:firstLine="1494"/>
        <w:spacing w:after="0" w:line="244" w:lineRule="auto"/>
        <w:tabs>
          <w:tab w:leader="none" w:pos="2772" w:val="left"/>
        </w:tabs>
        <w:numPr>
          <w:ilvl w:val="1"/>
          <w:numId w:val="188"/>
        </w:numPr>
        <w:rPr>
          <w:rFonts w:ascii="Arial" w:cs="Arial" w:eastAsia="Arial" w:hAnsi="Arial"/>
          <w:sz w:val="20"/>
          <w:szCs w:val="20"/>
          <w:color w:val="auto"/>
        </w:rPr>
      </w:pPr>
      <w:r>
        <w:rPr>
          <w:rFonts w:ascii="Arial" w:cs="Arial" w:eastAsia="Arial" w:hAnsi="Arial"/>
          <w:sz w:val="20"/>
          <w:szCs w:val="20"/>
          <w:color w:val="auto"/>
        </w:rPr>
        <w:t>within forty-five (45) (or with respect to any local counsel opinion in respect of Mortgaged Property, within ninety (90) days) after the request of the Administrative Agent or the Collateral Agent, or such longer period as such Agent may agree in its sole discretion, deliver to such Agent, a signed copy of one or more opinions, addressed to such Agent and the other Secured Parties, of counsel for the Loan Parties reasonably acceptable to such Agent as to such matters as the Administrative Agent may reasonably request,</w:t>
      </w:r>
    </w:p>
    <w:p>
      <w:pPr>
        <w:spacing w:after="0" w:line="194" w:lineRule="exact"/>
        <w:rPr>
          <w:rFonts w:ascii="Arial" w:cs="Arial" w:eastAsia="Arial" w:hAnsi="Arial"/>
          <w:sz w:val="20"/>
          <w:szCs w:val="20"/>
          <w:color w:val="auto"/>
        </w:rPr>
      </w:pPr>
    </w:p>
    <w:p>
      <w:pPr>
        <w:jc w:val="both"/>
        <w:ind w:left="760" w:firstLine="1494"/>
        <w:spacing w:after="0" w:line="243" w:lineRule="auto"/>
        <w:tabs>
          <w:tab w:leader="none" w:pos="2599" w:val="left"/>
        </w:tabs>
        <w:numPr>
          <w:ilvl w:val="1"/>
          <w:numId w:val="188"/>
        </w:numPr>
        <w:rPr>
          <w:rFonts w:ascii="Arial" w:cs="Arial" w:eastAsia="Arial" w:hAnsi="Arial"/>
          <w:sz w:val="20"/>
          <w:szCs w:val="20"/>
          <w:color w:val="auto"/>
        </w:rPr>
      </w:pPr>
      <w:r>
        <w:rPr>
          <w:rFonts w:ascii="Arial" w:cs="Arial" w:eastAsia="Arial" w:hAnsi="Arial"/>
          <w:sz w:val="20"/>
          <w:szCs w:val="20"/>
          <w:color w:val="auto"/>
        </w:rPr>
        <w:t>as promptly as practicable after the request of the Administrative Agent, deliver to the Collateral Agent with respect to each Material Real Property owned in fee by a Subsidiary that is the subject of such request, title reports in scope, form and substance reasonably satisfactory to the Administrative Agent, and fully paid American Land Title Association Lender’s Extended Coverage title insurance policies or the equivalent or other form available in the applicable jurisdiction in form and substance, with endorsements and in amounts, reasonably acceptable to the Collateral Agent (not to exceed the Fair Market Value of the Material Real Properties covered thereby),</w:t>
      </w:r>
    </w:p>
    <w:p>
      <w:pPr>
        <w:spacing w:after="0" w:line="195" w:lineRule="exact"/>
        <w:rPr>
          <w:rFonts w:ascii="Arial" w:cs="Arial" w:eastAsia="Arial" w:hAnsi="Arial"/>
          <w:sz w:val="20"/>
          <w:szCs w:val="20"/>
          <w:color w:val="auto"/>
        </w:rPr>
      </w:pPr>
    </w:p>
    <w:p>
      <w:pPr>
        <w:jc w:val="both"/>
        <w:ind w:left="760" w:firstLine="1494"/>
        <w:spacing w:after="0" w:line="263" w:lineRule="auto"/>
        <w:tabs>
          <w:tab w:leader="none" w:pos="2651" w:val="left"/>
        </w:tabs>
        <w:numPr>
          <w:ilvl w:val="1"/>
          <w:numId w:val="188"/>
        </w:numPr>
        <w:rPr>
          <w:rFonts w:ascii="Arial" w:cs="Arial" w:eastAsia="Arial" w:hAnsi="Arial"/>
          <w:sz w:val="19"/>
          <w:szCs w:val="19"/>
          <w:color w:val="auto"/>
        </w:rPr>
      </w:pPr>
      <w:r>
        <w:rPr>
          <w:rFonts w:ascii="Arial" w:cs="Arial" w:eastAsia="Arial" w:hAnsi="Arial"/>
          <w:sz w:val="19"/>
          <w:szCs w:val="19"/>
          <w:color w:val="auto"/>
        </w:rPr>
        <w:t>as promptly as practicable after the request of the Administrative Agent, deliver to the Collateral Agent with respect to each Material Real Property owned in fee by a Subsidiary that is the subject of such request, an ALTA survey sufficient for the title company issuing the title insurance policies on such properties to remove all standard survey exceptions from said title insurance policies and issue the customary survey-related endorsements thereto, and</w:t>
      </w:r>
    </w:p>
    <w:p>
      <w:pPr>
        <w:spacing w:after="0" w:line="176" w:lineRule="exact"/>
        <w:rPr>
          <w:rFonts w:ascii="Arial" w:cs="Arial" w:eastAsia="Arial" w:hAnsi="Arial"/>
          <w:sz w:val="19"/>
          <w:szCs w:val="19"/>
          <w:color w:val="auto"/>
        </w:rPr>
      </w:pPr>
    </w:p>
    <w:p>
      <w:pPr>
        <w:jc w:val="both"/>
        <w:ind w:left="760" w:firstLine="1494"/>
        <w:spacing w:after="0" w:line="246" w:lineRule="auto"/>
        <w:tabs>
          <w:tab w:leader="none" w:pos="2739" w:val="left"/>
        </w:tabs>
        <w:numPr>
          <w:ilvl w:val="1"/>
          <w:numId w:val="188"/>
        </w:numPr>
        <w:rPr>
          <w:rFonts w:ascii="Arial" w:cs="Arial" w:eastAsia="Arial" w:hAnsi="Arial"/>
          <w:sz w:val="20"/>
          <w:szCs w:val="20"/>
          <w:color w:val="auto"/>
        </w:rPr>
      </w:pPr>
      <w:r>
        <w:rPr>
          <w:rFonts w:ascii="Arial" w:cs="Arial" w:eastAsia="Arial" w:hAnsi="Arial"/>
          <w:sz w:val="20"/>
          <w:szCs w:val="20"/>
          <w:color w:val="auto"/>
        </w:rPr>
        <w:t>at any time and from time to time, promptly execute and deliver any and all further instruments and documents and take all such other action as the Collateral Agent in its reasonable judgment may deem necessary in obtaining the full benefits of, or in perfecting and preserving the Liens of, such guaranties, Mortgages, Security Agreement Supplements, IP Security Agreement Supplements and other applicable security agreements.</w:t>
      </w:r>
    </w:p>
    <w:p>
      <w:pPr>
        <w:spacing w:after="0" w:line="191" w:lineRule="exact"/>
        <w:rPr>
          <w:rFonts w:ascii="Arial" w:cs="Arial" w:eastAsia="Arial" w:hAnsi="Arial"/>
          <w:sz w:val="20"/>
          <w:szCs w:val="20"/>
          <w:color w:val="auto"/>
        </w:rPr>
      </w:pPr>
    </w:p>
    <w:p>
      <w:pPr>
        <w:jc w:val="both"/>
        <w:ind w:firstLine="1505"/>
        <w:spacing w:after="0" w:line="276" w:lineRule="auto"/>
        <w:tabs>
          <w:tab w:leader="none" w:pos="199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the foregoing, (i) the Collateral Agent shall not take a security interest in those assets as to which the Collateral Agent shall determine, in its reasonable discretion, that the cost of obtaining such Lien (including any mortgage, stamp, intangibles or other tax) are excessive in relation to the benefit to the Lenders of the security afforded thereby, (ii) neither the Borrower nor any of its Subsidiaries shall be required to take any actions outside of the United States in order to perfect the security interests granted to the Collateral Agent for the ratable benefit of the Secured Parties under the law of any jurisdiction outside the United States and (iii) any security interest or Lien, and any obligation of any Loan Party, shall be subject to the relevant requirements of the Intercreditor Agreements.</w:t>
      </w:r>
    </w:p>
    <w:p>
      <w:pPr>
        <w:spacing w:after="0" w:line="16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6.13 Compliance with Environmental Laws. Each Loan Party shall promptly take, and shall cause each of its Restricted Subsidiaries promptly to take, any and all actions necessary to (i) except as could not reasonably be expected to have a Material Adverse Effect, comply, and take commercially reasonable steps to cause all lessees and other Persons operating or occupying its properties to comply, in all material respects, with all applicable Environmental Laws, (ii) cure any violation of applicable Environmental Laws by such Loan Party or its Restricted Subsidiaries that would reasonably be expected to have, individually or in the aggregate, a Material Adverse Effect, and (iii) make an appropriate response to any Environmental Claim against such Loan Party or any of its Restricted Subsidiaries and discharge any obligations it may have to any Person thereunder where failure to do so would reasonably be expected to have, individually or in the aggregate, a Material Adverse Effect.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85" w:name="page186"/>
    <w:bookmarkEnd w:id="185"/>
    <w:p>
      <w:pPr>
        <w:jc w:val="both"/>
        <w:ind w:firstLine="1497"/>
        <w:spacing w:after="0" w:line="269" w:lineRule="auto"/>
        <w:rPr>
          <w:sz w:val="20"/>
          <w:szCs w:val="20"/>
          <w:color w:val="auto"/>
        </w:rPr>
      </w:pPr>
      <w:r>
        <w:rPr>
          <w:rFonts w:ascii="Arial" w:cs="Arial" w:eastAsia="Arial" w:hAnsi="Arial"/>
          <w:sz w:val="18"/>
          <w:szCs w:val="18"/>
          <w:color w:val="auto"/>
        </w:rPr>
        <w:t xml:space="preserve">6.14 Further Assurances. Promptly upon request by the Collateral Agent, or any Lender through the Collateral Agent, and subject to the limitations described in </w:t>
      </w:r>
      <w:r>
        <w:rPr>
          <w:rFonts w:ascii="Arial" w:cs="Arial" w:eastAsia="Arial" w:hAnsi="Arial"/>
          <w:sz w:val="18"/>
          <w:szCs w:val="18"/>
          <w:u w:val="single" w:color="auto"/>
          <w:color w:val="auto"/>
        </w:rPr>
        <w:t>Section 6.12</w:t>
      </w:r>
      <w:r>
        <w:rPr>
          <w:rFonts w:ascii="Arial" w:cs="Arial" w:eastAsia="Arial" w:hAnsi="Arial"/>
          <w:sz w:val="18"/>
          <w:szCs w:val="18"/>
          <w:color w:val="auto"/>
        </w:rPr>
        <w:t>, (i) correct any material defect or error that may be discovered in the execution, acknowledgment, filing or recordation of any Loan Document or other document or instrument relating to any Collateral, and (ii) do, execute, acknowledge, deliver, record, re-record, file, re-file, register and re-register any and all such further acts, deeds, certificates, assurances and other instruments as the Collateral Agent, or any Lender through the Collateral Agent, may reasonably require from time to time in order to carry out more effectively the purposes of the Loan Documents. Upon the exercise by the Collateral Agent or any Lender of any power, right, privilege or remedy pursuant to any Loan Document which requires any consent, approval, registration, qualification or authorization of any Governmental Authority execute and deliver all applications, certifications, instruments and other documents and papers that such or such Lender may require. Promptly following any request therefor, provide information and documentation reasonably requested by the Administrative Agent or any Lender for purposes of compliance with applicable “know your customer” requirements under applicable anti-money-laundering laws, the PATRIOT Act and the Beneficial Ownership Regulation. If the Collateral Agent or the Required Lenders determine that they are required by applicable Law to have appraisals prepared in respect of the real property of any Loan Party constituting Collateral, the Borrower shall provide to the Collateral Agent appraisals that satisfy the applicable requirements of the Real Estate Appraisal Reform Amendments of FIRREA and are otherwise in form and substance reasonably satisfactory to the Collateral Agent.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6.15  Information Regarding Collateral and Loan Documents. Not effect any change (i) in any Loan Party’s legal name,</w:t>
      </w:r>
    </w:p>
    <w:p>
      <w:pPr>
        <w:spacing w:after="0" w:line="39" w:lineRule="exact"/>
        <w:rPr>
          <w:sz w:val="20"/>
          <w:szCs w:val="20"/>
          <w:color w:val="auto"/>
        </w:rPr>
      </w:pPr>
    </w:p>
    <w:p>
      <w:pPr>
        <w:jc w:val="both"/>
        <w:ind w:firstLine="8"/>
        <w:spacing w:after="0" w:line="254" w:lineRule="auto"/>
        <w:tabs>
          <w:tab w:leader="none" w:pos="318"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location of any Loan Party’s chief executive office, (iii) in any Loan Party’s identity or corporate form, (iv) in organizational identification number, if any, or (v) in any Loan Party’s jurisdiction of organization (in each case, including by merging with or into any other entity, reorganizing, dissolving, liquidating, reorganizing or organizing in any other jurisdiction), unless (A) it shall give the Agents prompt notice and in any event within 30 days of the occurrence thereof (or such longer time as the Administrative Agent and the Collateral Agent shall agree) (in the form of a certificate by a Responsible Officer), and (B) it shall take all action reasonably requested by the Collateral Agent to maintain the perfection and priority of the security interest of the Collateral Agent for the benefit of the Secured Parties in the Collateral, if applicable. Each Loan Party agrees to promptly provide the Agents with certified Organization Documents reflecting any of the changes described in the preceding sentence.</w:t>
      </w:r>
    </w:p>
    <w:p>
      <w:pPr>
        <w:spacing w:after="0" w:line="18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19"/>
          <w:szCs w:val="19"/>
          <w:color w:val="auto"/>
        </w:rPr>
        <w:t>6.16 Maintenance of Ratings. Use commercially reasonable efforts to obtain and maintain (but not obtain or maintain a specific rating) (i) a public corporate family rating of the Borrower and a rating of the Facilities, in each case from Moody’s, and (ii) a public corporate credit rating of the Borrower and a rating of the Facilities, in each case from S&amp;P (it being understood and agreed that “commercially reasonable efforts” shall in any event include the payment by the Borrower of customary rating agency fees and cooperation with information and data requests by Moody’s and S&amp;P in connection with their ratings process).</w:t>
      </w:r>
    </w:p>
    <w:p>
      <w:pPr>
        <w:spacing w:after="0" w:line="180" w:lineRule="exact"/>
        <w:rPr>
          <w:sz w:val="20"/>
          <w:szCs w:val="20"/>
          <w:color w:val="auto"/>
        </w:rPr>
      </w:pPr>
    </w:p>
    <w:p>
      <w:pPr>
        <w:jc w:val="both"/>
        <w:ind w:firstLine="1497"/>
        <w:spacing w:after="0" w:line="316" w:lineRule="auto"/>
        <w:rPr>
          <w:sz w:val="20"/>
          <w:szCs w:val="20"/>
          <w:color w:val="auto"/>
        </w:rPr>
      </w:pPr>
      <w:r>
        <w:rPr>
          <w:rFonts w:ascii="Arial" w:cs="Arial" w:eastAsia="Arial" w:hAnsi="Arial"/>
          <w:sz w:val="18"/>
          <w:szCs w:val="18"/>
          <w:color w:val="auto"/>
        </w:rPr>
        <w:t xml:space="preserve">6.17 Post-Closing Undertakings. Within the time periods specified on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hereto (as each may be extended by the Administrative Agent in its reasonable discretion), complete such undertakings as are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hereto.</w:t>
      </w:r>
    </w:p>
    <w:p>
      <w:pPr>
        <w:spacing w:after="0" w:line="13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6.18 No Change in Line of Business. Not engage in any material lines of business substantially different from those lines of business conducted by the Borrower and the Restricted Subsidiaries on the date hereof or any business reasonably related, complementary, synergistic or ancillary thereto or reasonable extensions thereof.</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6.19  Transactions with Affiliates.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86" w:name="page187"/>
    <w:bookmarkEnd w:id="186"/>
    <w:p>
      <w:pPr>
        <w:jc w:val="both"/>
        <w:ind w:firstLine="1505"/>
        <w:spacing w:after="0" w:line="244" w:lineRule="auto"/>
        <w:tabs>
          <w:tab w:leader="none" w:pos="1982" w:val="left"/>
        </w:tabs>
        <w:numPr>
          <w:ilvl w:val="0"/>
          <w:numId w:val="191"/>
        </w:numPr>
        <w:rPr>
          <w:rFonts w:ascii="Arial" w:cs="Arial" w:eastAsia="Arial" w:hAnsi="Arial"/>
          <w:sz w:val="20"/>
          <w:szCs w:val="20"/>
          <w:color w:val="auto"/>
        </w:rPr>
      </w:pPr>
      <w:r>
        <w:rPr>
          <w:rFonts w:ascii="Arial" w:cs="Arial" w:eastAsia="Arial" w:hAnsi="Arial"/>
          <w:sz w:val="20"/>
          <w:szCs w:val="20"/>
          <w:color w:val="auto"/>
        </w:rPr>
        <w:t>Borrower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Borrower involving aggregate consideration in excess of $75,000,000 (each of the foregoing, an “</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Transaction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w:t>
      </w:r>
    </w:p>
    <w:p>
      <w:pPr>
        <w:spacing w:after="0" w:line="194" w:lineRule="exact"/>
        <w:rPr>
          <w:rFonts w:ascii="Arial" w:cs="Arial" w:eastAsia="Arial" w:hAnsi="Arial"/>
          <w:sz w:val="20"/>
          <w:szCs w:val="20"/>
          <w:color w:val="auto"/>
        </w:rPr>
      </w:pPr>
    </w:p>
    <w:p>
      <w:pPr>
        <w:jc w:val="both"/>
        <w:ind w:left="760" w:firstLine="1494"/>
        <w:spacing w:after="0" w:line="263" w:lineRule="auto"/>
        <w:tabs>
          <w:tab w:leader="none" w:pos="2745" w:val="left"/>
        </w:tabs>
        <w:numPr>
          <w:ilvl w:val="1"/>
          <w:numId w:val="191"/>
        </w:numPr>
        <w:rPr>
          <w:rFonts w:ascii="Arial" w:cs="Arial" w:eastAsia="Arial" w:hAnsi="Arial"/>
          <w:sz w:val="19"/>
          <w:szCs w:val="19"/>
          <w:color w:val="auto"/>
        </w:rPr>
      </w:pPr>
      <w:r>
        <w:rPr>
          <w:rFonts w:ascii="Arial" w:cs="Arial" w:eastAsia="Arial" w:hAnsi="Arial"/>
          <w:sz w:val="19"/>
          <w:szCs w:val="19"/>
          <w:color w:val="auto"/>
        </w:rPr>
        <w:t>such Affiliate Transaction is on terms that are not materially less favorable to the Borrower or the relevant Restricted Subsidiary than those that could have been obtained in a comparable transaction by the Borrower or such Restricted Subsidiary with an unrelated Person on an arm’s length basis (as determined in good faith by the senior management or the Board of Directors of the Borrower or any direct or indirect parent of the Borrower); and</w:t>
      </w:r>
    </w:p>
    <w:p>
      <w:pPr>
        <w:spacing w:after="0" w:line="176" w:lineRule="exact"/>
        <w:rPr>
          <w:rFonts w:ascii="Arial" w:cs="Arial" w:eastAsia="Arial" w:hAnsi="Arial"/>
          <w:sz w:val="19"/>
          <w:szCs w:val="19"/>
          <w:color w:val="auto"/>
        </w:rPr>
      </w:pPr>
    </w:p>
    <w:p>
      <w:pPr>
        <w:jc w:val="both"/>
        <w:ind w:left="760" w:firstLine="1494"/>
        <w:spacing w:after="0" w:line="260" w:lineRule="auto"/>
        <w:tabs>
          <w:tab w:leader="none" w:pos="2769" w:val="left"/>
        </w:tabs>
        <w:numPr>
          <w:ilvl w:val="1"/>
          <w:numId w:val="191"/>
        </w:numPr>
        <w:rPr>
          <w:rFonts w:ascii="Arial" w:cs="Arial" w:eastAsia="Arial" w:hAnsi="Arial"/>
          <w:sz w:val="19"/>
          <w:szCs w:val="19"/>
          <w:color w:val="auto"/>
        </w:rPr>
      </w:pPr>
      <w:r>
        <w:rPr>
          <w:rFonts w:ascii="Arial" w:cs="Arial" w:eastAsia="Arial" w:hAnsi="Arial"/>
          <w:sz w:val="19"/>
          <w:szCs w:val="19"/>
          <w:color w:val="auto"/>
        </w:rPr>
        <w:t>with respect to any Affiliate Transaction or series of related Affiliate Transactions involving aggregate consideration in excess of $100,000,000, the Borrower delivers to the Administrative Agent a resolution adopted in good faith by the majority of the Board of Directors of the Borrower or Holdings approving such Affiliate Transaction, together with a certificate signed by a Responsible Officer of the Borrower certifying that the Board of Directors of the Borrower or Holdings determined or resolved that such Affiliate Transaction complies with Section 6.19(a)(i).</w:t>
      </w:r>
    </w:p>
    <w:p>
      <w:pPr>
        <w:spacing w:after="0" w:line="180" w:lineRule="exact"/>
        <w:rPr>
          <w:rFonts w:ascii="Arial" w:cs="Arial" w:eastAsia="Arial" w:hAnsi="Arial"/>
          <w:sz w:val="19"/>
          <w:szCs w:val="19"/>
          <w:color w:val="auto"/>
        </w:rPr>
      </w:pPr>
    </w:p>
    <w:p>
      <w:pPr>
        <w:ind w:left="1980" w:hanging="475"/>
        <w:spacing w:after="0"/>
        <w:tabs>
          <w:tab w:leader="none" w:pos="198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foregoing provisions will not apply to the following:</w:t>
      </w:r>
    </w:p>
    <w:p>
      <w:pPr>
        <w:spacing w:after="0" w:line="215" w:lineRule="exact"/>
        <w:rPr>
          <w:rFonts w:ascii="Arial" w:cs="Arial" w:eastAsia="Arial" w:hAnsi="Arial"/>
          <w:sz w:val="20"/>
          <w:szCs w:val="20"/>
          <w:color w:val="auto"/>
        </w:rPr>
      </w:pPr>
    </w:p>
    <w:p>
      <w:pPr>
        <w:jc w:val="both"/>
        <w:ind w:left="760" w:firstLine="1494"/>
        <w:spacing w:after="0" w:line="243" w:lineRule="auto"/>
        <w:tabs>
          <w:tab w:leader="none" w:pos="2745"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(a) transactions between or among the Borrower and/or any of its Restricted Subsidiaries (or an entity that becomes a Restricted Subsidiary as a result of such transaction) and (b) any merger, amalgamation or consolidation of the Borrower and Holdings or any U.S. direct or indirect parent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Holdings or such parent entity shall have no material liabilities and no material assets (other than cash, Cash Equivalents and the Capital Stock of the Borrower) and such merger, amalgamation or consolidation is otherwise in compliance with the terms of this Agreement and effected for a bona fide business purpose;</w:t>
      </w:r>
    </w:p>
    <w:p>
      <w:pPr>
        <w:spacing w:after="0" w:line="195" w:lineRule="exact"/>
        <w:rPr>
          <w:rFonts w:ascii="Arial" w:cs="Arial" w:eastAsia="Arial" w:hAnsi="Arial"/>
          <w:sz w:val="20"/>
          <w:szCs w:val="20"/>
          <w:color w:val="auto"/>
        </w:rPr>
      </w:pPr>
    </w:p>
    <w:p>
      <w:pPr>
        <w:ind w:left="760" w:firstLine="1494"/>
        <w:spacing w:after="0" w:line="260" w:lineRule="auto"/>
        <w:tabs>
          <w:tab w:leader="none" w:pos="2764" w:val="left"/>
        </w:tabs>
        <w:numPr>
          <w:ilvl w:val="1"/>
          <w:numId w:val="191"/>
        </w:numPr>
        <w:rPr>
          <w:rFonts w:ascii="Arial" w:cs="Arial" w:eastAsia="Arial" w:hAnsi="Arial"/>
          <w:sz w:val="20"/>
          <w:szCs w:val="20"/>
          <w:color w:val="auto"/>
        </w:rPr>
      </w:pPr>
      <w:r>
        <w:rPr>
          <w:rFonts w:ascii="Arial" w:cs="Arial" w:eastAsia="Arial" w:hAnsi="Arial"/>
          <w:sz w:val="20"/>
          <w:szCs w:val="20"/>
          <w:color w:val="auto"/>
        </w:rPr>
        <w:t>(a) Restricted Payments permitted by Section 7.06 and (b) Permitted Investments (other than Permitted Investments under clause (13) of the definition thereof);</w:t>
      </w:r>
    </w:p>
    <w:p>
      <w:pPr>
        <w:spacing w:after="0" w:line="176" w:lineRule="exact"/>
        <w:rPr>
          <w:rFonts w:ascii="Arial" w:cs="Arial" w:eastAsia="Arial" w:hAnsi="Arial"/>
          <w:sz w:val="20"/>
          <w:szCs w:val="20"/>
          <w:color w:val="auto"/>
        </w:rPr>
      </w:pPr>
    </w:p>
    <w:p>
      <w:pPr>
        <w:jc w:val="both"/>
        <w:ind w:left="760" w:firstLine="1494"/>
        <w:spacing w:after="0" w:line="269" w:lineRule="auto"/>
        <w:tabs>
          <w:tab w:leader="none" w:pos="2614" w:val="left"/>
        </w:tabs>
        <w:numPr>
          <w:ilvl w:val="1"/>
          <w:numId w:val="191"/>
        </w:numPr>
        <w:rPr>
          <w:rFonts w:ascii="Arial" w:cs="Arial" w:eastAsia="Arial" w:hAnsi="Arial"/>
          <w:sz w:val="19"/>
          <w:szCs w:val="19"/>
          <w:color w:val="auto"/>
        </w:rPr>
      </w:pPr>
      <w:r>
        <w:rPr>
          <w:rFonts w:ascii="Arial" w:cs="Arial" w:eastAsia="Arial" w:hAnsi="Arial"/>
          <w:sz w:val="19"/>
          <w:szCs w:val="19"/>
          <w:color w:val="auto"/>
        </w:rPr>
        <w:t>transactions in which the Borrower or any of its Restricted Subsidiaries, as the case may be, delivers to the Administrative Agent a letter from an Independent Financial Advisor stating that such transaction is fair to the Borrower or such Restricted Subsidiary from a financial point of view or meets the requirements of Section 6.19(a)(i);</w:t>
      </w:r>
    </w:p>
    <w:p>
      <w:pPr>
        <w:spacing w:after="0" w:line="169" w:lineRule="exact"/>
        <w:rPr>
          <w:rFonts w:ascii="Arial" w:cs="Arial" w:eastAsia="Arial" w:hAnsi="Arial"/>
          <w:sz w:val="19"/>
          <w:szCs w:val="19"/>
          <w:color w:val="auto"/>
        </w:rPr>
      </w:pPr>
    </w:p>
    <w:p>
      <w:pPr>
        <w:jc w:val="both"/>
        <w:ind w:left="760" w:firstLine="1494"/>
        <w:spacing w:after="0" w:line="250" w:lineRule="auto"/>
        <w:tabs>
          <w:tab w:leader="none" w:pos="261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payments, loans, advances or guarantees (or cancellation of loans, advances or guarantees) to employees, officers, directors, managers, consultants or independent contractors for bona fide business purposes or in the ordinary course of business;</w:t>
      </w:r>
    </w:p>
    <w:p>
      <w:pPr>
        <w:spacing w:after="0" w:line="185" w:lineRule="exact"/>
        <w:rPr>
          <w:rFonts w:ascii="Arial" w:cs="Arial" w:eastAsia="Arial" w:hAnsi="Arial"/>
          <w:sz w:val="20"/>
          <w:szCs w:val="20"/>
          <w:color w:val="auto"/>
        </w:rPr>
      </w:pPr>
    </w:p>
    <w:p>
      <w:pPr>
        <w:jc w:val="both"/>
        <w:ind w:left="760" w:firstLine="1494"/>
        <w:spacing w:after="0" w:line="260" w:lineRule="auto"/>
        <w:tabs>
          <w:tab w:leader="none" w:pos="2749" w:val="left"/>
        </w:tabs>
        <w:numPr>
          <w:ilvl w:val="1"/>
          <w:numId w:val="191"/>
        </w:numPr>
        <w:rPr>
          <w:rFonts w:ascii="Arial" w:cs="Arial" w:eastAsia="Arial" w:hAnsi="Arial"/>
          <w:sz w:val="19"/>
          <w:szCs w:val="19"/>
          <w:color w:val="auto"/>
        </w:rPr>
      </w:pPr>
      <w:r>
        <w:rPr>
          <w:rFonts w:ascii="Arial" w:cs="Arial" w:eastAsia="Arial" w:hAnsi="Arial"/>
          <w:sz w:val="19"/>
          <w:szCs w:val="19"/>
          <w:color w:val="auto"/>
        </w:rPr>
        <w:t>any agreement or arrangement as in effect as of the Closing Date or as thereafter amended, supplemented or replaced (so long as such amendment, supplement or replacement agreement or arrangement is not materially disadvantageous (as determined in good faith by the senior management or the Board of Directors of the Borrower or any direct or indirect parent of the Borrower) to the Lenders when taken as a whole as compared to the original agreement or arrangement as in effect on the Closing Date) or any transaction or payments contemplated thereby;</w:t>
      </w:r>
    </w:p>
    <w:p>
      <w:pPr>
        <w:spacing w:after="0" w:line="180" w:lineRule="exact"/>
        <w:rPr>
          <w:rFonts w:ascii="Arial" w:cs="Arial" w:eastAsia="Arial" w:hAnsi="Arial"/>
          <w:sz w:val="19"/>
          <w:szCs w:val="19"/>
          <w:color w:val="auto"/>
        </w:rPr>
      </w:pPr>
    </w:p>
    <w:p>
      <w:pPr>
        <w:ind w:left="2580" w:hanging="326"/>
        <w:spacing w:after="0"/>
        <w:tabs>
          <w:tab w:leader="none" w:pos="258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87" w:name="page188"/>
    <w:bookmarkEnd w:id="187"/>
    <w:p>
      <w:pPr>
        <w:jc w:val="both"/>
        <w:ind w:left="-360" w:firstLine="1494"/>
        <w:spacing w:after="0" w:line="255" w:lineRule="auto"/>
        <w:tabs>
          <w:tab w:leader="none" w:pos="153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the existence of, or the performance by the Borrower or any of its Restricted Subsidiaries of its obligations under the terms of, the Acquisition Agreement, any stockholders or similar agreement (including any registration rights agreement or purchase agreement related thereto) to which it is a party entered into as of the Closing Date or in connection with the Transactions or similar transactions, arrangements or agreements which it may enter into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existence of, or the performance by the Borrower or any of its Restricted Subsidiaries of its obligations under, any future amendment to any such existing transaction, arrangement or agreement or under any similar transaction, arrangement or agreement entered into after the Closing Date shall only be permitted by this clause (vii) to the extent that the terms of any such existing transaction, arrangement or agreement, together with all amendments thereto, taken as a whole, or new transaction, arrangement or agreement are not otherwise disadvantageous (as determined in good faith by the senior management or the Board of Directors of the Borrower or any direct or indirect parent of the Borrower) to the Lenders, in any material respect when taken as a whole as compared with the original transaction, arrangement or agreement as in effect on the Closing Date or entered into in connection with the Transactions;</w:t>
      </w:r>
    </w:p>
    <w:p>
      <w:pPr>
        <w:spacing w:after="0" w:line="184" w:lineRule="exact"/>
        <w:rPr>
          <w:rFonts w:ascii="Arial" w:cs="Arial" w:eastAsia="Arial" w:hAnsi="Arial"/>
          <w:sz w:val="19"/>
          <w:szCs w:val="19"/>
          <w:color w:val="auto"/>
        </w:rPr>
      </w:pPr>
    </w:p>
    <w:p>
      <w:pPr>
        <w:jc w:val="both"/>
        <w:ind w:left="-360" w:firstLine="1494"/>
        <w:spacing w:after="0" w:line="244" w:lineRule="auto"/>
        <w:tabs>
          <w:tab w:leader="none" w:pos="158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transactions with customers, clients, suppliers or purchasers or sellers of goods or services, in each case, in the ordinary course of business and otherwise in compliance with the terms of this Agreement, which are fair to the Borrower and its Restricted Subsidiaries or are on terms at least as favorable (as determined in good faith by the senior management or the Board of Directors of the Borrower or any direct or indirect parent of the Borrower) as might reasonably have been obtained at such time from an unaffiliated party;</w:t>
      </w:r>
    </w:p>
    <w:p>
      <w:pPr>
        <w:spacing w:after="0" w:line="194" w:lineRule="exact"/>
        <w:rPr>
          <w:rFonts w:ascii="Arial" w:cs="Arial" w:eastAsia="Arial" w:hAnsi="Arial"/>
          <w:sz w:val="20"/>
          <w:szCs w:val="20"/>
          <w:color w:val="auto"/>
        </w:rPr>
      </w:pPr>
    </w:p>
    <w:p>
      <w:pPr>
        <w:ind w:left="1460" w:hanging="326"/>
        <w:spacing w:after="0"/>
        <w:tabs>
          <w:tab w:leader="none" w:pos="1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transaction effected as part of a Qualified Receivables Financing or a Qualified Receivables Factoring;</w:t>
      </w:r>
    </w:p>
    <w:p>
      <w:pPr>
        <w:spacing w:after="0" w:line="238" w:lineRule="exact"/>
        <w:rPr>
          <w:rFonts w:ascii="Arial" w:cs="Arial" w:eastAsia="Arial" w:hAnsi="Arial"/>
          <w:sz w:val="18"/>
          <w:szCs w:val="18"/>
          <w:color w:val="auto"/>
        </w:rPr>
      </w:pPr>
    </w:p>
    <w:p>
      <w:pPr>
        <w:ind w:left="1620" w:hanging="486"/>
        <w:spacing w:after="0"/>
        <w:tabs>
          <w:tab w:leader="none" w:pos="16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sale, issuance or transfer of Equity Interests (other than Disqualified Stock) of the Borrower;</w:t>
      </w:r>
    </w:p>
    <w:p>
      <w:pPr>
        <w:spacing w:after="0" w:line="215" w:lineRule="exact"/>
        <w:rPr>
          <w:rFonts w:ascii="Arial" w:cs="Arial" w:eastAsia="Arial" w:hAnsi="Arial"/>
          <w:sz w:val="20"/>
          <w:szCs w:val="20"/>
          <w:color w:val="auto"/>
        </w:rPr>
      </w:pPr>
    </w:p>
    <w:p>
      <w:pPr>
        <w:ind w:left="1460" w:hanging="326"/>
        <w:spacing w:after="0"/>
        <w:tabs>
          <w:tab w:leader="none" w:pos="14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360" w:firstLine="1494"/>
        <w:spacing w:after="0" w:line="269" w:lineRule="auto"/>
        <w:tabs>
          <w:tab w:leader="none" w:pos="155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any contribution to the capital of the Borrower (other than Disqualified Stock) or any investments by a direct or indirect parent of the Borrower in Equity Interests (other than Disqualified Stock) of the Borrower (and payment of reasonable out-of-pocket expenses incurred by a direct or indirect parent of the Borrower in connection therewith);</w:t>
      </w:r>
    </w:p>
    <w:p>
      <w:pPr>
        <w:spacing w:after="0" w:line="169" w:lineRule="exact"/>
        <w:rPr>
          <w:rFonts w:ascii="Arial" w:cs="Arial" w:eastAsia="Arial" w:hAnsi="Arial"/>
          <w:sz w:val="19"/>
          <w:szCs w:val="19"/>
          <w:color w:val="auto"/>
        </w:rPr>
      </w:pPr>
    </w:p>
    <w:p>
      <w:pPr>
        <w:jc w:val="both"/>
        <w:ind w:left="-360" w:firstLine="1494"/>
        <w:spacing w:after="0" w:line="246" w:lineRule="auto"/>
        <w:tabs>
          <w:tab w:leader="none" w:pos="161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any transaction with a Person (other than an Unrestricted Subsidiary) that would constitute an Affiliate Transaction solely because the Borrower or a Restricted Subsidiary owns an Equity Interest in or otherwise controls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Affiliate of the Borrower or any of its Subsidiaries (other than the Borrower or a Restricted Subsidiary) shall have a beneficial interest or otherwise participate in such Person;</w:t>
      </w:r>
    </w:p>
    <w:p>
      <w:pPr>
        <w:spacing w:after="0" w:line="191" w:lineRule="exact"/>
        <w:rPr>
          <w:rFonts w:ascii="Arial" w:cs="Arial" w:eastAsia="Arial" w:hAnsi="Arial"/>
          <w:sz w:val="20"/>
          <w:szCs w:val="20"/>
          <w:color w:val="auto"/>
        </w:rPr>
      </w:pPr>
    </w:p>
    <w:p>
      <w:pPr>
        <w:jc w:val="both"/>
        <w:ind w:left="-360" w:firstLine="1494"/>
        <w:spacing w:after="0" w:line="328" w:lineRule="auto"/>
        <w:tabs>
          <w:tab w:leader="none" w:pos="162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transactions between the Borrower or any of its Restricted Subsidiaries and any Person that would constitute an Affiliate Transaction solely because such Person is a director or such Person has a director who is also a director of the Borrower or any direct or indirect parent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director abstains from voting as a director of the Borrower or such direct or indirect parent of the Borrower, as the case may be, on any matter involving such other Person;</w:t>
      </w:r>
    </w:p>
    <w:p>
      <w:pPr>
        <w:spacing w:after="0" w:line="128" w:lineRule="exact"/>
        <w:rPr>
          <w:rFonts w:ascii="Arial" w:cs="Arial" w:eastAsia="Arial" w:hAnsi="Arial"/>
          <w:sz w:val="16"/>
          <w:szCs w:val="16"/>
          <w:color w:val="auto"/>
        </w:rPr>
      </w:pPr>
    </w:p>
    <w:p>
      <w:pPr>
        <w:ind w:left="-360" w:firstLine="1494"/>
        <w:spacing w:after="0" w:line="260" w:lineRule="auto"/>
        <w:tabs>
          <w:tab w:leader="none" w:pos="153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the entering into of any tax sharing agreement or arrangement and any payments pursuant thereto, in each case to the extent permitted by </w:t>
      </w:r>
      <w:r>
        <w:rPr>
          <w:rFonts w:ascii="Arial" w:cs="Arial" w:eastAsia="Arial" w:hAnsi="Arial"/>
          <w:sz w:val="20"/>
          <w:szCs w:val="20"/>
          <w:u w:val="single" w:color="auto"/>
          <w:color w:val="auto"/>
        </w:rPr>
        <w:t>Sections 7.06(b)(12)</w:t>
      </w:r>
      <w:r>
        <w:rPr>
          <w:rFonts w:ascii="Arial" w:cs="Arial" w:eastAsia="Arial" w:hAnsi="Arial"/>
          <w:sz w:val="20"/>
          <w:szCs w:val="20"/>
          <w:color w:val="auto"/>
        </w:rPr>
        <w:t xml:space="preserve"> or, solely</w:t>
      </w:r>
    </w:p>
    <w:p>
      <w:pPr>
        <w:spacing w:after="0" w:line="16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365125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14" w:right="339" w:bottom="1440" w:gutter="0" w:footer="0" w:header="0"/>
        </w:sectPr>
      </w:pPr>
    </w:p>
    <w:bookmarkStart w:id="188" w:name="page189"/>
    <w:bookmarkEnd w:id="188"/>
    <w:p>
      <w:pPr>
        <w:spacing w:after="0" w:line="260" w:lineRule="auto"/>
        <w:rPr>
          <w:sz w:val="20"/>
          <w:szCs w:val="20"/>
          <w:color w:val="auto"/>
        </w:rPr>
      </w:pPr>
      <w:r>
        <w:rPr>
          <w:rFonts w:ascii="Arial" w:cs="Arial" w:eastAsia="Arial" w:hAnsi="Arial"/>
          <w:sz w:val="20"/>
          <w:szCs w:val="20"/>
          <w:color w:val="auto"/>
        </w:rPr>
        <w:t xml:space="preserve">with respect to franchise or similar Taxes required to maintain the corporate existence of Holdings or any other direct or indirect parent of the Borrower, Section </w:t>
      </w:r>
      <w:r>
        <w:rPr>
          <w:rFonts w:ascii="Arial" w:cs="Arial" w:eastAsia="Arial" w:hAnsi="Arial"/>
          <w:sz w:val="20"/>
          <w:szCs w:val="20"/>
          <w:u w:val="single" w:color="auto"/>
          <w:color w:val="auto"/>
        </w:rPr>
        <w:t>7.06(b)(13)(i)</w:t>
      </w:r>
      <w:r>
        <w:rPr>
          <w:rFonts w:ascii="Arial" w:cs="Arial" w:eastAsia="Arial" w:hAnsi="Arial"/>
          <w:sz w:val="20"/>
          <w:szCs w:val="20"/>
          <w:color w:val="auto"/>
        </w:rPr>
        <w:t>;</w:t>
      </w:r>
    </w:p>
    <w:p>
      <w:pPr>
        <w:spacing w:after="0" w:line="177" w:lineRule="exact"/>
        <w:rPr>
          <w:sz w:val="20"/>
          <w:szCs w:val="20"/>
          <w:color w:val="auto"/>
        </w:rPr>
      </w:pPr>
    </w:p>
    <w:p>
      <w:pPr>
        <w:ind w:firstLine="1494"/>
        <w:spacing w:after="0" w:line="260" w:lineRule="auto"/>
        <w:tabs>
          <w:tab w:leader="none" w:pos="1951"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transactions to effect the Transactions and the payment of all transaction, underwriting, commitment and other fees and expenses related to the Transactions (including the Transaction Costs);</w:t>
      </w:r>
    </w:p>
    <w:p>
      <w:pPr>
        <w:spacing w:after="0" w:line="176" w:lineRule="exact"/>
        <w:rPr>
          <w:rFonts w:ascii="Arial" w:cs="Arial" w:eastAsia="Arial" w:hAnsi="Arial"/>
          <w:sz w:val="20"/>
          <w:szCs w:val="20"/>
          <w:color w:val="auto"/>
        </w:rPr>
      </w:pPr>
    </w:p>
    <w:p>
      <w:pPr>
        <w:ind w:left="1980" w:hanging="486"/>
        <w:spacing w:after="0"/>
        <w:tabs>
          <w:tab w:leader="none" w:pos="198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pledges of Equity Interests of Unrestricted Subsidiaries;</w:t>
      </w:r>
    </w:p>
    <w:p>
      <w:pPr>
        <w:spacing w:after="0" w:line="215" w:lineRule="exact"/>
        <w:rPr>
          <w:rFonts w:ascii="Arial" w:cs="Arial" w:eastAsia="Arial" w:hAnsi="Arial"/>
          <w:sz w:val="20"/>
          <w:szCs w:val="20"/>
          <w:color w:val="auto"/>
        </w:rPr>
      </w:pPr>
    </w:p>
    <w:p>
      <w:pPr>
        <w:jc w:val="both"/>
        <w:ind w:firstLine="1494"/>
        <w:spacing w:after="0" w:line="246" w:lineRule="auto"/>
        <w:tabs>
          <w:tab w:leader="none" w:pos="20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issuances of securities or other payments, awards or grants in cash, securities or otherwise pursuant to, or the funding of, employment arrangements, equity purchase agreements, stock options and stock ownership plans or similar employee benefit plans approved by the Board of Directors of the Borrower, Holdings or of a Restricted Subsidiary, as appropriate, in good faith;</w:t>
      </w:r>
    </w:p>
    <w:p>
      <w:pPr>
        <w:spacing w:after="0" w:line="191" w:lineRule="exact"/>
        <w:rPr>
          <w:rFonts w:ascii="Arial" w:cs="Arial" w:eastAsia="Arial" w:hAnsi="Arial"/>
          <w:sz w:val="20"/>
          <w:szCs w:val="20"/>
          <w:color w:val="auto"/>
        </w:rPr>
      </w:pPr>
    </w:p>
    <w:p>
      <w:pPr>
        <w:jc w:val="both"/>
        <w:ind w:firstLine="1494"/>
        <w:spacing w:after="0" w:line="269" w:lineRule="auto"/>
        <w:tabs>
          <w:tab w:leader="none" w:pos="201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 any employment, consulting, service or termination agreement, or customary indemnification arrangements, entered into by the Borrower or any of its Restricted Subsidiaries with current, former or future officers, directors, employees, managers, consultants and independent contractors of the Borrower or any of its Restricted Subsidiaries (or of any direct or indirect parent of the Borrower to the extent such agreements or arrangements are in respect of services performed for the Borrower or any of the Restricted Subsidiaries), (ii) any subscription agreement or similar agreement pertaining to the repurchase of Equity Interests pursuant to put/call rights or similar rights with current, former or future officers, directors, employees, managers, consultants and independent contractors of the Borrower or any of its Restricted Subsidiaries or of any direct or indirect parent of the Borrower and (iii) any payment of compensation or other employee compensation, benefit plan or arrangement, any health, disability or similar insurance plan which covers officers, directors, employees, managers, consultants and independent contractors of the Borrower or any of its Restricted Subsidiaries or any direct or indirect parent of the Borrower (including amounts paid pursuant to any management equity plan or any other management or employee benefit plan or agreement or any stock subscription or shareholder agreement, stock option or similar plans and any successor plan thereto and any supplemental executive retirement benefit plans or arrangements), in each case in the ordinary course of business or as otherwise approved in good faith by the Board of Directors of a Borrower or of a Restricted Subsidiary or any direct or indirect parent of the Borrower;</w:t>
      </w:r>
    </w:p>
    <w:p>
      <w:pPr>
        <w:spacing w:after="0" w:line="181" w:lineRule="exact"/>
        <w:rPr>
          <w:rFonts w:ascii="Arial" w:cs="Arial" w:eastAsia="Arial" w:hAnsi="Arial"/>
          <w:sz w:val="18"/>
          <w:szCs w:val="18"/>
          <w:color w:val="auto"/>
        </w:rPr>
      </w:pPr>
    </w:p>
    <w:p>
      <w:pPr>
        <w:jc w:val="both"/>
        <w:ind w:firstLine="1494"/>
        <w:spacing w:after="0" w:line="244" w:lineRule="auto"/>
        <w:tabs>
          <w:tab w:leader="none" w:pos="1891"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investments by Affiliates in Indebtedness or Preferred Stock of the Borrower or any of its Subsidiaries, so long as non-Affiliates were also offered the opportunity to invest in such Indebtedness or Preferred Stock, and transactions with Affiliates solely in their capacity as holders of Indebtedness or Preferred Stock of the Borrower or any of its Subsidiaries, so long as such transaction is with all holders of such class (and there are such non-Affiliate holders) and such Affiliates are treated no more favorably than all other holders of such class generally;</w:t>
      </w:r>
    </w:p>
    <w:p>
      <w:pPr>
        <w:spacing w:after="0" w:line="194" w:lineRule="exact"/>
        <w:rPr>
          <w:rFonts w:ascii="Arial" w:cs="Arial" w:eastAsia="Arial" w:hAnsi="Arial"/>
          <w:sz w:val="20"/>
          <w:szCs w:val="20"/>
          <w:color w:val="auto"/>
        </w:rPr>
      </w:pPr>
    </w:p>
    <w:p>
      <w:pPr>
        <w:jc w:val="both"/>
        <w:ind w:firstLine="1494"/>
        <w:spacing w:after="0" w:line="250" w:lineRule="auto"/>
        <w:tabs>
          <w:tab w:leader="none" w:pos="198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existence of, or the performance by the Borrower or any of its Restricted Subsidiaries of their obligations under the terms of, any registration rights agreement or shareholder’s agreement to which they are a party or become a party in the future;</w:t>
      </w:r>
    </w:p>
    <w:p>
      <w:pPr>
        <w:spacing w:after="0" w:line="185" w:lineRule="exact"/>
        <w:rPr>
          <w:rFonts w:ascii="Arial" w:cs="Arial" w:eastAsia="Arial" w:hAnsi="Arial"/>
          <w:sz w:val="20"/>
          <w:szCs w:val="20"/>
          <w:color w:val="auto"/>
        </w:rPr>
      </w:pPr>
    </w:p>
    <w:p>
      <w:pPr>
        <w:jc w:val="both"/>
        <w:ind w:firstLine="1494"/>
        <w:spacing w:after="0" w:line="250" w:lineRule="auto"/>
        <w:tabs>
          <w:tab w:leader="none" w:pos="198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investments by a direct or indirect parent of the Borrower in securities of the Borrower or debt securities or Preferred Stock of any Restricted Subsidiary (and payment of reasonable out-of-pocket expenses incurred by a direct or indirect parent of the Borrower in connection therewith);</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365125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4" w:right="339" w:bottom="1440" w:gutter="0" w:footer="0" w:header="0"/>
        </w:sectPr>
      </w:pPr>
    </w:p>
    <w:bookmarkStart w:id="189" w:name="page190"/>
    <w:bookmarkEnd w:id="189"/>
    <w:p>
      <w:pPr>
        <w:ind w:left="760" w:firstLine="1494"/>
        <w:spacing w:after="0" w:line="260" w:lineRule="auto"/>
        <w:tabs>
          <w:tab w:leader="none" w:pos="281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transactions with joint ventures for the purchase or sale of goods, equipment and services entered into in the ordinary course of business;</w:t>
      </w:r>
    </w:p>
    <w:p>
      <w:pPr>
        <w:spacing w:after="0" w:line="176" w:lineRule="exact"/>
        <w:rPr>
          <w:rFonts w:ascii="Arial" w:cs="Arial" w:eastAsia="Arial" w:hAnsi="Arial"/>
          <w:sz w:val="20"/>
          <w:szCs w:val="20"/>
          <w:color w:val="auto"/>
        </w:rPr>
      </w:pPr>
    </w:p>
    <w:p>
      <w:pPr>
        <w:ind w:left="760" w:firstLine="1494"/>
        <w:spacing w:after="0" w:line="260" w:lineRule="auto"/>
        <w:tabs>
          <w:tab w:leader="none" w:pos="280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any lease entered into between the Borrower or any Restricted Subsidiary, as lessee, and any Affiliate of the Borrower, as lessor, in the ordinary course of business;</w:t>
      </w:r>
    </w:p>
    <w:p>
      <w:pPr>
        <w:spacing w:after="0" w:line="176" w:lineRule="exact"/>
        <w:rPr>
          <w:rFonts w:ascii="Arial" w:cs="Arial" w:eastAsia="Arial" w:hAnsi="Arial"/>
          <w:sz w:val="20"/>
          <w:szCs w:val="20"/>
          <w:color w:val="auto"/>
        </w:rPr>
      </w:pPr>
    </w:p>
    <w:p>
      <w:pPr>
        <w:ind w:left="760" w:firstLine="1494"/>
        <w:spacing w:after="0" w:line="260" w:lineRule="auto"/>
        <w:tabs>
          <w:tab w:leader="none" w:pos="277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 intellectual property licenses and (ii) intercompany intellectual property licenses and research and development agreements, in each case, in the ordinary course of business;</w:t>
      </w:r>
    </w:p>
    <w:p>
      <w:pPr>
        <w:spacing w:after="0" w:line="176" w:lineRule="exact"/>
        <w:rPr>
          <w:rFonts w:ascii="Arial" w:cs="Arial" w:eastAsia="Arial" w:hAnsi="Arial"/>
          <w:sz w:val="20"/>
          <w:szCs w:val="20"/>
          <w:color w:val="auto"/>
        </w:rPr>
      </w:pPr>
    </w:p>
    <w:p>
      <w:pPr>
        <w:ind w:left="760" w:firstLine="1494"/>
        <w:spacing w:after="0" w:line="260" w:lineRule="auto"/>
        <w:tabs>
          <w:tab w:leader="none" w:pos="2805"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transactions pursuant to, and complying with, Section 7.03 (to the extent such transaction complies with Section 6.19(a)) or Section 7.04; or</w:t>
      </w:r>
    </w:p>
    <w:p>
      <w:pPr>
        <w:spacing w:after="0" w:line="176" w:lineRule="exact"/>
        <w:rPr>
          <w:rFonts w:ascii="Arial" w:cs="Arial" w:eastAsia="Arial" w:hAnsi="Arial"/>
          <w:sz w:val="20"/>
          <w:szCs w:val="20"/>
          <w:color w:val="auto"/>
        </w:rPr>
      </w:pPr>
    </w:p>
    <w:p>
      <w:pPr>
        <w:ind w:left="760" w:firstLine="1494"/>
        <w:spacing w:after="0" w:line="287" w:lineRule="auto"/>
        <w:tabs>
          <w:tab w:leader="none" w:pos="285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intercompany transactions undertaken in good faith for the purpose of improving the tax efficiency of the Borrower and its Restricted Subsidiaries and not for the purpose of circumventing any covenant set forth herein.</w:t>
      </w:r>
    </w:p>
    <w:p>
      <w:pPr>
        <w:spacing w:after="0" w:line="152"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6.20 Lender Conference Calls. At the reasonable request of the Administrative Agent, after the date of delivery of the financial information required pursuant to Section 6.01(a), the Borrower will hold and participate in an annual conference call or teleconference at a time selected by the Borrower and reasonably acceptable to the Administrative Agent, with all of the Lenders that choose to participate, to review the financial results of the previous fiscal year of the Borrower and its Restricted Subsidiaries.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0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which is accrued and payable shall remain unpaid or unsatisfied:</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7.01  Liens.</w:t>
      </w:r>
    </w:p>
    <w:p>
      <w:pPr>
        <w:spacing w:after="0" w:line="216" w:lineRule="exact"/>
        <w:rPr>
          <w:sz w:val="20"/>
          <w:szCs w:val="20"/>
          <w:color w:val="auto"/>
        </w:rPr>
      </w:pPr>
    </w:p>
    <w:p>
      <w:pPr>
        <w:jc w:val="both"/>
        <w:ind w:firstLine="1505"/>
        <w:spacing w:after="0" w:line="246" w:lineRule="auto"/>
        <w:tabs>
          <w:tab w:leader="none" w:pos="1992" w:val="left"/>
        </w:tabs>
        <w:numPr>
          <w:ilvl w:val="1"/>
          <w:numId w:val="195"/>
        </w:numPr>
        <w:rPr>
          <w:rFonts w:ascii="Arial" w:cs="Arial" w:eastAsia="Arial" w:hAnsi="Arial"/>
          <w:sz w:val="20"/>
          <w:szCs w:val="20"/>
          <w:color w:val="auto"/>
        </w:rPr>
      </w:pPr>
      <w:r>
        <w:rPr>
          <w:rFonts w:ascii="Arial" w:cs="Arial" w:eastAsia="Arial" w:hAnsi="Arial"/>
          <w:sz w:val="20"/>
          <w:szCs w:val="20"/>
          <w:color w:val="auto"/>
        </w:rPr>
        <w:t>The Borrower shall not, nor shall it permit any of its Restricted Subsidiaries to, directly or indirectly create, incur, assume or suffer to exist any Lien upon any of its property, assets or revenues, whether owned on the Closing Date or thereafter acquired (except Permitted Liens) (each, a “</w:t>
      </w:r>
      <w:r>
        <w:rPr>
          <w:rFonts w:ascii="Arial" w:cs="Arial" w:eastAsia="Arial" w:hAnsi="Arial"/>
          <w:sz w:val="20"/>
          <w:szCs w:val="20"/>
          <w:b w:val="1"/>
          <w:bCs w:val="1"/>
          <w:i w:val="1"/>
          <w:iCs w:val="1"/>
          <w:color w:val="auto"/>
        </w:rPr>
        <w:t>Subject Lien</w:t>
      </w:r>
      <w:r>
        <w:rPr>
          <w:rFonts w:ascii="Arial" w:cs="Arial" w:eastAsia="Arial" w:hAnsi="Arial"/>
          <w:sz w:val="20"/>
          <w:szCs w:val="20"/>
          <w:color w:val="auto"/>
        </w:rPr>
        <w:t>”) that secures obligations under any Indebtedness on any asset or property of the Borrower or any Restricted Subsidiary, unless:</w:t>
      </w:r>
    </w:p>
    <w:p>
      <w:pPr>
        <w:spacing w:after="0" w:line="191" w:lineRule="exact"/>
        <w:rPr>
          <w:rFonts w:ascii="Arial" w:cs="Arial" w:eastAsia="Arial" w:hAnsi="Arial"/>
          <w:sz w:val="20"/>
          <w:szCs w:val="20"/>
          <w:color w:val="auto"/>
        </w:rPr>
      </w:pPr>
    </w:p>
    <w:p>
      <w:pPr>
        <w:ind w:left="780" w:hanging="398"/>
        <w:spacing w:after="0"/>
        <w:tabs>
          <w:tab w:leader="none" w:pos="7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in the case of Subject Liens on any Collateral, such Subject Lien is a Permitted Lien; and</w:t>
      </w:r>
    </w:p>
    <w:p>
      <w:pPr>
        <w:spacing w:after="0" w:line="107" w:lineRule="exact"/>
        <w:rPr>
          <w:rFonts w:ascii="Arial" w:cs="Arial" w:eastAsia="Arial" w:hAnsi="Arial"/>
          <w:sz w:val="20"/>
          <w:szCs w:val="20"/>
          <w:color w:val="auto"/>
        </w:rPr>
      </w:pPr>
    </w:p>
    <w:p>
      <w:pPr>
        <w:jc w:val="both"/>
        <w:ind w:left="380" w:firstLine="2"/>
        <w:spacing w:after="0" w:line="250" w:lineRule="auto"/>
        <w:tabs>
          <w:tab w:leader="none" w:pos="779"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in the case of any other asset or property, any Subject Lien if (i) the Obligations are equally and ratably secured with (or on a senior basis to, in the case such Subject Lien secures any Junior Financing) the obligations secured by such Subject Lien or (ii) such Subject Lien is a Permitted Lien.</w:t>
      </w:r>
    </w:p>
    <w:p>
      <w:pPr>
        <w:spacing w:after="0" w:line="77" w:lineRule="exact"/>
        <w:rPr>
          <w:rFonts w:ascii="Arial" w:cs="Arial" w:eastAsia="Arial" w:hAnsi="Arial"/>
          <w:sz w:val="20"/>
          <w:szCs w:val="20"/>
          <w:color w:val="auto"/>
        </w:rPr>
      </w:pPr>
    </w:p>
    <w:p>
      <w:pPr>
        <w:jc w:val="both"/>
        <w:ind w:firstLine="1505"/>
        <w:spacing w:after="0" w:line="250" w:lineRule="auto"/>
        <w:tabs>
          <w:tab w:leader="none" w:pos="1988" w:val="left"/>
        </w:tabs>
        <w:numPr>
          <w:ilvl w:val="1"/>
          <w:numId w:val="196"/>
        </w:numPr>
        <w:rPr>
          <w:rFonts w:ascii="Arial" w:cs="Arial" w:eastAsia="Arial" w:hAnsi="Arial"/>
          <w:sz w:val="20"/>
          <w:szCs w:val="20"/>
          <w:color w:val="auto"/>
        </w:rPr>
      </w:pPr>
      <w:r>
        <w:rPr>
          <w:rFonts w:ascii="Arial" w:cs="Arial" w:eastAsia="Arial" w:hAnsi="Arial"/>
          <w:sz w:val="20"/>
          <w:szCs w:val="20"/>
          <w:color w:val="auto"/>
        </w:rPr>
        <w:t>Any Lien created for the benefit of the Secured Parties pursuant to the preceding paragraph (2) shall provide by its terms that such Lien shall be automatically and unconditionally be released and discharged upon the release and discharge of the Subject Lien that gave rise to the obligation to so secure the Obligations.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7.02  [Reserved].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7.03  Indebtedness.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90" w:name="page191"/>
    <w:bookmarkEnd w:id="190"/>
    <w:p>
      <w:pPr>
        <w:jc w:val="both"/>
        <w:ind w:firstLine="1505"/>
        <w:spacing w:after="0" w:line="254" w:lineRule="auto"/>
        <w:tabs>
          <w:tab w:leader="none" w:pos="2006"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the Borrower will not, and will not permit any of its Restricted Subsidiaries to, directly or indirectly, Incur any Indebtedness (including Acquired Indebtedness) or issue any shares of Disqualified Stock and the Borrower will not permit any of its Restricted Subsidiaries to issue any shares of Preferred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Borrower and any Restricted Subsidiary may Incur Indebtedness (including Acquired Indebtedness) or issue shares of Disqualified Stock and any Restricted Subsidiary may issue shares of Preferred Stock, in each case if the Fixed Charge Coverage Ratio of the Borrower and its Restricted Subsidiaries for the most recently ended four full fiscal quarters for which internal financial statements are available immediately preceding the date on which such additional Indebtedness is Incurred or such Disqualified Stock or Preferred Stock is issued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aggregate amount of Indebtedness (including Acquired Indebtedness) that may be Incurred and Disqualified Stock or Preferred Stock that may be issued pursuant to the foregoing by Restricted Subsidiaries that are not Guarantors of the Loans shall not exceed the greater of (x) $500,000,000 and (y) 26.0% of Four Quarter Consolidated EBITDA at the time of Incurrence, at any one time outstanding, on a Pro Forma Basis (such Indebtedness Incurred and Disqualified Stock and Preferred Stock issued, “</w:t>
      </w:r>
      <w:r>
        <w:rPr>
          <w:rFonts w:ascii="Arial" w:cs="Arial" w:eastAsia="Arial" w:hAnsi="Arial"/>
          <w:sz w:val="19"/>
          <w:szCs w:val="19"/>
          <w:b w:val="1"/>
          <w:bCs w:val="1"/>
          <w:i w:val="1"/>
          <w:iCs w:val="1"/>
          <w:color w:val="auto"/>
        </w:rPr>
        <w:t>Ratio Debt</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ind w:left="1980" w:hanging="475"/>
        <w:spacing w:after="0"/>
        <w:tabs>
          <w:tab w:leader="none" w:pos="198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In addition, the following shall be permitted (collectively, the “</w:t>
      </w:r>
      <w:r>
        <w:rPr>
          <w:rFonts w:ascii="Arial" w:cs="Arial" w:eastAsia="Arial" w:hAnsi="Arial"/>
          <w:sz w:val="20"/>
          <w:szCs w:val="20"/>
          <w:b w:val="1"/>
          <w:bCs w:val="1"/>
          <w:i w:val="1"/>
          <w:iCs w:val="1"/>
          <w:color w:val="auto"/>
        </w:rPr>
        <w:t>Permitted Debt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380" w:firstLine="2"/>
        <w:spacing w:after="0" w:line="242" w:lineRule="auto"/>
        <w:tabs>
          <w:tab w:leader="none" w:pos="79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Incurrence by the Borrower or its Restricted Subsidiaries of (i) (x) Indebtedness arising under the Loan Documents including any refinancing thereof in accordance with Section 2.19, (y) Indebtedness of the Loan Parties evidenced by Refinancing Notes and any Permitted Refinancing thereof (or successive Permitted Refinancings thereof) and (z) Indebtedness of the Loan Parties evidenced by Incremental Equivalent Debt and any Permitted Refinancing thereof (or successive Permitted Refinancings thereof), and (ii) the ABL Credit Agreement and Guarantees thereof and the issuance and creation of letters of credit and bankers’ acceptances thereunder (with letters of credit and bankers’ acceptances being deemed to have a principal amount equal to the face amount thereof) up to an aggregate amount not to exceed at any one time outstanding, the greater of (x) $1,400,000,000 and (y) the Borrowing Base as of the date of such Incurrence;</w:t>
      </w:r>
    </w:p>
    <w:p>
      <w:pPr>
        <w:spacing w:after="0" w:line="88" w:lineRule="exact"/>
        <w:rPr>
          <w:rFonts w:ascii="Arial" w:cs="Arial" w:eastAsia="Arial" w:hAnsi="Arial"/>
          <w:sz w:val="20"/>
          <w:szCs w:val="20"/>
          <w:color w:val="auto"/>
        </w:rPr>
      </w:pPr>
    </w:p>
    <w:p>
      <w:pPr>
        <w:jc w:val="both"/>
        <w:ind w:left="380" w:firstLine="2"/>
        <w:spacing w:after="0" w:line="342" w:lineRule="auto"/>
        <w:tabs>
          <w:tab w:leader="none" w:pos="78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Incurrence by the Borrower and the Guarantors of Indebtedness represented by (A) the Closing Date Senior Secured Notes and the Guarantees thereof, as applicable (and any exchange notes and Guarantees thereof) and (B) the Senior Notes (other than the Closing Date Senior Secured Notes), and in each case, the Guarantees thereof, as applicable (and any exchange notes and Guarantees thereof);</w:t>
      </w:r>
    </w:p>
    <w:p>
      <w:pPr>
        <w:spacing w:after="0" w:line="9" w:lineRule="exact"/>
        <w:rPr>
          <w:rFonts w:ascii="Arial" w:cs="Arial" w:eastAsia="Arial" w:hAnsi="Arial"/>
          <w:sz w:val="16"/>
          <w:szCs w:val="16"/>
          <w:color w:val="auto"/>
        </w:rPr>
      </w:pPr>
    </w:p>
    <w:p>
      <w:pPr>
        <w:jc w:val="both"/>
        <w:ind w:left="380" w:firstLine="2"/>
        <w:spacing w:after="0" w:line="291" w:lineRule="auto"/>
        <w:tabs>
          <w:tab w:leader="none" w:pos="91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Indebtedness and Disqualified Stock of the Borrower and its Restricted Subsidiaries and Preferred Stock of its Restricted Subsidiaries (other than Indebtedness described in clause (1) or (2) above) that is existing on the Closing Date and listed on Schedule 7.03 and for the avoidance of doubt, including all Capitalized Lease Obligations existing on the Closing Date listed on Schedule 7.03;</w:t>
      </w:r>
    </w:p>
    <w:p>
      <w:pPr>
        <w:spacing w:after="0" w:line="43" w:lineRule="exact"/>
        <w:rPr>
          <w:rFonts w:ascii="Arial" w:cs="Arial" w:eastAsia="Arial" w:hAnsi="Arial"/>
          <w:sz w:val="18"/>
          <w:szCs w:val="18"/>
          <w:color w:val="auto"/>
        </w:rPr>
      </w:pPr>
    </w:p>
    <w:p>
      <w:pPr>
        <w:jc w:val="both"/>
        <w:ind w:left="380" w:firstLine="2"/>
        <w:spacing w:after="0" w:line="243" w:lineRule="auto"/>
        <w:tabs>
          <w:tab w:leader="none" w:pos="77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Indebtedness (including, without limitation, Capitalized Lease Obligations and mortgage financings as purchase money obligations) Incurred by the Borrower or any of its Restricted Subsidiaries, Disqualified Stock issued by the Borrower or any of its Restricted Subsidiaries and Preferred Stock issued by any Restricted Subsidiaries to finance all or any part of the purchase, lease, construction, installation, repair or improvement of property (real or personal), plant or equipment or other fixed or capital assets (whether through the direct purchase of assets or the Capital Stock of any Person owning such assets) and Indebtedness, Disqualified Stock or Preferred Stock arising from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91" w:name="page192"/>
    <w:bookmarkEnd w:id="191"/>
    <w:p>
      <w:pPr>
        <w:jc w:val="both"/>
        <w:spacing w:after="0" w:line="269" w:lineRule="auto"/>
        <w:rPr>
          <w:sz w:val="20"/>
          <w:szCs w:val="20"/>
          <w:color w:val="auto"/>
        </w:rPr>
      </w:pPr>
      <w:r>
        <w:rPr>
          <w:rFonts w:ascii="Arial" w:cs="Arial" w:eastAsia="Arial" w:hAnsi="Arial"/>
          <w:sz w:val="18"/>
          <w:szCs w:val="18"/>
          <w:color w:val="auto"/>
        </w:rPr>
        <w:t xml:space="preserve">conversion of the obligations of the Borrower or any Restricted Subsidiary under or pursuant to any “synthetic lease” transactions to on-balance sheet Indebtedness of the Borrower or such Restricted Subsidiary, in an aggregate principal amount or Maximum Fixed Repurchase Price, as applicable, including all Indebtedness Incurred and Disqualified Stock or Preferred Stock issued to renew, refund, refinance, replace, defease or discharge any Indebtedness Incurred and Disqualified Stock or Preferred Stock issued pursuant to this clause (4), not to exceed the greater of (x) $350,000,000 and (y) 18.0% of Four Quarter Consolidated EBITDA at the time of Incurrence, at any one time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in the case of any refinancing of any Indebtedness, Disqualified Stock or Preferred Stock permitted under this clause (4) or any portion thereof, any Refinancing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Capitalized Lease Obligations Incurred by the Borrower or any Restricted Subsidiary pursuant to this clause (4) in connection with a Sale/Leaseback Transaction shall not be subject to the foregoing limitation so long as the proceeds of such Sale/Leaseback Transaction are used by the Borrower or such Restricted Subsidiary to permanently repay outstanding Term Loans under this Agreement or other Pari Passu Indebtedness that is secured by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Liens on the Collateral (it being understood that any Indebtedness, Disqualified Stock or Preferred Stock Incurred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clause (4) shall cease to be deemed Incurred or outstanding pursuant to this clause (4) but shall be deemed Incurred and outstanding as Ratio Debt from and after the first date on which Borrower or such Restricted Subsidiary, as the case may be, could have Incurred such Indebtedness, Disqualified Stock or Preferred Stock as Ratio Debt (to the extent Borrower or such Restricted Subsidiary is able to Incur any Liens related thereto as Permitted Liens after such reclassification));</w:t>
      </w:r>
    </w:p>
    <w:p>
      <w:pPr>
        <w:spacing w:after="0" w:line="71" w:lineRule="exact"/>
        <w:rPr>
          <w:sz w:val="20"/>
          <w:szCs w:val="20"/>
          <w:color w:val="auto"/>
        </w:rPr>
      </w:pPr>
    </w:p>
    <w:p>
      <w:pPr>
        <w:jc w:val="both"/>
        <w:ind w:firstLine="2"/>
        <w:spacing w:after="0" w:line="257" w:lineRule="auto"/>
        <w:tabs>
          <w:tab w:leader="none" w:pos="45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Restricted Subsidiaries and Preferred Stock issued by its Restricted Subsidiaries constituting reimbursement obligations with respect to letters of credit or bank guarantees or similar instruments issued in the ordinary course of business, including, without limitation, (i) letters of credit or performance or surety bonds in respect of workers’ compensation claims, health, disability or other employee benefits (whether current or former) or property, casualty or liability insurance or self-insurance, or other Indebtedness with respect to reimbursement-type obligations regarding workers’ compensation claims, health, disability or other employee benefits (whether current or former) or property, casualty or liability insurance and (ii) guarantees of Indebtedness Incurred by customers in connection with the purchase or other acquisition of equipment or supplies in the ordinary course of business;</w:t>
      </w:r>
    </w:p>
    <w:p>
      <w:pPr>
        <w:spacing w:after="0" w:line="72" w:lineRule="exact"/>
        <w:rPr>
          <w:rFonts w:ascii="Arial" w:cs="Arial" w:eastAsia="Arial" w:hAnsi="Arial"/>
          <w:sz w:val="19"/>
          <w:szCs w:val="19"/>
          <w:color w:val="auto"/>
        </w:rPr>
      </w:pPr>
    </w:p>
    <w:p>
      <w:pPr>
        <w:jc w:val="both"/>
        <w:ind w:firstLine="2"/>
        <w:spacing w:after="0" w:line="278" w:lineRule="auto"/>
        <w:tabs>
          <w:tab w:leader="none" w:pos="41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Incurrence of Indebtedness, Disqualified Stock or Preferred Stock arising from agreements of the Borrower or its Restricted Subsidiaries providing for indemnification, earn-outs, adjustment of purchase or acquisition price or similar obligations, in each case, Incurred in connection with the Transactions or with the acquisition or disposition of any business, assets or a Subsidiary of the Borrower in accordance with this Agreement, other than guarantees of Indebtedness Incurred or Disqualified Stock or Preferred Stock issued by any Person acquiring all or any portion of such business, assets or Subsidiary for the purpose of financing such acquisition;</w:t>
      </w:r>
    </w:p>
    <w:p>
      <w:pPr>
        <w:spacing w:after="0" w:line="56" w:lineRule="exact"/>
        <w:rPr>
          <w:rFonts w:ascii="Arial" w:cs="Arial" w:eastAsia="Arial" w:hAnsi="Arial"/>
          <w:sz w:val="18"/>
          <w:szCs w:val="18"/>
          <w:color w:val="auto"/>
        </w:rPr>
      </w:pPr>
    </w:p>
    <w:p>
      <w:pPr>
        <w:jc w:val="both"/>
        <w:ind w:firstLine="2"/>
        <w:spacing w:after="0" w:line="233" w:lineRule="exact"/>
        <w:tabs>
          <w:tab w:leader="none" w:pos="42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Indebtedness or Disqualified Stock of the Borrower owing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Indebtedness or Disqualified Stock owing to a non</w:t>
      </w:r>
      <w:r>
        <w:rPr>
          <w:rFonts w:ascii="MS PGothic" w:cs="MS PGothic" w:eastAsia="MS PGothic" w:hAnsi="MS PGothic"/>
          <w:sz w:val="18"/>
          <w:szCs w:val="18"/>
          <w:color w:val="auto"/>
        </w:rPr>
        <w:t>‑</w:t>
      </w:r>
      <w:r>
        <w:rPr>
          <w:rFonts w:ascii="Arial" w:cs="Arial" w:eastAsia="Arial" w:hAnsi="Arial"/>
          <w:sz w:val="18"/>
          <w:szCs w:val="18"/>
          <w:color w:val="auto"/>
        </w:rPr>
        <w:t>Loan Party shall be subordinated in right of payment to such Borrower’s Obligations with respect to this Agreement pursuant to the Intercompany Subordination Agreement and (y) any subsequent issuance or transfer of any Capital Stock or any other event that results in any such Restricted Subsidiary ceasing to be a Restricted Subsidiary or any other subsequent transfer of any such Indebtedness or Disqualified Stock (except to the Borrower or another Restricted Subsidiary) shall be deemed, in each case, to be an Incurrence of such Indebtedness or an issuance of such Disqualified Stock not permitted by this clause (7);</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92" w:name="page193"/>
    <w:bookmarkEnd w:id="192"/>
    <w:p>
      <w:pPr>
        <w:jc w:val="both"/>
        <w:ind w:firstLine="2"/>
        <w:spacing w:after="0" w:line="260" w:lineRule="auto"/>
        <w:tabs>
          <w:tab w:leader="none" w:pos="419"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shares of Preferred Stock of a Restricted Subsidiary issued to the Borrower or another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subsequent issuance or transfer of any Capital Stock or any other event that results in any Restricted Subsidiary that holds such shares of Preferred Stock of another Restricted Subsidiary ceasing to be a Restricted Subsidiary or any other subsequent transfer of any such shares of Preferred Stock (except to the Borrower or another Restricted Subsidiary) shall be deemed, in each case, to be an issuance of shares of Preferred Stock not permitted by this clause (8);</w:t>
      </w:r>
    </w:p>
    <w:p>
      <w:pPr>
        <w:spacing w:after="0" w:line="72" w:lineRule="exact"/>
        <w:rPr>
          <w:rFonts w:ascii="Arial" w:cs="Arial" w:eastAsia="Arial" w:hAnsi="Arial"/>
          <w:sz w:val="19"/>
          <w:szCs w:val="19"/>
          <w:color w:val="auto"/>
        </w:rPr>
      </w:pPr>
    </w:p>
    <w:p>
      <w:pPr>
        <w:jc w:val="both"/>
        <w:ind w:firstLine="2"/>
        <w:spacing w:after="0" w:line="232" w:lineRule="exact"/>
        <w:tabs>
          <w:tab w:leader="none" w:pos="40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a Restricted Subsidiary or the Borrower owing to the Borrower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if Borrower or a Loan Party Incurs such Indebtedness, Disqualified Stock or Preferred Stock owing to a non</w:t>
      </w:r>
      <w:r>
        <w:rPr>
          <w:rFonts w:ascii="MS PGothic" w:cs="MS PGothic" w:eastAsia="MS PGothic" w:hAnsi="MS PGothic"/>
          <w:sz w:val="18"/>
          <w:szCs w:val="18"/>
          <w:color w:val="auto"/>
        </w:rPr>
        <w:t>‑</w:t>
      </w:r>
      <w:r>
        <w:rPr>
          <w:rFonts w:ascii="Arial" w:cs="Arial" w:eastAsia="Arial" w:hAnsi="Arial"/>
          <w:sz w:val="18"/>
          <w:szCs w:val="18"/>
          <w:color w:val="auto"/>
        </w:rPr>
        <w:t>Loan Party, such Indebtedness, Disqualified Stock or Preferred Stock is subordinated in right of payment to the Borrower’s Obligations or Guarantee of such Loan Party, as applicable, pursuant to the Intercompany Subordination Agreement and (y) any subsequent issuance or transfer of any Capital Stock or any other event that results in any Restricted Subsidiary lending such Indebtedness, Disqualified Stock or Preferred Stock ceasing to be a Restricted Subsidiary or any other subsequent transfer of any such Indebtedness, Disqualified Stock or Preferred Stock (except to the Borrower or another Restricted Subsidiary) shall be deemed, in each case, to be an Incurrence of such Indebtedness, Disqualified Stock or Preferred Stock not permitted by this clause (9);</w:t>
      </w:r>
    </w:p>
    <w:p>
      <w:pPr>
        <w:spacing w:after="0" w:line="88" w:lineRule="exact"/>
        <w:rPr>
          <w:rFonts w:ascii="Arial" w:cs="Arial" w:eastAsia="Arial" w:hAnsi="Arial"/>
          <w:sz w:val="18"/>
          <w:szCs w:val="18"/>
          <w:color w:val="auto"/>
        </w:rPr>
      </w:pPr>
    </w:p>
    <w:p>
      <w:pPr>
        <w:ind w:firstLine="2"/>
        <w:spacing w:after="0" w:line="260" w:lineRule="auto"/>
        <w:tabs>
          <w:tab w:leader="none" w:pos="41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Swap Contracts Incurred (including, without limitation, in connection with any Qualified Receivables Financing), other than for speculative purposes;</w:t>
      </w:r>
    </w:p>
    <w:p>
      <w:pPr>
        <w:spacing w:after="0" w:line="68" w:lineRule="exact"/>
        <w:rPr>
          <w:rFonts w:ascii="Arial" w:cs="Arial" w:eastAsia="Arial" w:hAnsi="Arial"/>
          <w:sz w:val="20"/>
          <w:szCs w:val="20"/>
          <w:color w:val="auto"/>
        </w:rPr>
      </w:pPr>
    </w:p>
    <w:p>
      <w:pPr>
        <w:jc w:val="both"/>
        <w:ind w:firstLine="2"/>
        <w:spacing w:after="0" w:line="250" w:lineRule="auto"/>
        <w:tabs>
          <w:tab w:leader="none" w:pos="418" w:val="left"/>
        </w:tabs>
        <w:numPr>
          <w:ilvl w:val="0"/>
          <w:numId w:val="200"/>
        </w:numPr>
        <w:rPr>
          <w:rFonts w:ascii="Arial" w:cs="Arial" w:eastAsia="Arial" w:hAnsi="Arial"/>
          <w:sz w:val="20"/>
          <w:szCs w:val="20"/>
          <w:color w:val="auto"/>
        </w:rPr>
      </w:pPr>
      <w:r>
        <w:rPr>
          <w:rFonts w:ascii="Arial" w:cs="Arial" w:eastAsia="Arial" w:hAnsi="Arial"/>
          <w:sz w:val="20"/>
          <w:szCs w:val="20"/>
          <w:color w:val="auto"/>
        </w:rPr>
        <w:t>obligations (including reimbursement obligations with respect to letters of credit and bank guarantees or similar instruments) in respect of customs, self-insurance, performance, bid, appeal and surety bonds and completion guarantees and similar obligations provided by the Borrower or any Restricted Subsidiary;</w:t>
      </w:r>
    </w:p>
    <w:p>
      <w:pPr>
        <w:spacing w:after="0" w:line="77" w:lineRule="exact"/>
        <w:rPr>
          <w:rFonts w:ascii="Arial" w:cs="Arial" w:eastAsia="Arial" w:hAnsi="Arial"/>
          <w:sz w:val="20"/>
          <w:szCs w:val="20"/>
          <w:color w:val="auto"/>
        </w:rPr>
      </w:pPr>
    </w:p>
    <w:p>
      <w:pPr>
        <w:jc w:val="both"/>
        <w:ind w:firstLine="2"/>
        <w:spacing w:after="0" w:line="271" w:lineRule="auto"/>
        <w:tabs>
          <w:tab w:leader="none" w:pos="40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Indebtedness or Disqualified Stock of the Borrower or any Restricted Subsidiary and Preferred Stock of any Restricted Subsidiary in an aggregate principal amount or Maximum Fixed Repurchase Price, as applicable, that, when aggregated with the principal amount or Maximum Fixed Repurchase Price of all other Indebtedness, Disqualified Stock and Preferred Stock then outstanding and Incurred pursuant to this clause (12), does not exceed the greater of (x) $600,000,000 and (y) 31.0% of Four Quarter Consolidated EBITDA at the time of Incurrence, at any one time outstanding </w:t>
      </w:r>
      <w:r>
        <w:rPr>
          <w:rFonts w:ascii="Arial" w:cs="Arial" w:eastAsia="Arial" w:hAnsi="Arial"/>
          <w:sz w:val="18"/>
          <w:szCs w:val="18"/>
          <w:i w:val="1"/>
          <w:iCs w:val="1"/>
          <w:color w:val="auto"/>
        </w:rPr>
        <w:t>plus</w:t>
      </w:r>
      <w:r>
        <w:rPr>
          <w:rFonts w:ascii="Arial" w:cs="Arial" w:eastAsia="Arial" w:hAnsi="Arial"/>
          <w:sz w:val="18"/>
          <w:szCs w:val="18"/>
          <w:color w:val="auto"/>
        </w:rPr>
        <w:t>, in the case of any refinancing of any Indebtedness, Disqualified Stock or Preferred Stock permitted under this clause (12) or any portion thereof, any Refinancing Expenses (it being understood that any Indebtedness Incurred or Disqualified Stock or Preferred Stock issued pursuant to this clause (12) shall cease to be deemed Incurred, issued or outstanding pursuant to this clause (12) but shall be deemed Incurred or issued and outstanding as Ratio Debt from and after the first date on which Borrower or such Restricted Subsidiary, as the case may be, could have Incurred such Indebtedness or issued such Disqualified Stock or Preferred Stock as Ratio Debt (to the extent Borrower or such Restricted Subsidiary is able to Incur any Liens related thereto as Permitted Liens after such reclassification));</w:t>
      </w:r>
    </w:p>
    <w:p>
      <w:pPr>
        <w:spacing w:after="0" w:line="61" w:lineRule="exact"/>
        <w:rPr>
          <w:rFonts w:ascii="Arial" w:cs="Arial" w:eastAsia="Arial" w:hAnsi="Arial"/>
          <w:sz w:val="18"/>
          <w:szCs w:val="18"/>
          <w:color w:val="auto"/>
        </w:rPr>
      </w:pPr>
    </w:p>
    <w:p>
      <w:pPr>
        <w:jc w:val="both"/>
        <w:ind w:firstLine="2"/>
        <w:spacing w:after="0" w:line="246" w:lineRule="auto"/>
        <w:tabs>
          <w:tab w:leader="none" w:pos="39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any guarantee by the Borrower or a Restricted Subsidiary of Indebtedness, Disqualified Stock, Preferred Stock (other than Preferred Stock incurred pursuant to Section 7.03(b)(8)) or other obligations of the Borrower or any of its Restricted Subsidiaries so long as the Incurrence of such Indebtedness, Disqualified Stock, Preferred Stock or other obligations by the Borrower or such Restricted Subsidiary is permitted under the terms of this Agreement;</w:t>
      </w:r>
    </w:p>
    <w:p>
      <w:pPr>
        <w:spacing w:after="0" w:line="83" w:lineRule="exact"/>
        <w:rPr>
          <w:rFonts w:ascii="Arial" w:cs="Arial" w:eastAsia="Arial" w:hAnsi="Arial"/>
          <w:sz w:val="20"/>
          <w:szCs w:val="20"/>
          <w:color w:val="auto"/>
        </w:rPr>
      </w:pPr>
    </w:p>
    <w:p>
      <w:pPr>
        <w:ind w:firstLine="2"/>
        <w:spacing w:after="0" w:line="260" w:lineRule="auto"/>
        <w:tabs>
          <w:tab w:leader="none" w:pos="42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Incurrence by the Borrower or any of its Restricted Subsidiaries of Indebtedness or Disqualified Stock or the issuance of Preferred Stock of a Restricted Subsidiary that serves to refund,</w:t>
      </w:r>
    </w:p>
    <w:p>
      <w:pPr>
        <w:spacing w:after="0" w:line="5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93" w:name="page194"/>
    <w:bookmarkEnd w:id="193"/>
    <w:p>
      <w:pPr>
        <w:jc w:val="both"/>
        <w:spacing w:after="0" w:line="272" w:lineRule="auto"/>
        <w:rPr>
          <w:sz w:val="20"/>
          <w:szCs w:val="20"/>
          <w:color w:val="auto"/>
        </w:rPr>
      </w:pPr>
      <w:r>
        <w:rPr>
          <w:rFonts w:ascii="Arial" w:cs="Arial" w:eastAsia="Arial" w:hAnsi="Arial"/>
          <w:sz w:val="18"/>
          <w:szCs w:val="18"/>
          <w:color w:val="auto"/>
        </w:rPr>
        <w:t>refinance, replace, redeem, repurchase, retire or defease, and is in an aggregate principal amount (or if issued with original issue discount an aggregate issue price) that is less than or equal to, Indebtedness Incurred or Disqualified Stock or Preferred Stock issued as Ratio Debt or permitted under clause (2), clause (3), this clause (14), clause (15) or clause (18) of this Section 7.03(b) or subclause (y) of each of clauses (4), (12), (20), (29) or (31) of this Section 7.03(b)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Incurred under this clause (14) as Refinancing Indebtedness in respect of Indebtedness Incurred pursuant to subclause (y) of any of these clauses shall reduce the amount available under such subclause (y) of such clause so long as such Refinancing Indebtedness remains outstanding (but, in each case, not below $0)) or any Indebtedness Incurred or Disqualified Stock or Preferred Stock issued to so refund, replace, refinance, redeem, repurchase, retire or defease such Indebtedness, Disqualified Stock or Preferred Stock, plus any Refinancing Expenses (subject to the following proviso, “</w:t>
      </w:r>
      <w:r>
        <w:rPr>
          <w:rFonts w:ascii="Arial" w:cs="Arial" w:eastAsia="Arial" w:hAnsi="Arial"/>
          <w:sz w:val="18"/>
          <w:szCs w:val="18"/>
          <w:b w:val="1"/>
          <w:bCs w:val="1"/>
          <w:i w:val="1"/>
          <w:iCs w:val="1"/>
          <w:color w:val="auto"/>
        </w:rPr>
        <w:t>Refinancing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Refinancing Indebtedness:</w:t>
      </w:r>
    </w:p>
    <w:p>
      <w:pPr>
        <w:spacing w:after="0" w:line="62" w:lineRule="exact"/>
        <w:rPr>
          <w:sz w:val="20"/>
          <w:szCs w:val="20"/>
          <w:color w:val="auto"/>
        </w:rPr>
      </w:pPr>
    </w:p>
    <w:p>
      <w:pPr>
        <w:jc w:val="both"/>
        <w:ind w:left="380" w:firstLine="1494"/>
        <w:spacing w:after="0" w:line="257" w:lineRule="auto"/>
        <w:tabs>
          <w:tab w:leader="none" w:pos="236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has a Weighted Average Life to Maturity at the time such Refinancing Indebtedness is Incurred that is not less than the remaining Weighted Average Life to Maturity of the Indebtedness, Disqualified Stock or Preferred Stock being refunded, refinanced, replaced, redeemed, repurchased or retired (which, in the case of bridge loans or Extendable Bridge Loans/Interim Debt, shall be determined by reference to the notes or loans into which such bridge loans or Extendable Bridge Loans/Interim Debt are converted or for which such bridge loans or Extendable Bridge Loans/Interim Debt are exchanged at maturity and will be subject to other customary offers to repurchase or mandatory prepayments upon a change of control, asset sale or event of loss and customary acceleration rights after an event of default);</w:t>
      </w:r>
    </w:p>
    <w:p>
      <w:pPr>
        <w:spacing w:after="0" w:line="184" w:lineRule="exact"/>
        <w:rPr>
          <w:rFonts w:ascii="Arial" w:cs="Arial" w:eastAsia="Arial" w:hAnsi="Arial"/>
          <w:sz w:val="19"/>
          <w:szCs w:val="19"/>
          <w:color w:val="auto"/>
        </w:rPr>
      </w:pPr>
    </w:p>
    <w:p>
      <w:pPr>
        <w:jc w:val="both"/>
        <w:ind w:left="380" w:firstLine="1494"/>
        <w:spacing w:after="0" w:line="276" w:lineRule="auto"/>
        <w:tabs>
          <w:tab w:leader="none" w:pos="236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any revolving Indebtedness, has a Stated Maturity that is no earlier than the Stated Maturity of the Indebtedness being refunded, refinanced, replaced, redeemed, repurchased or retired (which, in the case of bridge loans or Extendable Bridge Loans/Interim Debt, shall be determined by reference to the notes or loans into which such bridge loans or Extendable Bridge Loans/Interim Debt are converted or for which such bridge loans or Extendable Bridge Loans/Interim Debt are exchanged at maturity and will be subject to other customary offers to repurchase or mandatory prepayments upon a change of control, asset sale or event of loss and customary acceleration rights after an event of default);</w:t>
      </w:r>
    </w:p>
    <w:p>
      <w:pPr>
        <w:spacing w:after="0" w:line="164" w:lineRule="exact"/>
        <w:rPr>
          <w:rFonts w:ascii="Arial" w:cs="Arial" w:eastAsia="Arial" w:hAnsi="Arial"/>
          <w:sz w:val="18"/>
          <w:szCs w:val="18"/>
          <w:color w:val="auto"/>
        </w:rPr>
      </w:pPr>
    </w:p>
    <w:p>
      <w:pPr>
        <w:jc w:val="both"/>
        <w:ind w:left="380" w:firstLine="1494"/>
        <w:spacing w:after="0" w:line="250" w:lineRule="auto"/>
        <w:tabs>
          <w:tab w:leader="none" w:pos="2227"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to the extent that such Refinancing Indebtedness refinances (i) Subordinated Indebtedness, such Refinancing Indebtedness is Subordinated Indebtedness or (ii) Disqualified Stock or Preferred Stock, such Refinancing Indebtedness is Disqualified Stock or Preferred Stock, respectively;</w:t>
      </w:r>
    </w:p>
    <w:p>
      <w:pPr>
        <w:spacing w:after="0" w:line="185" w:lineRule="exact"/>
        <w:rPr>
          <w:rFonts w:ascii="Arial" w:cs="Arial" w:eastAsia="Arial" w:hAnsi="Arial"/>
          <w:sz w:val="20"/>
          <w:szCs w:val="20"/>
          <w:color w:val="auto"/>
        </w:rPr>
      </w:pPr>
    </w:p>
    <w:p>
      <w:pPr>
        <w:jc w:val="both"/>
        <w:ind w:left="380" w:firstLine="1494"/>
        <w:spacing w:after="0" w:line="234" w:lineRule="exact"/>
        <w:tabs>
          <w:tab w:leader="none" w:pos="2216" w:val="left"/>
        </w:tabs>
        <w:numPr>
          <w:ilvl w:val="0"/>
          <w:numId w:val="201"/>
        </w:numPr>
        <w:rPr>
          <w:rFonts w:ascii="Arial" w:cs="Arial" w:eastAsia="Arial" w:hAnsi="Arial"/>
          <w:sz w:val="20"/>
          <w:szCs w:val="20"/>
          <w:color w:val="auto"/>
        </w:rPr>
      </w:pPr>
      <w:r>
        <w:rPr>
          <w:rFonts w:ascii="Arial" w:cs="Arial" w:eastAsia="Arial" w:hAnsi="Arial"/>
          <w:sz w:val="20"/>
          <w:szCs w:val="20"/>
          <w:color w:val="auto"/>
        </w:rPr>
        <w:t>shall not include (x) Indebtedness, Disqualified Stock or Preferred Stock of a non</w:t>
      </w:r>
      <w:r>
        <w:rPr>
          <w:rFonts w:ascii="MS PGothic" w:cs="MS PGothic" w:eastAsia="MS PGothic" w:hAnsi="MS PGothic"/>
          <w:sz w:val="20"/>
          <w:szCs w:val="20"/>
          <w:color w:val="auto"/>
        </w:rPr>
        <w:t>‑</w:t>
      </w:r>
      <w:r>
        <w:rPr>
          <w:rFonts w:ascii="Arial" w:cs="Arial" w:eastAsia="Arial" w:hAnsi="Arial"/>
          <w:sz w:val="20"/>
          <w:szCs w:val="20"/>
          <w:color w:val="auto"/>
        </w:rPr>
        <w:t>Loan Party that refinances Indebtedness, Disqualified Stock or Preferred Stock of the Borrower or any Guarantor, or (y) Indebtedness or Disqualified Stock of the Borrower or Indebtedness, Disqualified Stock or Preferred Stock of a Restricted Subsidiary that refinances Indebtedness, Disqualified Stock or Preferred Stock of an Unrestricted Subsidiary; and</w:t>
      </w:r>
    </w:p>
    <w:p>
      <w:pPr>
        <w:spacing w:after="0" w:line="198" w:lineRule="exact"/>
        <w:rPr>
          <w:rFonts w:ascii="Arial" w:cs="Arial" w:eastAsia="Arial" w:hAnsi="Arial"/>
          <w:sz w:val="20"/>
          <w:szCs w:val="20"/>
          <w:color w:val="auto"/>
        </w:rPr>
      </w:pPr>
    </w:p>
    <w:p>
      <w:pPr>
        <w:jc w:val="both"/>
        <w:ind w:left="380" w:firstLine="1494"/>
        <w:spacing w:after="0" w:line="250" w:lineRule="auto"/>
        <w:tabs>
          <w:tab w:leader="none" w:pos="2195"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to the extent the Indebtedness being refunded, refinanced, replaced, redeemed, repurchased or retired is secured, the Liens securing such Refinancing Indebtedness may have a Lien priority equal to or junior to (but not greater than) the Indebtedness being refunded, refinanced, replaced, redeemed, repurchased or retired;</w:t>
      </w:r>
    </w:p>
    <w:p>
      <w:pPr>
        <w:spacing w:after="0" w:line="186" w:lineRule="exact"/>
        <w:rPr>
          <w:sz w:val="20"/>
          <w:szCs w:val="20"/>
          <w:color w:val="auto"/>
        </w:rPr>
      </w:pPr>
    </w:p>
    <w:p>
      <w:pPr>
        <w:ind w:firstLine="2"/>
        <w:spacing w:after="0" w:line="260" w:lineRule="auto"/>
        <w:tabs>
          <w:tab w:leader="none" w:pos="403"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(i) of the Borrower or any Restricted Subsidiaries Incurred, issued or assumed in anticipation of, or in connection with, an acquisition of any</w:t>
      </w:r>
    </w:p>
    <w:p>
      <w:pPr>
        <w:spacing w:after="0" w:line="5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94" w:name="page195"/>
    <w:bookmarkEnd w:id="194"/>
    <w:p>
      <w:pPr>
        <w:jc w:val="both"/>
        <w:spacing w:after="0" w:line="282" w:lineRule="auto"/>
        <w:rPr>
          <w:sz w:val="20"/>
          <w:szCs w:val="20"/>
          <w:color w:val="auto"/>
        </w:rPr>
      </w:pPr>
      <w:r>
        <w:rPr>
          <w:rFonts w:ascii="Arial" w:cs="Arial" w:eastAsia="Arial" w:hAnsi="Arial"/>
          <w:sz w:val="18"/>
          <w:szCs w:val="18"/>
          <w:color w:val="auto"/>
        </w:rPr>
        <w:t xml:space="preserve">assets (including Capital Stock), business or Person or any similar Investment and (ii) of any Person that is acquired by the Borrower or any of its Restricted Subsidiaries or merged into or consolidated or amalgamated with the Borrower or a Restricted Subsidiary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after giving Pro Forma Effect to such acquisition, merger, consolidation or amalgamation and the Incurrence of such Indebtedness, Disqualified Stock or Preferred Stock, either:</w:t>
      </w:r>
    </w:p>
    <w:p>
      <w:pPr>
        <w:spacing w:after="0" w:line="53" w:lineRule="exact"/>
        <w:rPr>
          <w:sz w:val="20"/>
          <w:szCs w:val="20"/>
          <w:color w:val="auto"/>
        </w:rPr>
      </w:pPr>
    </w:p>
    <w:p>
      <w:pPr>
        <w:ind w:left="2360" w:hanging="593"/>
        <w:spacing w:after="0"/>
        <w:tabs>
          <w:tab w:leader="none" w:pos="236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Borrower would be permitted to Incur at least $1.00 of additional Indebtedness as Ratio Debt;</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or</w:t>
      </w:r>
    </w:p>
    <w:p>
      <w:pPr>
        <w:spacing w:after="0" w:line="200" w:lineRule="exact"/>
        <w:rPr>
          <w:sz w:val="20"/>
          <w:szCs w:val="20"/>
          <w:color w:val="auto"/>
        </w:rPr>
      </w:pPr>
    </w:p>
    <w:p>
      <w:pPr>
        <w:jc w:val="both"/>
        <w:ind w:left="380" w:right="740" w:firstLine="1387"/>
        <w:spacing w:after="0" w:line="250" w:lineRule="auto"/>
        <w:tabs>
          <w:tab w:leader="none" w:pos="241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Fixed Charge Coverage Ratio of the Borrower is greater than or equal to such ratio immediately prior to giving Pro Forma Effect to such acquisition, merger, consolidation, amalgamation or similar Investment;</w:t>
      </w:r>
    </w:p>
    <w:p>
      <w:pPr>
        <w:spacing w:after="0" w:line="186" w:lineRule="exact"/>
        <w:rPr>
          <w:sz w:val="20"/>
          <w:szCs w:val="20"/>
          <w:color w:val="auto"/>
        </w:rPr>
      </w:pPr>
    </w:p>
    <w:p>
      <w:pPr>
        <w:jc w:val="both"/>
        <w:ind w:left="380" w:right="740" w:firstLine="1391"/>
        <w:spacing w:after="0" w:line="269"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(1) the aggregate amount of Indebtedness Incurred and Disqualified Stock or Preferred Stock that may be issued pursuant to this clause (15) by non-Loan Parties (together with the aggregate amount of Indebtedness (including Acquired Indebtedness) that may be Incurred and Disqualified Stock or Preferred Stock that may be issued pursuant to the first paragraph of this Section 7.03 by non-Loan Parties) shall not exceed the greater of (x) $500,000,000 and (y) 26.0% of Four Quarter Consolidated EBITDA, at any one time outstanding on a Pro Forma Basis (including pro forma application of the proceeds therefrom) and (2) such Indebtedness, Disqualified Stock or Preferred Stock (A) other than with respect to the initial maturity date for Extendable Bridge Loans/Interim Debt and Refinancing Notes in an amount not in excess of the Inside Maturity Basket at the time of Incurrence, has a Stated Maturity that is no earlier than the Latest Maturity Date, (B) has a Weighted Average Life to Maturity at the time such Indebtedness is Incurred that is not less than the remaining Weighted Average Life to Maturity of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Indebtedness in the form of Extendable Bridge Loans/Interim Debt and amounts not in excess of the Inside Maturity Basket at the time of Incurrence may have a Weighted Average Life to Maturity shorter than the then longest remaining Weighted Average Life to Maturity of any then outstanding Term Loans, and (C) shall for purposes of mandatory prepayments not be treated more favorably than the existing Term Loans;</w:t>
      </w:r>
    </w:p>
    <w:p>
      <w:pPr>
        <w:spacing w:after="0" w:line="181" w:lineRule="exact"/>
        <w:rPr>
          <w:sz w:val="20"/>
          <w:szCs w:val="20"/>
          <w:color w:val="auto"/>
        </w:rPr>
      </w:pPr>
    </w:p>
    <w:p>
      <w:pPr>
        <w:ind w:firstLine="2"/>
        <w:spacing w:after="0" w:line="260" w:lineRule="auto"/>
        <w:tabs>
          <w:tab w:leader="none" w:pos="41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arising from the honoring by a bank or other financial institution of a check, draft or similar instrument drawn against insufficient funds in the ordinary course of business;</w:t>
      </w:r>
    </w:p>
    <w:p>
      <w:pPr>
        <w:spacing w:after="0" w:line="68" w:lineRule="exact"/>
        <w:rPr>
          <w:rFonts w:ascii="Arial" w:cs="Arial" w:eastAsia="Arial" w:hAnsi="Arial"/>
          <w:sz w:val="20"/>
          <w:szCs w:val="20"/>
          <w:color w:val="auto"/>
        </w:rPr>
      </w:pPr>
    </w:p>
    <w:p>
      <w:pPr>
        <w:jc w:val="both"/>
        <w:ind w:firstLine="2"/>
        <w:spacing w:after="0" w:line="269" w:lineRule="auto"/>
        <w:tabs>
          <w:tab w:leader="none" w:pos="40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Indebtedness, Disqualified Stock or Preferred Stock of the Borrower or any Restricted Subsidiary supported by a letter of credit or bank guarantee issued pursuant to any credit facility permitted hereunder, so long as such letter of credit has not been terminated and is in a principal amount not in excess of the stated amount of such letter of credit or bank guarantee;</w:t>
      </w:r>
    </w:p>
    <w:p>
      <w:pPr>
        <w:spacing w:after="0" w:line="61" w:lineRule="exact"/>
        <w:rPr>
          <w:rFonts w:ascii="Arial" w:cs="Arial" w:eastAsia="Arial" w:hAnsi="Arial"/>
          <w:sz w:val="19"/>
          <w:szCs w:val="19"/>
          <w:color w:val="auto"/>
        </w:rPr>
      </w:pPr>
    </w:p>
    <w:p>
      <w:pPr>
        <w:ind w:left="400" w:hanging="398"/>
        <w:spacing w:after="0"/>
        <w:tabs>
          <w:tab w:leader="none" w:pos="40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Contribution Indebtedness;</w:t>
      </w:r>
    </w:p>
    <w:p>
      <w:pPr>
        <w:spacing w:after="0" w:line="107" w:lineRule="exact"/>
        <w:rPr>
          <w:rFonts w:ascii="Arial" w:cs="Arial" w:eastAsia="Arial" w:hAnsi="Arial"/>
          <w:sz w:val="20"/>
          <w:szCs w:val="20"/>
          <w:color w:val="auto"/>
        </w:rPr>
      </w:pPr>
    </w:p>
    <w:p>
      <w:pPr>
        <w:ind w:firstLine="2"/>
        <w:spacing w:after="0" w:line="260" w:lineRule="auto"/>
        <w:tabs>
          <w:tab w:leader="none" w:pos="40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Indebtedness of the Borrower or any Restricted Subsidiary consisting of (x) the financing of insurance premiums or (y) take-or-pay obligations contained in supply arrangements, in each case, in the ordinary course of business;</w:t>
      </w:r>
    </w:p>
    <w:p>
      <w:pPr>
        <w:spacing w:after="0" w:line="68" w:lineRule="exact"/>
        <w:rPr>
          <w:rFonts w:ascii="Arial" w:cs="Arial" w:eastAsia="Arial" w:hAnsi="Arial"/>
          <w:sz w:val="20"/>
          <w:szCs w:val="20"/>
          <w:color w:val="auto"/>
        </w:rPr>
      </w:pPr>
    </w:p>
    <w:p>
      <w:pPr>
        <w:jc w:val="both"/>
        <w:ind w:firstLine="2"/>
        <w:spacing w:after="0" w:line="236" w:lineRule="exact"/>
        <w:tabs>
          <w:tab w:leader="none" w:pos="425"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non</w:t>
      </w:r>
      <w:r>
        <w:rPr>
          <w:rFonts w:ascii="MS PGothic" w:cs="MS PGothic" w:eastAsia="MS PGothic" w:hAnsi="MS PGothic"/>
          <w:sz w:val="20"/>
          <w:szCs w:val="20"/>
          <w:color w:val="auto"/>
        </w:rPr>
        <w:t>‑</w:t>
      </w:r>
      <w:r>
        <w:rPr>
          <w:rFonts w:ascii="Arial" w:cs="Arial" w:eastAsia="Arial" w:hAnsi="Arial"/>
          <w:sz w:val="20"/>
          <w:szCs w:val="20"/>
          <w:color w:val="auto"/>
        </w:rPr>
        <w:t xml:space="preserve">Loan Parties in an aggregate principal amount or Maximum Fixed Repurchase Price, as applicable, not to exceed the greater of (x) $500,000,000 and (y) 26.0% of Four Quarter Consolidated EBITDA, at any one time outstanding, </w:t>
      </w:r>
      <w:r>
        <w:rPr>
          <w:rFonts w:ascii="Arial" w:cs="Arial" w:eastAsia="Arial" w:hAnsi="Arial"/>
          <w:sz w:val="20"/>
          <w:szCs w:val="20"/>
          <w:i w:val="1"/>
          <w:iCs w:val="1"/>
          <w:color w:val="auto"/>
        </w:rPr>
        <w:t>plus</w:t>
      </w:r>
      <w:r>
        <w:rPr>
          <w:rFonts w:ascii="Arial" w:cs="Arial" w:eastAsia="Arial" w:hAnsi="Arial"/>
          <w:sz w:val="20"/>
          <w:szCs w:val="20"/>
          <w:color w:val="auto"/>
        </w:rPr>
        <w:t>,</w:t>
      </w:r>
    </w:p>
    <w:p>
      <w:pPr>
        <w:spacing w:after="0" w:line="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95" w:name="page196"/>
    <w:bookmarkEnd w:id="195"/>
    <w:p>
      <w:pPr>
        <w:jc w:val="both"/>
        <w:spacing w:after="0" w:line="259" w:lineRule="auto"/>
        <w:rPr>
          <w:sz w:val="20"/>
          <w:szCs w:val="20"/>
          <w:color w:val="auto"/>
        </w:rPr>
      </w:pPr>
      <w:r>
        <w:rPr>
          <w:rFonts w:ascii="Arial" w:cs="Arial" w:eastAsia="Arial" w:hAnsi="Arial"/>
          <w:sz w:val="19"/>
          <w:szCs w:val="19"/>
          <w:color w:val="auto"/>
        </w:rPr>
        <w:t>in the case of any refinancing of any Indebtedness, Disqualified Stock or Preferred Stock permitted under this clause (20) or any portion thereof, any Refinancing Expenses (it being understood that any Indebtedness Incurred or Disqualified Stock or Preferred Stock issued pursuant to this clause (20) shall cease to be deemed Incurred, issued or outstanding pursuant to this clause (20) but shall be deemed Incurred or issued and outstanding as Ratio Debt from and after the first date on which such non-Loan Party could have Incurred such Indebtedness or issued such Disqualified Stock or Preferred Stock as Ratio Debt (to the extent such non-Loan Party is able to Incur any Liens related thereto as Permitted Liens after such reclassification));</w:t>
      </w:r>
    </w:p>
    <w:p>
      <w:pPr>
        <w:spacing w:after="0" w:line="70" w:lineRule="exact"/>
        <w:rPr>
          <w:sz w:val="20"/>
          <w:szCs w:val="20"/>
          <w:color w:val="auto"/>
        </w:rPr>
      </w:pPr>
    </w:p>
    <w:p>
      <w:pPr>
        <w:jc w:val="both"/>
        <w:ind w:firstLine="2"/>
        <w:spacing w:after="0" w:line="244" w:lineRule="auto"/>
        <w:tabs>
          <w:tab w:leader="none" w:pos="408"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of a joint venture to the Borrower or a Restricted Subsidiary and to the other holders of Equity Interests or participants of such joint venture, so long as the percentage of the aggregate amount of such Indebtedness, Disqualified Stock or Preferred Stock of such joint venture owed to such holders of its Equity Interests or participants of such joint venture does not exceed the percentage of the aggregate outstanding amount of the Equity Interests of such joint venture held by such holders or such participant’s participation in such joint venture;</w:t>
      </w:r>
    </w:p>
    <w:p>
      <w:pPr>
        <w:spacing w:after="0" w:line="86" w:lineRule="exact"/>
        <w:rPr>
          <w:rFonts w:ascii="Arial" w:cs="Arial" w:eastAsia="Arial" w:hAnsi="Arial"/>
          <w:sz w:val="20"/>
          <w:szCs w:val="20"/>
          <w:color w:val="auto"/>
        </w:rPr>
      </w:pPr>
    </w:p>
    <w:p>
      <w:pPr>
        <w:jc w:val="both"/>
        <w:ind w:firstLine="2"/>
        <w:spacing w:after="0" w:line="269" w:lineRule="auto"/>
        <w:tabs>
          <w:tab w:leader="none" w:pos="454"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Indebtedness Incurred or Disqualified Stock or Preferred Stock issued in a Qualified Receivables Financing or Qualified Receivables Factoring that is not recourse to the Borrower or any Restricted Subsidiary (except for Standard Securitization Undertakings) other than (x) a Receivables Subsidiary or (y) a Person described in the definition of “Factoring Transaction”;</w:t>
      </w:r>
    </w:p>
    <w:p>
      <w:pPr>
        <w:spacing w:after="0" w:line="61" w:lineRule="exact"/>
        <w:rPr>
          <w:rFonts w:ascii="Arial" w:cs="Arial" w:eastAsia="Arial" w:hAnsi="Arial"/>
          <w:sz w:val="19"/>
          <w:szCs w:val="19"/>
          <w:color w:val="auto"/>
        </w:rPr>
      </w:pPr>
    </w:p>
    <w:p>
      <w:pPr>
        <w:jc w:val="both"/>
        <w:ind w:firstLine="2"/>
        <w:spacing w:after="0" w:line="276" w:lineRule="auto"/>
        <w:tabs>
          <w:tab w:leader="none" w:pos="42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owed on a short-term basis to banks and other financial institutions in the ordinary course of business of the Borrower and the Restricted Subsidiaries with such banks or financial institutions that arises in connection with ordinary banking arrangements, including cash management, cash pooling arrangements and related activities to manage cash balances of the Borrower and its Subsidiaries and joint ventures including treasury, depository, overdraft, credit, purchasing or debit card, electronic funds transfer and other cash management arrangements and Indebtedness in respect of netting services, overdraft protection, credit card programs, automatic clearinghouse arrangements and similar arrangements;</w:t>
      </w:r>
    </w:p>
    <w:p>
      <w:pPr>
        <w:spacing w:after="0" w:line="56" w:lineRule="exact"/>
        <w:rPr>
          <w:rFonts w:ascii="Arial" w:cs="Arial" w:eastAsia="Arial" w:hAnsi="Arial"/>
          <w:sz w:val="18"/>
          <w:szCs w:val="18"/>
          <w:color w:val="auto"/>
        </w:rPr>
      </w:pPr>
    </w:p>
    <w:p>
      <w:pPr>
        <w:jc w:val="both"/>
        <w:ind w:firstLine="2"/>
        <w:spacing w:after="0" w:line="244" w:lineRule="auto"/>
        <w:tabs>
          <w:tab w:leader="none" w:pos="398"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consisting of Indebtedness, Disqualified Stock or Preferred Stock issued by the Borrower or any Restricted Subsidiary to future, current or former officers, directors, managers, employees, consultants and independent contractors thereof or any direct or indirect parent thereof, their respective estates, heirs, family members, spouses or former spouses, in each case to finance the purchase or redemption of Equity Interests of the Borrower or any direct or indirect parent of the Borrower to the extent permitted under Section 7.06;</w:t>
      </w:r>
    </w:p>
    <w:p>
      <w:pPr>
        <w:spacing w:after="0" w:line="86" w:lineRule="exact"/>
        <w:rPr>
          <w:rFonts w:ascii="Arial" w:cs="Arial" w:eastAsia="Arial" w:hAnsi="Arial"/>
          <w:sz w:val="20"/>
          <w:szCs w:val="20"/>
          <w:color w:val="auto"/>
        </w:rPr>
      </w:pPr>
    </w:p>
    <w:p>
      <w:pPr>
        <w:ind w:firstLine="2"/>
        <w:spacing w:after="0" w:line="260" w:lineRule="auto"/>
        <w:tabs>
          <w:tab w:leader="none" w:pos="413" w:val="left"/>
        </w:tabs>
        <w:numPr>
          <w:ilvl w:val="0"/>
          <w:numId w:val="206"/>
        </w:numPr>
        <w:rPr>
          <w:rFonts w:ascii="Arial" w:cs="Arial" w:eastAsia="Arial" w:hAnsi="Arial"/>
          <w:sz w:val="20"/>
          <w:szCs w:val="20"/>
          <w:color w:val="auto"/>
        </w:rPr>
      </w:pPr>
      <w:r>
        <w:rPr>
          <w:rFonts w:ascii="Arial" w:cs="Arial" w:eastAsia="Arial" w:hAnsi="Arial"/>
          <w:sz w:val="20"/>
          <w:szCs w:val="20"/>
          <w:color w:val="auto"/>
        </w:rPr>
        <w:t>customer deposits and advance payments received in the ordinary course of business from customers for goods purchased in the ordinary course of business;</w:t>
      </w:r>
    </w:p>
    <w:p>
      <w:pPr>
        <w:spacing w:after="0" w:line="68" w:lineRule="exact"/>
        <w:rPr>
          <w:rFonts w:ascii="Arial" w:cs="Arial" w:eastAsia="Arial" w:hAnsi="Arial"/>
          <w:sz w:val="20"/>
          <w:szCs w:val="20"/>
          <w:color w:val="auto"/>
        </w:rPr>
      </w:pPr>
    </w:p>
    <w:p>
      <w:pPr>
        <w:jc w:val="both"/>
        <w:ind w:firstLine="2"/>
        <w:spacing w:after="0" w:line="250" w:lineRule="auto"/>
        <w:tabs>
          <w:tab w:leader="none" w:pos="42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Indebtedness incurred by a Restricted Subsidiary or Preferred Stock issued a Restricted Subsidiary in connection with bankers’ acceptances, discounted bills of exchange, warehouse receipts or similar facilities or the discounting or factoring of receivables for credit management purposes, in each case incurred or undertaken in the ordinary course of business;</w:t>
      </w:r>
    </w:p>
    <w:p>
      <w:pPr>
        <w:spacing w:after="0" w:line="77" w:lineRule="exact"/>
        <w:rPr>
          <w:rFonts w:ascii="Arial" w:cs="Arial" w:eastAsia="Arial" w:hAnsi="Arial"/>
          <w:sz w:val="20"/>
          <w:szCs w:val="20"/>
          <w:color w:val="auto"/>
        </w:rPr>
      </w:pPr>
    </w:p>
    <w:p>
      <w:pPr>
        <w:jc w:val="both"/>
        <w:ind w:firstLine="2"/>
        <w:spacing w:after="0" w:line="250" w:lineRule="auto"/>
        <w:tabs>
          <w:tab w:leader="none" w:pos="404"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Indebtedness Incurred or Disqualified Stock issued by the Borrower or any Restricted Subsidiary or Preferred Stock issued by any of its Restricted Subsidiaries to the extent that the net proceeds thereof are promptly deposited with the trustee to satisfy and discharge the Senior Notes in accordance with any Senior Notes Indenture;</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196" w:name="page197"/>
    <w:bookmarkEnd w:id="196"/>
    <w:p>
      <w:pPr>
        <w:jc w:val="both"/>
        <w:ind w:left="380" w:firstLine="2"/>
        <w:spacing w:after="0" w:line="234" w:lineRule="exact"/>
        <w:tabs>
          <w:tab w:leader="none" w:pos="801"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 guarantees Incurred in the ordinary course of business in respect of obligations to suppliers, customers, franchisees, lessors, licensees, sub</w:t>
      </w:r>
      <w:r>
        <w:rPr>
          <w:rFonts w:ascii="MS PGothic" w:cs="MS PGothic" w:eastAsia="MS PGothic" w:hAnsi="MS PGothic"/>
          <w:sz w:val="20"/>
          <w:szCs w:val="20"/>
          <w:color w:val="auto"/>
        </w:rPr>
        <w:t>‑</w:t>
      </w:r>
      <w:r>
        <w:rPr>
          <w:rFonts w:ascii="Arial" w:cs="Arial" w:eastAsia="Arial" w:hAnsi="Arial"/>
          <w:sz w:val="20"/>
          <w:szCs w:val="20"/>
          <w:color w:val="auto"/>
        </w:rPr>
        <w:t>licensees and distribution partners and (ii) Indebtedness Incurred by the Borrower or a Restricted Subsidiary as a result of leases entered into by the Borrower or such Restricted Subsidiary or any direct or indirect parent of the Borrower in the ordinary course of business;</w:t>
      </w:r>
    </w:p>
    <w:p>
      <w:pPr>
        <w:spacing w:after="0" w:line="90" w:lineRule="exact"/>
        <w:rPr>
          <w:rFonts w:ascii="Arial" w:cs="Arial" w:eastAsia="Arial" w:hAnsi="Arial"/>
          <w:sz w:val="20"/>
          <w:szCs w:val="20"/>
          <w:color w:val="auto"/>
        </w:rPr>
      </w:pPr>
    </w:p>
    <w:p>
      <w:pPr>
        <w:jc w:val="both"/>
        <w:ind w:left="380" w:firstLine="2"/>
        <w:spacing w:after="0" w:line="271" w:lineRule="auto"/>
        <w:tabs>
          <w:tab w:leader="none" w:pos="79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Incurrence by the Borrower or any Restricted Subsidiary of Indebtedness Incurred or Disqualified Stock or Preferred Stock issued on behalf of, or representing guarantees of Indebtedness Incurred or Disqualified Stock or Preferred Stock issued by, joint ventures;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Incurred or guaranteed or Maximum Fixed Repurchase Price of Disqualified Stock or Preferred Stock issued or guaranteed pursuant to this clause (29) does not exceed the greater of (x) $200,000,000 and (y) 10.5% of Four Quarter Consolidated EBITDA at any one time outstanding, </w:t>
      </w:r>
      <w:r>
        <w:rPr>
          <w:rFonts w:ascii="Arial" w:cs="Arial" w:eastAsia="Arial" w:hAnsi="Arial"/>
          <w:sz w:val="18"/>
          <w:szCs w:val="18"/>
          <w:i w:val="1"/>
          <w:iCs w:val="1"/>
          <w:color w:val="auto"/>
        </w:rPr>
        <w:t>plus</w:t>
      </w:r>
      <w:r>
        <w:rPr>
          <w:rFonts w:ascii="Arial" w:cs="Arial" w:eastAsia="Arial" w:hAnsi="Arial"/>
          <w:sz w:val="18"/>
          <w:szCs w:val="18"/>
          <w:color w:val="auto"/>
        </w:rPr>
        <w:t>, in the case of any refinancing of any Indebtedness, Disqualified Stock or Preferred Stock permitted under this clause (29) or any portion thereof, any Refinancing Expenses (it being understood that any Indebtedness Incurred or Disqualified Stock or Preferred Stock issued pursuant to this clause (29) shall cease to be deemed Incurred, issued or outstanding pursuant to this clause (29) but shall be deemed Incurred or issued and outstanding as Ratio Debt from and after the first date on which Borrower or such Restricted Subsidiary could have Incurred or guaranteed such Indebtedness or issued or guaranteed such Disqualified Stock or Preferred Stock as Ratio Debt (to the extent Borrower or such Restricted Subsidiary is able to Incur any Liens related thereto as Permitted Liens after such reclassification));</w:t>
      </w:r>
    </w:p>
    <w:p>
      <w:pPr>
        <w:spacing w:after="0" w:line="61" w:lineRule="exact"/>
        <w:rPr>
          <w:rFonts w:ascii="Arial" w:cs="Arial" w:eastAsia="Arial" w:hAnsi="Arial"/>
          <w:sz w:val="18"/>
          <w:szCs w:val="18"/>
          <w:color w:val="auto"/>
        </w:rPr>
      </w:pPr>
    </w:p>
    <w:p>
      <w:pPr>
        <w:ind w:left="780" w:hanging="398"/>
        <w:spacing w:after="0"/>
        <w:tabs>
          <w:tab w:leader="none" w:pos="78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jc w:val="both"/>
        <w:ind w:left="380" w:firstLine="2"/>
        <w:spacing w:after="0" w:line="255" w:lineRule="auto"/>
        <w:tabs>
          <w:tab w:leader="none" w:pos="788"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Indebtedness, Disqualified Stock or Preferred Stock of the Borrower or a Restricted Subsidiary Incurred to finance or assumed in connection with an acquisition of any assets (including Capital Stock), business or Person in an aggregate principal amount or Maximum Fixed Repurchase Price, as applicable, that does not exceed the greater of (x) $350,000,000 and (y) 18.0% of Four Quarter Consolidated EBITDA, at any one time outstanding, </w:t>
      </w:r>
      <w:r>
        <w:rPr>
          <w:rFonts w:ascii="Arial" w:cs="Arial" w:eastAsia="Arial" w:hAnsi="Arial"/>
          <w:sz w:val="19"/>
          <w:szCs w:val="19"/>
          <w:i w:val="1"/>
          <w:iCs w:val="1"/>
          <w:color w:val="auto"/>
        </w:rPr>
        <w:t>plus</w:t>
      </w:r>
      <w:r>
        <w:rPr>
          <w:rFonts w:ascii="Arial" w:cs="Arial" w:eastAsia="Arial" w:hAnsi="Arial"/>
          <w:sz w:val="19"/>
          <w:szCs w:val="19"/>
          <w:color w:val="auto"/>
        </w:rPr>
        <w:t>, in the case of any refinancing of any Indebtedness, Disqualified Stock or Preferred Stock permitted under this clause (31) or any portion thereof, any Refinancing Expenses (it being understood that any Indebtedness Incurred or Disqualified Stock or Preferred Stock issued pursuant to this clause (31) shall cease to be deemed Incurred, issued or outstanding pursuant to this clause (31) but shall be deemed Incurred or issued and outstanding as Ratio Debt from and after the first date on which Borrower or such Restricted Subsidiary, as the case may be, could have Incurred such Indebtedness or issued such Disqualified Stock or Preferred Stock as Ratio Debt (to the extent Borrower or such Restricted Subsidiary is able to Incur any Liens related thereto as Permitted Liens after such reclassification));</w:t>
      </w:r>
    </w:p>
    <w:p>
      <w:pPr>
        <w:spacing w:after="0" w:line="81" w:lineRule="exact"/>
        <w:rPr>
          <w:rFonts w:ascii="Arial" w:cs="Arial" w:eastAsia="Arial" w:hAnsi="Arial"/>
          <w:sz w:val="19"/>
          <w:szCs w:val="19"/>
          <w:color w:val="auto"/>
        </w:rPr>
      </w:pPr>
    </w:p>
    <w:p>
      <w:pPr>
        <w:jc w:val="both"/>
        <w:ind w:left="380" w:firstLine="2"/>
        <w:spacing w:after="0" w:line="250" w:lineRule="auto"/>
        <w:tabs>
          <w:tab w:leader="none" w:pos="79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Indebtedness, Disqualified Stock or Preferred Stock consisting of obligations of the Borrower or any Restricted Subsidiary under deferred compensation or other similar arrangements incurred by such Person in connection with the Transactions or any Permitted Investment;</w:t>
      </w:r>
    </w:p>
    <w:p>
      <w:pPr>
        <w:spacing w:after="0" w:line="77" w:lineRule="exact"/>
        <w:rPr>
          <w:rFonts w:ascii="Arial" w:cs="Arial" w:eastAsia="Arial" w:hAnsi="Arial"/>
          <w:sz w:val="20"/>
          <w:szCs w:val="20"/>
          <w:color w:val="auto"/>
        </w:rPr>
      </w:pPr>
    </w:p>
    <w:p>
      <w:pPr>
        <w:ind w:left="380" w:firstLine="2"/>
        <w:spacing w:after="0" w:line="260" w:lineRule="auto"/>
        <w:tabs>
          <w:tab w:leader="none" w:pos="792" w:val="left"/>
        </w:tabs>
        <w:numPr>
          <w:ilvl w:val="0"/>
          <w:numId w:val="207"/>
        </w:numPr>
        <w:rPr>
          <w:rFonts w:ascii="Arial" w:cs="Arial" w:eastAsia="Arial" w:hAnsi="Arial"/>
          <w:sz w:val="20"/>
          <w:szCs w:val="20"/>
          <w:color w:val="auto"/>
        </w:rPr>
      </w:pPr>
      <w:r>
        <w:rPr>
          <w:rFonts w:ascii="Arial" w:cs="Arial" w:eastAsia="Arial" w:hAnsi="Arial"/>
          <w:sz w:val="20"/>
          <w:szCs w:val="20"/>
          <w:color w:val="auto"/>
        </w:rPr>
        <w:t>unfunded pension fund and other employee benefit plan obligations and liabilities to the extent that they are permitted to remain unfunded under applicable law; and</w:t>
      </w:r>
    </w:p>
    <w:p>
      <w:pPr>
        <w:spacing w:after="0" w:line="68" w:lineRule="exact"/>
        <w:rPr>
          <w:rFonts w:ascii="Arial" w:cs="Arial" w:eastAsia="Arial" w:hAnsi="Arial"/>
          <w:sz w:val="20"/>
          <w:szCs w:val="20"/>
          <w:color w:val="auto"/>
        </w:rPr>
      </w:pPr>
    </w:p>
    <w:p>
      <w:pPr>
        <w:ind w:left="380" w:firstLine="2"/>
        <w:spacing w:after="0" w:line="260" w:lineRule="auto"/>
        <w:tabs>
          <w:tab w:leader="none" w:pos="777"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Indebtedness incurred or deemed incurred in the ordinary course of business in connection with supply-chain financing programs or similar arrangements.</w:t>
      </w:r>
    </w:p>
    <w:p>
      <w:pPr>
        <w:spacing w:after="0" w:line="68" w:lineRule="exact"/>
        <w:rPr>
          <w:rFonts w:ascii="Arial" w:cs="Arial" w:eastAsia="Arial" w:hAnsi="Arial"/>
          <w:sz w:val="20"/>
          <w:szCs w:val="20"/>
          <w:color w:val="auto"/>
        </w:rPr>
      </w:pPr>
    </w:p>
    <w:p>
      <w:pPr>
        <w:jc w:val="both"/>
        <w:ind w:firstLine="1505"/>
        <w:spacing w:after="0" w:line="250" w:lineRule="auto"/>
        <w:tabs>
          <w:tab w:leader="none" w:pos="2017" w:val="left"/>
        </w:tabs>
        <w:numPr>
          <w:ilvl w:val="1"/>
          <w:numId w:val="207"/>
        </w:numPr>
        <w:rPr>
          <w:rFonts w:ascii="Arial" w:cs="Arial" w:eastAsia="Arial" w:hAnsi="Arial"/>
          <w:sz w:val="20"/>
          <w:szCs w:val="20"/>
          <w:color w:val="auto"/>
        </w:rPr>
      </w:pPr>
      <w:r>
        <w:rPr>
          <w:rFonts w:ascii="Arial" w:cs="Arial" w:eastAsia="Arial" w:hAnsi="Arial"/>
          <w:sz w:val="20"/>
          <w:szCs w:val="20"/>
          <w:color w:val="auto"/>
        </w:rPr>
        <w:t>For purposes of determining compliance with this Section 7.03, (i) in the event that an item of Indebtedness, Disqualified Stock or Preferred Stock (or any portion thereof) meets the criteria of more than one of the categories of Permitted Debt or is entitled to be Incurred or issued as Ratio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97" w:name="page198"/>
    <w:bookmarkEnd w:id="197"/>
    <w:p>
      <w:pPr>
        <w:jc w:val="both"/>
        <w:spacing w:after="0" w:line="268" w:lineRule="auto"/>
        <w:rPr>
          <w:sz w:val="20"/>
          <w:szCs w:val="20"/>
          <w:color w:val="auto"/>
        </w:rPr>
      </w:pPr>
      <w:r>
        <w:rPr>
          <w:rFonts w:ascii="Arial" w:cs="Arial" w:eastAsia="Arial" w:hAnsi="Arial"/>
          <w:sz w:val="18"/>
          <w:szCs w:val="18"/>
          <w:color w:val="auto"/>
        </w:rPr>
        <w:t xml:space="preserve">the Borrower shall, in its sole discretion, at the time of Incurrence or issuance, divide, classify or reclassify, or at any later time divide, classify or reclassify, such item of Indebtedness, Disqualified Stock or Preferred Stock (or any portion thereof) in any manner that complies with this Section 7.03;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under this Agreement and the ABL Credit Agreement Incurred on the Closing Date shall be deemed to have been Incurred pursuant to Section 7.03(b)(1) and all Indebtedness under the Senior Notes on the Closing Date shall be deemed to have been Incurred pursuant to Section 7.03(b)(2) and the Borrower shall not be permitted to reclassify all or any portion of such Indebtedness Incurred on the Closing Date pursuant to Section 7.03(b)(1) or 7.03(b)(2), as applicable and (ii) in the event that the Borrower shall classify Indebtedness Incurred on any date of determination as Incurred in part as Ratio Debt (including, without limitation, pursuant to Section 7.03(b)(15)) or as having been incurred under the Ratio-Based Incremental Facility and in part pursuant to one or more other clauses of Section 7.03, then any calculation of Ratio Debt or the Ratio-Based Incremental Facility on such date (but not in respect of any future calculation following such date) shall not include any such Indebtedness Incurred pursuant to one or more such other clauses of Section 7.03 (and shall not give effect to any repayment, repurchase, redemption, defeasance or other acquisition, retirement or discharge of Indebtedness from the proceeds thereof). Accrual of interest or dividends, the accretion of accreted value, the accretion or amortization of original issue discount, the payment of interest or dividends in the form of additional Indebtedness with the same terms, the payment of dividends on Disqualified Stock or Preferred Stock in the form of additional shares of Disqualified Stock or Preferred Stock of the same class, the accretion of Maximum Fixed Repurchase Price and increases in the amount of Indebtedness, Disqualified Stock or Preferred Stock outstanding solely as a result of fluctuations in the exchange rate of currencies or increases in the value of property securing Indebtedness will not be deemed to be an Incurrence of Indebtedness or issuance of Disqualified Stock or Preferred Stock for purposes of this Section 7.03. Guarantees of, or obligations in respect of letters of credit relating to, Indebtedness that are otherwise included in the determination of a particular amount of Indebtedness shall not be included in the determination of such amount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Incurrence of the Indebtedness represented by such guarantee or letter of credit, as the case may be, was in compliance with this Section 7.03.</w:t>
      </w:r>
    </w:p>
    <w:p>
      <w:pPr>
        <w:spacing w:after="0" w:line="183" w:lineRule="exact"/>
        <w:rPr>
          <w:sz w:val="20"/>
          <w:szCs w:val="20"/>
          <w:color w:val="auto"/>
        </w:rPr>
      </w:pPr>
    </w:p>
    <w:p>
      <w:pPr>
        <w:jc w:val="both"/>
        <w:ind w:firstLine="1505"/>
        <w:spacing w:after="0" w:line="269" w:lineRule="auto"/>
        <w:tabs>
          <w:tab w:leader="none" w:pos="19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purposes of determining compliance with any Dollar-denominated restriction on the Incurrence of Indebtedness or the issuance of Disqualified Stock or Preferred Stock, the Dollar equivalent principal amount or Maximum Fixed Purchase Price, as applicable, of Indebtedness, Disqualified Stock or Preferred Stock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provided that if such Indebtedness, Disqualified Stock or Preferred Stock is Incurred or issued to refinance other Indebtedness, Disqualified Stock or Preferred Stock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or Maximum Fixed Repurchase Price, as applicable, of such refinancing Indebtedness, Disqualified Stock or Preferred Stock does not exceed the principal amount or Maximum Fixed Repurchase Price, as applicable, of such Indebtedness, Disqualified Stock or Preferred Stock being refinanced. The principal amount or Maximum Fixed Repurchase Price, as applicable, of any Indebtedness Incurred or Disqualified Stock or Preferred Stock issued to refinance other Indebtedness, Disqualified Stock or Preferred Stock, as the case may be, if Incurred or issued in a different currency from the Indebtedness, Disqualified Stock or Preferred Stock being refinanced, shall be calculated based on the currency exchange rate applicable to the currencies in which such respective Indebtedness, Disqualified Stock or Preferred Stock is denominated that is in effect on the date of such refinancing.</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7.04  Fundamental Changes.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98" w:name="page199"/>
    <w:bookmarkEnd w:id="198"/>
    <w:p>
      <w:pPr>
        <w:jc w:val="both"/>
        <w:ind w:firstLine="1497"/>
        <w:spacing w:after="0" w:line="263" w:lineRule="auto"/>
        <w:rPr>
          <w:sz w:val="20"/>
          <w:szCs w:val="20"/>
          <w:color w:val="auto"/>
        </w:rPr>
      </w:pPr>
      <w:r>
        <w:rPr>
          <w:rFonts w:ascii="Arial" w:cs="Arial" w:eastAsia="Arial" w:hAnsi="Arial"/>
          <w:sz w:val="19"/>
          <w:szCs w:val="19"/>
          <w:color w:val="auto"/>
        </w:rPr>
        <w:t>The Borrower may not, and will not permit any of its Restricted Subsidiaries to, merge, dissolve, liquidate, amalgamate, consolidate with or into another Person, consummate a Division as the Dividing Person or dispose of (whether in one transaction or in a series of transactions) all or substantially all of its assets (whether now owned or hereafter acquired) to or in favor of any Person, except that (other than in the case of clause (e) below) so long as no Event of Default would result therefrom:</w:t>
      </w:r>
    </w:p>
    <w:p>
      <w:pPr>
        <w:spacing w:after="0" w:line="176" w:lineRule="exact"/>
        <w:rPr>
          <w:sz w:val="20"/>
          <w:szCs w:val="20"/>
          <w:color w:val="auto"/>
        </w:rPr>
      </w:pPr>
    </w:p>
    <w:p>
      <w:pPr>
        <w:jc w:val="both"/>
        <w:ind w:firstLine="1505"/>
        <w:spacing w:after="0" w:line="271" w:lineRule="auto"/>
        <w:tabs>
          <w:tab w:leader="none" w:pos="201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 shall be a Person organized under the laws of the United States, any state thereof or the District of Columbia, and (B) the surviving Person shall provide any documentation and other information about such Person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 or (ii) any one or more other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Restricted Subsidiary that is not a CFC or CFC Holdco may not merge with any Restricted Subsidiary that is a CFC or CFC Holdco if such CFC or CFC Holdco shall be the continuing or surviving Person and (y) when any Guarantor is merging with another Restricted Subsidiary that is not a Loan Party either (A) the Guarantor shall be the continuing or surviving Person or (B) such merger, amalgamation or consolidation shall be deemed to constitute either an Investment or disposition, as elected by the Borrower, and such Investment must be a Permitted Investment or Indebtedness of a Restricted Subsidiary which is not a Loan Party in accordance with Section 7.03, respectively or such disposition must be a disposition permitted hereunder;</w:t>
      </w:r>
    </w:p>
    <w:p>
      <w:pPr>
        <w:spacing w:after="0" w:line="169" w:lineRule="exact"/>
        <w:rPr>
          <w:rFonts w:ascii="Arial" w:cs="Arial" w:eastAsia="Arial" w:hAnsi="Arial"/>
          <w:sz w:val="18"/>
          <w:szCs w:val="18"/>
          <w:color w:val="auto"/>
        </w:rPr>
      </w:pPr>
    </w:p>
    <w:p>
      <w:pPr>
        <w:jc w:val="both"/>
        <w:ind w:firstLine="1505"/>
        <w:spacing w:after="0" w:line="271" w:lineRule="auto"/>
        <w:tabs>
          <w:tab w:leader="none" w:pos="198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any Restricted Subsidiary that is not a Loan Party may merge, amalgamate or consolidate with or into any other Restricted Subsidiary that is not a Loan Party and (ii) any Restricted Subsidiary may liquidate or dissolve, or the Borrower or any Restricted Subsidiary may (if the validity, perfection and priority of the Liens securing the Obligations is not adversely affected thereby and subject to compliance with Sections 6.12, 6.14 and 6.15, as applicable) change its legal form if Borrower determines in good faith that such action is in the best interest of Holdings and its Subsidiaries and is not disadvantageous to the Lenders in any material respect (it being understood that in the case of any dissolution of a Restricted Subsidiary that is a Guarantor, such Subsidiary shall at or before the time of such dissolution transfer its assets to another Restricted Subsidiary that is a Guarantor in the same jurisdiction or a different jurisdiction reasonably satisfactory to the Administrative Agent unless such disposition of assets is permitted hereunder; and in the case of any change in legal form, a Restricted Subsidiary that is a Guarantor will remain a Guarantor unless such Guarantor is otherwise permitted to cease being a Guarantor hereunder and, in each case, will comply with Sections 6.12, 6.14 and 6.15, as applicable);</w:t>
      </w:r>
    </w:p>
    <w:p>
      <w:pPr>
        <w:spacing w:after="0" w:line="173" w:lineRule="exact"/>
        <w:rPr>
          <w:rFonts w:ascii="Arial" w:cs="Arial" w:eastAsia="Arial" w:hAnsi="Arial"/>
          <w:sz w:val="18"/>
          <w:szCs w:val="18"/>
          <w:color w:val="auto"/>
        </w:rPr>
      </w:pPr>
    </w:p>
    <w:p>
      <w:pPr>
        <w:jc w:val="both"/>
        <w:ind w:firstLine="1505"/>
        <w:spacing w:after="0" w:line="242" w:lineRule="auto"/>
        <w:tabs>
          <w:tab w:leader="none" w:pos="201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the Borrower) may dispose of all or substantially all of its assets (upon voluntary liquidation or otherwise) to the Borrower or to any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Guarantor, then either (i) the transferee must either be the Borrower or a Guarantor in the same jurisdiction or a different jurisdiction reasonably satisfactory to the Administrative Agent or (ii) to the extent such merger, amalgamation or consolidation shall be deemed to constitute either an Investment or disposition, such Investment must be a Permitted Investment or Indebtedness of a Restricted Subsidiary which is not a Loan Party in accordance with Section 7.03, respectively, or such disposition must be a disposition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Borrower may dispose of all or substantially all of its assets (upon voluntary liquidation or otherwise) to any Loan Party or a Guarantor in the same jurisdiction as the disposing party or in another jurisdiction reasonably acceptable to the Administrative Agent;</w:t>
      </w:r>
    </w:p>
    <w:p>
      <w:pPr>
        <w:spacing w:after="0" w:line="194" w:lineRule="exact"/>
        <w:rPr>
          <w:rFonts w:ascii="Arial" w:cs="Arial" w:eastAsia="Arial" w:hAnsi="Arial"/>
          <w:sz w:val="20"/>
          <w:szCs w:val="20"/>
          <w:color w:val="auto"/>
        </w:rPr>
      </w:pPr>
    </w:p>
    <w:p>
      <w:pPr>
        <w:jc w:val="both"/>
        <w:ind w:firstLine="1505"/>
        <w:spacing w:after="0" w:line="250" w:lineRule="auto"/>
        <w:tabs>
          <w:tab w:leader="none" w:pos="199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the Borrower) may merge, amalgamate or consolidate with, or dissolve into, any other Person, or consummate a Division as the Dividing Person, in order to effect a Permitted Investment;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continuing or surviving Person shall,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99" w:name="page200"/>
    <w:bookmarkEnd w:id="199"/>
    <w:p>
      <w:pPr>
        <w:jc w:val="both"/>
        <w:spacing w:after="0" w:line="250" w:lineRule="auto"/>
        <w:rPr>
          <w:sz w:val="20"/>
          <w:szCs w:val="20"/>
          <w:color w:val="auto"/>
        </w:rPr>
      </w:pPr>
      <w:r>
        <w:rPr>
          <w:rFonts w:ascii="Arial" w:cs="Arial" w:eastAsia="Arial" w:hAnsi="Arial"/>
          <w:sz w:val="20"/>
          <w:szCs w:val="20"/>
          <w:color w:val="auto"/>
        </w:rPr>
        <w:t>extent subject to the terms hereof, have complied with the requirements of Section 6.12, 6.14 and 6.15, as applicable, (ii) to the extent constituting an Investment, such Investment must be a Permitted Investment, and (iii) to the extent constituting a disposition, such disposition must be permitted hereunder;</w:t>
      </w:r>
    </w:p>
    <w:p>
      <w:pPr>
        <w:spacing w:after="0" w:line="186" w:lineRule="exact"/>
        <w:rPr>
          <w:sz w:val="20"/>
          <w:szCs w:val="20"/>
          <w:color w:val="auto"/>
        </w:rPr>
      </w:pPr>
    </w:p>
    <w:p>
      <w:pPr>
        <w:jc w:val="both"/>
        <w:ind w:firstLine="1505"/>
        <w:spacing w:after="0" w:line="274" w:lineRule="auto"/>
        <w:tabs>
          <w:tab w:leader="none" w:pos="198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any Restricted Subsidiary that is an LLC may consummate a Division as the Dividing Person if, immediately upon the consummation of the Division, the assets of the applicable Dividing Person are held by one or more Restricted Subsidiaries at such time, or, with respect to assets not so held by one or more Restricted Subsidiaries, such Division, in the aggregate, would otherwise result in an Asset Sale permitted by Section 7.05;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Dividing Person is a Guarantor, then any Division Successor other than the Dividing Person shall become a Guarantor to the extent required by and in accordance with Section 6.12(a) and the Lien on and security interest in such property granted or to be granted in favor of the Collateral Agent under the Collateral Documents shall be maintained or created to the extent required by and in accordance with the provisions of Section 6.12, 6.14 and 6.15, as applicable.</w:t>
      </w:r>
    </w:p>
    <w:p>
      <w:pPr>
        <w:spacing w:after="0" w:line="168" w:lineRule="exact"/>
        <w:rPr>
          <w:rFonts w:ascii="Arial" w:cs="Arial" w:eastAsia="Arial" w:hAnsi="Arial"/>
          <w:sz w:val="18"/>
          <w:szCs w:val="18"/>
          <w:color w:val="auto"/>
        </w:rPr>
      </w:pPr>
    </w:p>
    <w:p>
      <w:pPr>
        <w:ind w:left="1980" w:hanging="475"/>
        <w:spacing w:after="0"/>
        <w:tabs>
          <w:tab w:leader="none" w:pos="198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Borrower and its Restricted Subsidiaries may consummate the Transactions;</w:t>
      </w:r>
    </w:p>
    <w:p>
      <w:pPr>
        <w:spacing w:after="0" w:line="215" w:lineRule="exact"/>
        <w:rPr>
          <w:rFonts w:ascii="Arial" w:cs="Arial" w:eastAsia="Arial" w:hAnsi="Arial"/>
          <w:sz w:val="20"/>
          <w:szCs w:val="20"/>
          <w:color w:val="auto"/>
        </w:rPr>
      </w:pPr>
    </w:p>
    <w:p>
      <w:pPr>
        <w:jc w:val="both"/>
        <w:ind w:firstLine="1505"/>
        <w:spacing w:after="0" w:line="246" w:lineRule="auto"/>
        <w:tabs>
          <w:tab w:leader="none" w:pos="197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any Restricted Subsidiary (other than the Borrower) may merge, dissolve, liquidate, amalgamate, consolidate with or into another Person or consummate a Division as the Dividing Person in order to effect a disposition (whether in one transaction or in a series of transactions) of all or substantially all of its assets (whether now owned or hereafter acquired) permitted pursuant to Section 7.05 (other than dispositions permitted by this Section 7.04); and</w:t>
      </w:r>
    </w:p>
    <w:p>
      <w:pPr>
        <w:spacing w:after="0" w:line="191" w:lineRule="exact"/>
        <w:rPr>
          <w:rFonts w:ascii="Arial" w:cs="Arial" w:eastAsia="Arial" w:hAnsi="Arial"/>
          <w:sz w:val="20"/>
          <w:szCs w:val="20"/>
          <w:color w:val="auto"/>
        </w:rPr>
      </w:pPr>
    </w:p>
    <w:p>
      <w:pPr>
        <w:ind w:left="1980" w:hanging="475"/>
        <w:spacing w:after="0"/>
        <w:tabs>
          <w:tab w:leader="none" w:pos="198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any Permitted Investment may be structured as a merger, consolidation, amalgamation or Division.</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7.05  Asset Sales.</w:t>
      </w:r>
    </w:p>
    <w:p>
      <w:pPr>
        <w:spacing w:after="0" w:line="216" w:lineRule="exact"/>
        <w:rPr>
          <w:sz w:val="20"/>
          <w:szCs w:val="20"/>
          <w:color w:val="auto"/>
        </w:rPr>
      </w:pPr>
    </w:p>
    <w:p>
      <w:pPr>
        <w:ind w:firstLine="1505"/>
        <w:spacing w:after="0" w:line="260" w:lineRule="auto"/>
        <w:tabs>
          <w:tab w:leader="none" w:pos="1984" w:val="left"/>
        </w:tabs>
        <w:numPr>
          <w:ilvl w:val="1"/>
          <w:numId w:val="211"/>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Restricted Subsidiaries to, cause or make an Asset Sale of any assets that do not constitute ABL Collateral (“</w:t>
      </w:r>
      <w:r>
        <w:rPr>
          <w:rFonts w:ascii="Arial" w:cs="Arial" w:eastAsia="Arial" w:hAnsi="Arial"/>
          <w:sz w:val="20"/>
          <w:szCs w:val="20"/>
          <w:b w:val="1"/>
          <w:bCs w:val="1"/>
          <w:i w:val="1"/>
          <w:iCs w:val="1"/>
          <w:color w:val="auto"/>
        </w:rPr>
        <w:t>Non-ABL Collateral</w:t>
      </w:r>
      <w:r>
        <w:rPr>
          <w:rFonts w:ascii="Arial" w:cs="Arial" w:eastAsia="Arial" w:hAnsi="Arial"/>
          <w:sz w:val="20"/>
          <w:szCs w:val="20"/>
          <w:color w:val="auto"/>
        </w:rPr>
        <w:t>”), unless:</w:t>
      </w:r>
    </w:p>
    <w:p>
      <w:pPr>
        <w:spacing w:after="0" w:line="176" w:lineRule="exact"/>
        <w:rPr>
          <w:rFonts w:ascii="Arial" w:cs="Arial" w:eastAsia="Arial" w:hAnsi="Arial"/>
          <w:sz w:val="20"/>
          <w:szCs w:val="20"/>
          <w:color w:val="auto"/>
        </w:rPr>
      </w:pPr>
    </w:p>
    <w:p>
      <w:pPr>
        <w:jc w:val="both"/>
        <w:ind w:left="380" w:firstLine="2"/>
        <w:spacing w:after="0" w:line="250" w:lineRule="auto"/>
        <w:tabs>
          <w:tab w:leader="none" w:pos="781" w:val="left"/>
        </w:tabs>
        <w:numPr>
          <w:ilvl w:val="0"/>
          <w:numId w:val="212"/>
        </w:numPr>
        <w:rPr>
          <w:rFonts w:ascii="Arial" w:cs="Arial" w:eastAsia="Arial" w:hAnsi="Arial"/>
          <w:sz w:val="20"/>
          <w:szCs w:val="20"/>
          <w:color w:val="auto"/>
        </w:rPr>
      </w:pPr>
      <w:r>
        <w:rPr>
          <w:rFonts w:ascii="Arial" w:cs="Arial" w:eastAsia="Arial" w:hAnsi="Arial"/>
          <w:sz w:val="20"/>
          <w:szCs w:val="20"/>
          <w:color w:val="auto"/>
        </w:rPr>
        <w:t>except in the case of any Governmental Asset Sale, the Borrower or any of its Restricted Subsidiaries, as the case may be, receives consideration at the time of such Asset Sale at least equal to the Fair Market Value (as determined in good faith by the Borrower) of the assets sold or otherwise disposed of; and</w:t>
      </w:r>
    </w:p>
    <w:p>
      <w:pPr>
        <w:spacing w:after="0" w:line="77" w:lineRule="exact"/>
        <w:rPr>
          <w:rFonts w:ascii="Arial" w:cs="Arial" w:eastAsia="Arial" w:hAnsi="Arial"/>
          <w:sz w:val="20"/>
          <w:szCs w:val="20"/>
          <w:color w:val="auto"/>
        </w:rPr>
      </w:pPr>
    </w:p>
    <w:p>
      <w:pPr>
        <w:ind w:left="380" w:firstLine="2"/>
        <w:spacing w:after="0" w:line="316" w:lineRule="auto"/>
        <w:tabs>
          <w:tab w:leader="none" w:pos="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except in the case of any Governmental Asset Sale or a Permitted Asset Swap, at least 75% of the consideration therefor received by the Borrower or such Restricted Subsidiary, as the case may be, is in the form of cash or Cash Equivalents or Replacement Assets.</w:t>
      </w:r>
    </w:p>
    <w:p>
      <w:pPr>
        <w:spacing w:after="0" w:line="2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Within 365 days after the Borrower’s or any Restricted Subsidiary’s receipt of the Net Cash Proceeds of any Asset Sale or Casualty Event with respect to Non-ABL Collateral, the Borrower or such Restricted Subsidiary shall apply an amount equal to the Net Cash Proceeds from such Asset Sale or such Casualty Event, at its option:</w:t>
      </w:r>
    </w:p>
    <w:p>
      <w:pPr>
        <w:spacing w:after="0" w:line="186" w:lineRule="exact"/>
        <w:rPr>
          <w:sz w:val="20"/>
          <w:szCs w:val="20"/>
          <w:color w:val="auto"/>
        </w:rPr>
      </w:pPr>
    </w:p>
    <w:p>
      <w:pPr>
        <w:ind w:left="780" w:hanging="398"/>
        <w:spacing w:after="0"/>
        <w:tabs>
          <w:tab w:leader="none" w:pos="78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to prepay Loans in accordance with Section 2.05(b)(ii);</w:t>
      </w:r>
    </w:p>
    <w:p>
      <w:pPr>
        <w:spacing w:after="0" w:line="107" w:lineRule="exact"/>
        <w:rPr>
          <w:rFonts w:ascii="Arial" w:cs="Arial" w:eastAsia="Arial" w:hAnsi="Arial"/>
          <w:sz w:val="20"/>
          <w:szCs w:val="20"/>
          <w:color w:val="auto"/>
        </w:rPr>
      </w:pPr>
    </w:p>
    <w:p>
      <w:pPr>
        <w:jc w:val="both"/>
        <w:ind w:left="380" w:firstLine="2"/>
        <w:spacing w:after="0" w:line="250" w:lineRule="auto"/>
        <w:tabs>
          <w:tab w:leader="none" w:pos="784"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to an Investment in any one or more businesses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investment is in the form of the acquisition of Capital Stock of a Person, such acquisition results in such Person becoming a Restricted Subsidiary of the Borrower), assets, or property or capital expenditures, in each case used or useful in a Similar Business;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00" w:name="page201"/>
    <w:bookmarkEnd w:id="200"/>
    <w:p>
      <w:pPr>
        <w:jc w:val="both"/>
        <w:ind w:left="380" w:firstLine="2"/>
        <w:spacing w:after="0" w:line="269" w:lineRule="auto"/>
        <w:tabs>
          <w:tab w:leader="none" w:pos="784"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to make an Investment in any one or more businesses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Investment is in the form of the acquisition of Capital Stock of a Person, such acquisition results in such Person becoming a Restricted Subsidiary of the Borrower), properties or assets that replace the properties and assets that are the subject of such Asset Sale or Casualty Event; or</w:t>
      </w:r>
    </w:p>
    <w:p>
      <w:pPr>
        <w:spacing w:after="0" w:line="61" w:lineRule="exact"/>
        <w:rPr>
          <w:rFonts w:ascii="Arial" w:cs="Arial" w:eastAsia="Arial" w:hAnsi="Arial"/>
          <w:sz w:val="19"/>
          <w:szCs w:val="19"/>
          <w:color w:val="auto"/>
        </w:rPr>
      </w:pPr>
    </w:p>
    <w:p>
      <w:pPr>
        <w:ind w:left="780" w:hanging="398"/>
        <w:spacing w:after="0"/>
        <w:tabs>
          <w:tab w:leader="none" w:pos="78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any combination of the foregoing;</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and its Restricted Subsidiaries will be deemed to have complied with the provisions described in clause (2) or (3) of this paragraph if and to the extent that, within 365 days after the Asset Sale that generated the Net Cash Proceeds, the Borrower or such Restricted Subsidiary, as applicable, has entered into and not abandoned or rejected a binding agreement to make an investment in compliance with the provision described in clauses (2) or (3) of this paragraph, and that investment is thereafter completed within 180 days after the end of such 365-day period.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Pending the final application of any such amount of Net Cash Proceeds pursuant to Section 2.05(b)(ii) and this Section 7.05, the Borrower or such Restricted Subsidiary may temporarily reduce Indebtedness under a revolving credit facility, or otherwise invest or utilize such Net Cash Proceeds in any manner not prohibited by this Agreement.</w:t>
      </w:r>
    </w:p>
    <w:p>
      <w:pPr>
        <w:spacing w:after="0" w:line="186" w:lineRule="exact"/>
        <w:rPr>
          <w:sz w:val="20"/>
          <w:szCs w:val="20"/>
          <w:color w:val="auto"/>
        </w:rPr>
      </w:pPr>
    </w:p>
    <w:p>
      <w:pPr>
        <w:ind w:firstLine="1505"/>
        <w:spacing w:after="0" w:line="260" w:lineRule="auto"/>
        <w:tabs>
          <w:tab w:leader="none" w:pos="1984"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Restricted Subsidiaries to, cause or make an Asset Sale of any assets that constitute ABL Collateral, unless:</w:t>
      </w:r>
    </w:p>
    <w:p>
      <w:pPr>
        <w:spacing w:after="0" w:line="177" w:lineRule="exact"/>
        <w:rPr>
          <w:sz w:val="20"/>
          <w:szCs w:val="20"/>
          <w:color w:val="auto"/>
        </w:rPr>
      </w:pPr>
    </w:p>
    <w:p>
      <w:pPr>
        <w:jc w:val="both"/>
        <w:ind w:left="760" w:firstLine="745"/>
        <w:spacing w:after="0" w:line="250" w:lineRule="auto"/>
        <w:tabs>
          <w:tab w:leader="none" w:pos="1964" w:val="left"/>
        </w:tabs>
        <w:numPr>
          <w:ilvl w:val="0"/>
          <w:numId w:val="216"/>
        </w:numPr>
        <w:rPr>
          <w:rFonts w:ascii="Arial" w:cs="Arial" w:eastAsia="Arial" w:hAnsi="Arial"/>
          <w:sz w:val="20"/>
          <w:szCs w:val="20"/>
          <w:color w:val="auto"/>
        </w:rPr>
      </w:pPr>
      <w:r>
        <w:rPr>
          <w:rFonts w:ascii="Arial" w:cs="Arial" w:eastAsia="Arial" w:hAnsi="Arial"/>
          <w:sz w:val="20"/>
          <w:szCs w:val="20"/>
          <w:color w:val="auto"/>
        </w:rPr>
        <w:t>except in the case of any Governmental Asset Sale, the Borrower or any of its Restricted Subsidiaries, as the case may be, receives consideration at the time of such Asset Sale at least equal to the Fair Market Value (as determined in good faith by the Borrower) of the assets sold or otherwise disposed of; and</w:t>
      </w:r>
    </w:p>
    <w:p>
      <w:pPr>
        <w:spacing w:after="0" w:line="185" w:lineRule="exact"/>
        <w:rPr>
          <w:rFonts w:ascii="Arial" w:cs="Arial" w:eastAsia="Arial" w:hAnsi="Arial"/>
          <w:sz w:val="20"/>
          <w:szCs w:val="20"/>
          <w:color w:val="auto"/>
        </w:rPr>
      </w:pPr>
    </w:p>
    <w:p>
      <w:pPr>
        <w:jc w:val="both"/>
        <w:ind w:left="760" w:firstLine="745"/>
        <w:spacing w:after="0" w:line="250" w:lineRule="auto"/>
        <w:tabs>
          <w:tab w:leader="none" w:pos="1971" w:val="left"/>
        </w:tabs>
        <w:numPr>
          <w:ilvl w:val="0"/>
          <w:numId w:val="216"/>
        </w:numPr>
        <w:rPr>
          <w:rFonts w:ascii="Arial" w:cs="Arial" w:eastAsia="Arial" w:hAnsi="Arial"/>
          <w:sz w:val="20"/>
          <w:szCs w:val="20"/>
          <w:color w:val="auto"/>
        </w:rPr>
      </w:pPr>
      <w:r>
        <w:rPr>
          <w:rFonts w:ascii="Arial" w:cs="Arial" w:eastAsia="Arial" w:hAnsi="Arial"/>
          <w:sz w:val="20"/>
          <w:szCs w:val="20"/>
          <w:color w:val="auto"/>
        </w:rPr>
        <w:t>except in the case of any Governmental Asset Sale or a Permitted Asset Swap, at least 75% of the consideration therefor received by the Borrower or such Restricted Subsidiary, as the case may be, is in the form of cash or Cash Equivalents or Replacement Assets.</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Within 365 days after the Borrower’s or any Restricted Subsidiary’s receipt of the Net Cash Proceeds of any Asset Sale or Casualty Event with respect to ABL Collateral, the Borrower or such Restricted Subsidiary shall apply an amount equal to the Net Cash Proceeds from such Asset Sale or such Casualty Event, at its option:</w:t>
      </w:r>
    </w:p>
    <w:p>
      <w:pPr>
        <w:spacing w:after="0" w:line="186" w:lineRule="exact"/>
        <w:rPr>
          <w:sz w:val="20"/>
          <w:szCs w:val="20"/>
          <w:color w:val="auto"/>
        </w:rPr>
      </w:pPr>
    </w:p>
    <w:p>
      <w:pPr>
        <w:ind w:left="780" w:hanging="398"/>
        <w:spacing w:after="0"/>
        <w:tabs>
          <w:tab w:leader="none" w:pos="78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to prepay Loans in accordance with Section 2.05(b)(ii);</w:t>
      </w:r>
    </w:p>
    <w:p>
      <w:pPr>
        <w:spacing w:after="0" w:line="107" w:lineRule="exact"/>
        <w:rPr>
          <w:rFonts w:ascii="Arial" w:cs="Arial" w:eastAsia="Arial" w:hAnsi="Arial"/>
          <w:sz w:val="20"/>
          <w:szCs w:val="20"/>
          <w:color w:val="auto"/>
        </w:rPr>
      </w:pPr>
    </w:p>
    <w:p>
      <w:pPr>
        <w:jc w:val="both"/>
        <w:ind w:left="380" w:firstLine="2"/>
        <w:spacing w:after="0" w:line="250" w:lineRule="auto"/>
        <w:tabs>
          <w:tab w:leader="none" w:pos="784"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to an Investment in any one or more businesses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investment is in the form of the acquisition of Capital Stock of a Person, such acquisition results in such Person becoming a Restricted Subsidiary of the Borrower), assets, or property or capital expenditures, in each case used or useful in a Similar Business;</w:t>
      </w:r>
    </w:p>
    <w:p>
      <w:pPr>
        <w:spacing w:after="0" w:line="77" w:lineRule="exact"/>
        <w:rPr>
          <w:rFonts w:ascii="Arial" w:cs="Arial" w:eastAsia="Arial" w:hAnsi="Arial"/>
          <w:sz w:val="20"/>
          <w:szCs w:val="20"/>
          <w:color w:val="auto"/>
        </w:rPr>
      </w:pPr>
    </w:p>
    <w:p>
      <w:pPr>
        <w:jc w:val="both"/>
        <w:ind w:left="380" w:firstLine="2"/>
        <w:spacing w:after="0" w:line="269" w:lineRule="auto"/>
        <w:tabs>
          <w:tab w:leader="none" w:pos="78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to make an Investment in any one or more businesses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Investment is in the form of the acquisition of Capital Stock of a Person, such acquisition results in such Person becoming a Restricted Subsidiary of the Borrower), properties or assets that replace the properties and assets that are the subject of such Asset Sale or Casualty Event;</w:t>
      </w:r>
    </w:p>
    <w:p>
      <w:pPr>
        <w:spacing w:after="0" w:line="61" w:lineRule="exact"/>
        <w:rPr>
          <w:rFonts w:ascii="Arial" w:cs="Arial" w:eastAsia="Arial" w:hAnsi="Arial"/>
          <w:sz w:val="19"/>
          <w:szCs w:val="19"/>
          <w:color w:val="auto"/>
        </w:rPr>
      </w:pPr>
    </w:p>
    <w:p>
      <w:pPr>
        <w:jc w:val="both"/>
        <w:ind w:left="380" w:firstLine="2"/>
        <w:spacing w:after="0" w:line="250" w:lineRule="auto"/>
        <w:tabs>
          <w:tab w:leader="none" w:pos="82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to permanently reduce any Indebtedness under the ABL Credit Agreement or any other Indebtedness of the Borrower or a Guarantor that in each case is secured by a Lien on the ABL Collateral that is prior to the Lien on the ABL Collateral securing the Obligations (and, in the case of</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01" w:name="page202"/>
    <w:bookmarkEnd w:id="201"/>
    <w:p>
      <w:pPr>
        <w:ind w:left="380"/>
        <w:spacing w:after="0" w:line="260" w:lineRule="auto"/>
        <w:rPr>
          <w:sz w:val="20"/>
          <w:szCs w:val="20"/>
          <w:color w:val="auto"/>
        </w:rPr>
      </w:pPr>
      <w:r>
        <w:rPr>
          <w:rFonts w:ascii="Arial" w:cs="Arial" w:eastAsia="Arial" w:hAnsi="Arial"/>
          <w:sz w:val="20"/>
          <w:szCs w:val="20"/>
          <w:color w:val="auto"/>
        </w:rPr>
        <w:t>revolving obligations, to correspondingly reduce commitments with respect thereto), in each case other than Indebtedness owed to the Borrower or a Restricted Subsidiary; or</w:t>
      </w:r>
    </w:p>
    <w:p>
      <w:pPr>
        <w:spacing w:after="0" w:line="69"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any combination of the foregoing;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Borrower and its Restricted Subsidiaries will be deemed to have complied with the provisions described in clauses (2) and</w:t>
      </w:r>
    </w:p>
    <w:p>
      <w:pPr>
        <w:spacing w:after="0" w:line="39" w:lineRule="exact"/>
        <w:rPr>
          <w:sz w:val="20"/>
          <w:szCs w:val="20"/>
          <w:color w:val="auto"/>
        </w:rPr>
      </w:pPr>
    </w:p>
    <w:p>
      <w:pPr>
        <w:jc w:val="both"/>
        <w:ind w:firstLine="8"/>
        <w:spacing w:after="0" w:line="272" w:lineRule="auto"/>
        <w:tabs>
          <w:tab w:leader="none" w:pos="29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above if and to the extent that, within 365 days after the Asset Sale of Non-ABL Collateral that generated the Net Cash Proceeds, the Borrower has entered into and not abandoned or rejected a binding agreement to acquire the assets or Capital Stock of a Similar Business, make an Investment in Replacement Assets or make a capital expenditure in compliance with the provision described in clauses (2) and (3) of this paragraph, and that acquisition, purchase or capital expenditure is thereafter completed within 180 days after the end of such 365-day period. Pending the final application of any such Net Cash Proceeds, the Borrower or such Restricted Subsidiary of the Borrower may temporarily reduce Indebtedness under a revolving credit facility, if any, or otherwise invest such Net Cash Proceeds in Cash Equivalents.</w:t>
      </w:r>
    </w:p>
    <w:p>
      <w:pPr>
        <w:spacing w:after="0" w:line="169" w:lineRule="exact"/>
        <w:rPr>
          <w:rFonts w:ascii="Arial" w:cs="Arial" w:eastAsia="Arial" w:hAnsi="Arial"/>
          <w:sz w:val="18"/>
          <w:szCs w:val="18"/>
          <w:color w:val="auto"/>
        </w:rPr>
      </w:pPr>
    </w:p>
    <w:p>
      <w:pPr>
        <w:ind w:left="1980" w:hanging="475"/>
        <w:spacing w:after="0"/>
        <w:tabs>
          <w:tab w:leader="none" w:pos="198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For purposes of this Section 7.05, the amount of:</w:t>
      </w:r>
    </w:p>
    <w:p>
      <w:pPr>
        <w:spacing w:after="0" w:line="215" w:lineRule="exact"/>
        <w:rPr>
          <w:rFonts w:ascii="Arial" w:cs="Arial" w:eastAsia="Arial" w:hAnsi="Arial"/>
          <w:sz w:val="20"/>
          <w:szCs w:val="20"/>
          <w:color w:val="auto"/>
        </w:rPr>
      </w:pPr>
    </w:p>
    <w:p>
      <w:pPr>
        <w:jc w:val="both"/>
        <w:ind w:left="760" w:firstLine="1494"/>
        <w:spacing w:after="0" w:line="273" w:lineRule="auto"/>
        <w:tabs>
          <w:tab w:leader="none" w:pos="2745" w:val="left"/>
        </w:tabs>
        <w:numPr>
          <w:ilvl w:val="2"/>
          <w:numId w:val="218"/>
        </w:numPr>
        <w:rPr>
          <w:rFonts w:ascii="Arial" w:cs="Arial" w:eastAsia="Arial" w:hAnsi="Arial"/>
          <w:sz w:val="18"/>
          <w:szCs w:val="18"/>
          <w:color w:val="auto"/>
        </w:rPr>
      </w:pPr>
      <w:r>
        <w:rPr>
          <w:rFonts w:ascii="Arial" w:cs="Arial" w:eastAsia="Arial" w:hAnsi="Arial"/>
          <w:sz w:val="18"/>
          <w:szCs w:val="18"/>
          <w:color w:val="auto"/>
        </w:rPr>
        <w:t>any liabilities (as shown on Borrower’s or such Restricted Subsidiary’s most recent balance sheet or in the notes thereto for which internal financial statements are available immediately preceding such date or, if incurred or accrued subsequent to the date of such balance sheet, such liabilities that would have been reflected on Borrower’s or such Restricted Subsidiary’s balance sheet or in the footnotes thereto if such incurrence or accrual had taken place on or prior to the date of such balance sheet in the good faith determination of the Borrower) of the Borrower or such Restricted Subsidiary (other than liabilities that are by their terms subordinated to the Obligations) that are extinguished by the buyer in connection with the transactions relating to such Asset Sale, or that are assumed by the transferee of any such assets or Equity Interests, in each case, pursuant to an agreement that releases or indemnifies Borrower or such Restricted Subsidiary, as the case may be, from further liability;</w:t>
      </w:r>
    </w:p>
    <w:p>
      <w:pPr>
        <w:spacing w:after="0" w:line="168" w:lineRule="exact"/>
        <w:rPr>
          <w:rFonts w:ascii="Arial" w:cs="Arial" w:eastAsia="Arial" w:hAnsi="Arial"/>
          <w:sz w:val="18"/>
          <w:szCs w:val="18"/>
          <w:color w:val="auto"/>
        </w:rPr>
      </w:pPr>
    </w:p>
    <w:p>
      <w:pPr>
        <w:jc w:val="both"/>
        <w:ind w:left="760" w:firstLine="1494"/>
        <w:spacing w:after="0" w:line="246" w:lineRule="auto"/>
        <w:tabs>
          <w:tab w:leader="none" w:pos="2763" w:val="left"/>
        </w:tabs>
        <w:numPr>
          <w:ilvl w:val="2"/>
          <w:numId w:val="218"/>
        </w:numPr>
        <w:rPr>
          <w:rFonts w:ascii="Arial" w:cs="Arial" w:eastAsia="Arial" w:hAnsi="Arial"/>
          <w:sz w:val="20"/>
          <w:szCs w:val="20"/>
          <w:color w:val="auto"/>
        </w:rPr>
      </w:pPr>
      <w:r>
        <w:rPr>
          <w:rFonts w:ascii="Arial" w:cs="Arial" w:eastAsia="Arial" w:hAnsi="Arial"/>
          <w:sz w:val="20"/>
          <w:szCs w:val="20"/>
          <w:color w:val="auto"/>
        </w:rPr>
        <w:t>any notes or other obligations or other securities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of the receipt thereof; and</w:t>
      </w:r>
    </w:p>
    <w:p>
      <w:pPr>
        <w:spacing w:after="0" w:line="191" w:lineRule="exact"/>
        <w:rPr>
          <w:rFonts w:ascii="Arial" w:cs="Arial" w:eastAsia="Arial" w:hAnsi="Arial"/>
          <w:sz w:val="20"/>
          <w:szCs w:val="20"/>
          <w:color w:val="auto"/>
        </w:rPr>
      </w:pPr>
    </w:p>
    <w:p>
      <w:pPr>
        <w:jc w:val="both"/>
        <w:ind w:left="760" w:firstLine="1494"/>
        <w:spacing w:after="0" w:line="233" w:lineRule="exact"/>
        <w:tabs>
          <w:tab w:leader="none" w:pos="2624" w:val="left"/>
        </w:tabs>
        <w:numPr>
          <w:ilvl w:val="2"/>
          <w:numId w:val="218"/>
        </w:numPr>
        <w:rPr>
          <w:rFonts w:ascii="Arial" w:cs="Arial" w:eastAsia="Arial" w:hAnsi="Arial"/>
          <w:sz w:val="19"/>
          <w:szCs w:val="19"/>
          <w:color w:val="auto"/>
        </w:rPr>
      </w:pPr>
      <w:r>
        <w:rPr>
          <w:rFonts w:ascii="Arial" w:cs="Arial" w:eastAsia="Arial" w:hAnsi="Arial"/>
          <w:sz w:val="19"/>
          <w:szCs w:val="19"/>
          <w:color w:val="auto"/>
        </w:rPr>
        <w:t>any Designated Non</w:t>
      </w:r>
      <w:r>
        <w:rPr>
          <w:rFonts w:ascii="MS PGothic" w:cs="MS PGothic" w:eastAsia="MS PGothic" w:hAnsi="MS PGothic"/>
          <w:sz w:val="19"/>
          <w:szCs w:val="19"/>
          <w:color w:val="auto"/>
        </w:rPr>
        <w:t>‑</w:t>
      </w:r>
      <w:r>
        <w:rPr>
          <w:rFonts w:ascii="Arial" w:cs="Arial" w:eastAsia="Arial" w:hAnsi="Arial"/>
          <w:sz w:val="19"/>
          <w:szCs w:val="19"/>
          <w:color w:val="auto"/>
        </w:rPr>
        <w:t>cash Consideration received by the Borrower or any of its Restricted Subsidiaries in such Asset Sale having an aggregate Fair Market Value, taken together with all other Designated Non</w:t>
      </w:r>
      <w:r>
        <w:rPr>
          <w:rFonts w:ascii="MS PGothic" w:cs="MS PGothic" w:eastAsia="MS PGothic" w:hAnsi="MS PGothic"/>
          <w:sz w:val="19"/>
          <w:szCs w:val="19"/>
          <w:color w:val="auto"/>
        </w:rPr>
        <w:t>‑</w:t>
      </w:r>
      <w:r>
        <w:rPr>
          <w:rFonts w:ascii="Arial" w:cs="Arial" w:eastAsia="Arial" w:hAnsi="Arial"/>
          <w:sz w:val="19"/>
          <w:szCs w:val="19"/>
          <w:color w:val="auto"/>
        </w:rPr>
        <w:t>cash Consideration received pursuant to this subclause (iii) that is at that time outstanding, not to exceed the greater of (x) $450,000,000 and (y) 23.5% of Four Quarter Consolidated EBITDA, calculated at the time of the receipt of such Designated Non</w:t>
      </w:r>
      <w:r>
        <w:rPr>
          <w:rFonts w:ascii="MS PGothic" w:cs="MS PGothic" w:eastAsia="MS PGothic" w:hAnsi="MS PGothic"/>
          <w:sz w:val="19"/>
          <w:szCs w:val="19"/>
          <w:color w:val="auto"/>
        </w:rPr>
        <w:t>‑</w:t>
      </w:r>
      <w:r>
        <w:rPr>
          <w:rFonts w:ascii="Arial" w:cs="Arial" w:eastAsia="Arial" w:hAnsi="Arial"/>
          <w:sz w:val="19"/>
          <w:szCs w:val="19"/>
          <w:color w:val="auto"/>
        </w:rPr>
        <w:t>cash Consideration (with the Fair Market Value of each item of Designated Non</w:t>
      </w:r>
      <w:r>
        <w:rPr>
          <w:rFonts w:ascii="MS PGothic" w:cs="MS PGothic" w:eastAsia="MS PGothic" w:hAnsi="MS PGothic"/>
          <w:sz w:val="19"/>
          <w:szCs w:val="19"/>
          <w:color w:val="auto"/>
        </w:rPr>
        <w:t>‑</w:t>
      </w:r>
      <w:r>
        <w:rPr>
          <w:rFonts w:ascii="Arial" w:cs="Arial" w:eastAsia="Arial" w:hAnsi="Arial"/>
          <w:sz w:val="19"/>
          <w:szCs w:val="19"/>
          <w:color w:val="auto"/>
        </w:rPr>
        <w:t>cash Consideration being measured at the time received and without giving effect to subsequent changes in value) shall each be deemed to be Cash Equivalents.</w:t>
      </w:r>
    </w:p>
    <w:p>
      <w:pPr>
        <w:spacing w:after="0" w:line="200" w:lineRule="exact"/>
        <w:rPr>
          <w:rFonts w:ascii="Arial" w:cs="Arial" w:eastAsia="Arial" w:hAnsi="Arial"/>
          <w:sz w:val="19"/>
          <w:szCs w:val="19"/>
          <w:color w:val="auto"/>
        </w:rPr>
      </w:pPr>
    </w:p>
    <w:p>
      <w:pPr>
        <w:jc w:val="both"/>
        <w:ind w:firstLine="1505"/>
        <w:spacing w:after="0" w:line="243" w:lineRule="auto"/>
        <w:tabs>
          <w:tab w:leader="none" w:pos="2001" w:val="left"/>
        </w:tabs>
        <w:numPr>
          <w:ilvl w:val="1"/>
          <w:numId w:val="218"/>
        </w:numPr>
        <w:rPr>
          <w:rFonts w:ascii="Arial" w:cs="Arial" w:eastAsia="Arial" w:hAnsi="Arial"/>
          <w:sz w:val="20"/>
          <w:szCs w:val="20"/>
          <w:color w:val="auto"/>
        </w:rPr>
      </w:pPr>
      <w:r>
        <w:rPr>
          <w:rFonts w:ascii="Arial" w:cs="Arial" w:eastAsia="Arial" w:hAnsi="Arial"/>
          <w:sz w:val="20"/>
          <w:szCs w:val="20"/>
          <w:color w:val="auto"/>
        </w:rPr>
        <w:t>For purposes of this Section 7.05, any sale by the Borrower or a Restricted Subsidiary of the Capital Stock of a Restricted Subsidiary that owns assets constituting Non-ABL Collateral or ABL Collateral shall be deemed to be a sale of such Non-ABL Collateral or ABL Collateral (or, in the event of a Restricted Subsidiary that owns assets that include any combination of Non-ABL Collateral and ABL Collateral, shall be deemed to be a separate sale of each of such Non-ABL Collateral and ABL Collateral). In the event of any such sale (or a sale of assets that includes any combination of Non-ABL Collateral and ABL Collateral), the proceeds received by the Borrower and the Restricted Subsidiaries in respect of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02" w:name="page203"/>
    <w:bookmarkEnd w:id="202"/>
    <w:p>
      <w:pPr>
        <w:jc w:val="both"/>
        <w:spacing w:after="0" w:line="246" w:lineRule="auto"/>
        <w:rPr>
          <w:sz w:val="20"/>
          <w:szCs w:val="20"/>
          <w:color w:val="auto"/>
        </w:rPr>
      </w:pPr>
      <w:r>
        <w:rPr>
          <w:rFonts w:ascii="Arial" w:cs="Arial" w:eastAsia="Arial" w:hAnsi="Arial"/>
          <w:sz w:val="20"/>
          <w:szCs w:val="20"/>
          <w:color w:val="auto"/>
        </w:rPr>
        <w:t>sale shall be allocated to the Non-ABL Collateral and ABL Collateral in accordance with their respective Fair Market Values, which shall be determined by the Borrower or, at the Borrower’s election, an independent third party. In addition, for purposes of this Section 7.05, any sale by the Borrower or any Restricted Subsidiary of the Capital Stock of any Person that owns only ABL Collateral will not be subject to subsection (a) hereof, but rather will be subject to subsection (b) hereof.</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7.06  Restricted Payments.</w:t>
      </w:r>
    </w:p>
    <w:p>
      <w:pPr>
        <w:spacing w:after="0" w:line="216" w:lineRule="exact"/>
        <w:rPr>
          <w:sz w:val="20"/>
          <w:szCs w:val="20"/>
          <w:color w:val="auto"/>
        </w:rPr>
      </w:pPr>
    </w:p>
    <w:p>
      <w:pPr>
        <w:ind w:left="1980" w:hanging="475"/>
        <w:spacing w:after="0"/>
        <w:tabs>
          <w:tab w:leader="none" w:pos="19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Restricted Subsidiaries to, directly or indirectly:</w:t>
      </w:r>
    </w:p>
    <w:p>
      <w:pPr>
        <w:spacing w:after="0" w:line="216" w:lineRule="exact"/>
        <w:rPr>
          <w:sz w:val="20"/>
          <w:szCs w:val="20"/>
          <w:color w:val="auto"/>
        </w:rPr>
      </w:pPr>
    </w:p>
    <w:p>
      <w:pPr>
        <w:jc w:val="both"/>
        <w:ind w:firstLine="1505"/>
        <w:spacing w:after="0" w:line="243" w:lineRule="auto"/>
        <w:tabs>
          <w:tab w:leader="none" w:pos="2017" w:val="left"/>
        </w:tabs>
        <w:numPr>
          <w:ilvl w:val="0"/>
          <w:numId w:val="220"/>
        </w:numPr>
        <w:rPr>
          <w:rFonts w:ascii="Arial" w:cs="Arial" w:eastAsia="Arial" w:hAnsi="Arial"/>
          <w:sz w:val="20"/>
          <w:szCs w:val="20"/>
          <w:color w:val="auto"/>
        </w:rPr>
      </w:pPr>
      <w:r>
        <w:rPr>
          <w:rFonts w:ascii="Arial" w:cs="Arial" w:eastAsia="Arial" w:hAnsi="Arial"/>
          <w:sz w:val="20"/>
          <w:szCs w:val="20"/>
          <w:color w:val="auto"/>
        </w:rPr>
        <w:t>declare or pay any dividend or make any payment or distribution on account of the Borrower’s or any of its Restricted Subsidiaries’ Equity Interests, including any payment made in connection with any merger, amalgamation or consolidation involving the Borrower (other than (A) dividends or distributions by the Borrower payable solely in Equity Interests (other than Disqualified Stock) of the Borrower; or (B) dividends or distributions by a Restricted Subsidiary so long as, in the case of any dividend or distribution payable on or in respect of any class or series of securities issued by a Restricted Subsidiary other than a Wholly Owned Restricted Subsidiary, the Borrower or a Restricted Subsidiary receives at least its pro rata share of such dividend or distribution in accordance with its Equity Interests in such class or series of securities);</w:t>
      </w:r>
    </w:p>
    <w:p>
      <w:pPr>
        <w:spacing w:after="0" w:line="192" w:lineRule="exact"/>
        <w:rPr>
          <w:rFonts w:ascii="Arial" w:cs="Arial" w:eastAsia="Arial" w:hAnsi="Arial"/>
          <w:sz w:val="20"/>
          <w:szCs w:val="20"/>
          <w:color w:val="auto"/>
        </w:rPr>
      </w:pPr>
    </w:p>
    <w:p>
      <w:pPr>
        <w:ind w:firstLine="1505"/>
        <w:spacing w:after="0" w:line="260" w:lineRule="auto"/>
        <w:tabs>
          <w:tab w:leader="none" w:pos="198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purchase, redeem, defease or otherwise acquire or retire for value any Equity Interests of the Borrower or any direct or indirect parent of the Borrower, including in connection with any merger, amalgamation or consolidation;</w:t>
      </w:r>
    </w:p>
    <w:p>
      <w:pPr>
        <w:spacing w:after="0" w:line="176" w:lineRule="exact"/>
        <w:rPr>
          <w:rFonts w:ascii="Arial" w:cs="Arial" w:eastAsia="Arial" w:hAnsi="Arial"/>
          <w:sz w:val="20"/>
          <w:szCs w:val="20"/>
          <w:color w:val="auto"/>
        </w:rPr>
      </w:pPr>
    </w:p>
    <w:p>
      <w:pPr>
        <w:jc w:val="both"/>
        <w:ind w:firstLine="1505"/>
        <w:spacing w:after="0" w:line="257" w:lineRule="auto"/>
        <w:tabs>
          <w:tab w:leader="none" w:pos="197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make any principal payment on, or redeem, repurchase, defease or otherwise acquire or retire for value, in each case, prior to any scheduled repayment, sinking fund payment or maturity, any (i) Subordinated Indebtedness of the Borrower or any Guarantor (other than the payment, redemption, repurchase, defeasance, acquisition or retirement of (A) Subordinated Indebtedness of the Borrower or any Guarantor in anticipation of satisfying a sinking fund obligation, principal installment or final maturity, in each case due within one year of the date of such payment, redemption, repurchase, defeasance, acquisition or retirement and (B) Indebtedness permitted under Section 7.03(b)(7) or (9)) or (ii) any Indebtedness that is secured by a security interest in the Collateral that is expressly junior to the Liens securing the Obligations (other than the payment, redemption, repurchase, defeasance, acquisition or retirement of ABL Debt) (clauses (i) and (ii), the “</w:t>
      </w:r>
      <w:r>
        <w:rPr>
          <w:rFonts w:ascii="Arial" w:cs="Arial" w:eastAsia="Arial" w:hAnsi="Arial"/>
          <w:sz w:val="19"/>
          <w:szCs w:val="19"/>
          <w:b w:val="1"/>
          <w:bCs w:val="1"/>
          <w:i w:val="1"/>
          <w:iCs w:val="1"/>
          <w:color w:val="auto"/>
        </w:rPr>
        <w:t>Junior Financing</w:t>
      </w:r>
      <w:r>
        <w:rPr>
          <w:rFonts w:ascii="Arial" w:cs="Arial" w:eastAsia="Arial" w:hAnsi="Arial"/>
          <w:sz w:val="19"/>
          <w:szCs w:val="19"/>
          <w:color w:val="auto"/>
        </w:rPr>
        <w:t>”); or</w:t>
      </w:r>
    </w:p>
    <w:p>
      <w:pPr>
        <w:spacing w:after="0" w:line="180" w:lineRule="exact"/>
        <w:rPr>
          <w:rFonts w:ascii="Arial" w:cs="Arial" w:eastAsia="Arial" w:hAnsi="Arial"/>
          <w:sz w:val="19"/>
          <w:szCs w:val="19"/>
          <w:color w:val="auto"/>
        </w:rPr>
      </w:pPr>
    </w:p>
    <w:p>
      <w:pPr>
        <w:ind w:left="1940" w:hanging="435"/>
        <w:spacing w:after="0"/>
        <w:tabs>
          <w:tab w:leader="none" w:pos="19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make any Restricted Investment;</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(all such payments and other actions set forth in clauses (1) through (4) above being collectively referred to as “</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unless, at the time of such Restricted Payment:</w:t>
      </w:r>
    </w:p>
    <w:p>
      <w:pPr>
        <w:spacing w:after="0" w:line="177" w:lineRule="exact"/>
        <w:rPr>
          <w:sz w:val="20"/>
          <w:szCs w:val="20"/>
          <w:color w:val="auto"/>
        </w:rPr>
      </w:pPr>
    </w:p>
    <w:p>
      <w:pPr>
        <w:jc w:val="both"/>
        <w:ind w:left="760" w:firstLine="1494"/>
        <w:spacing w:after="0" w:line="269" w:lineRule="auto"/>
        <w:tabs>
          <w:tab w:leader="none" w:pos="274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(x) in the case of a Restricted Investment, no Event of Default under Sections 8.01(a), (f) or (g) shall have occurred and be continuing or would occur as a consequence thereof and (y) in the case of all other Restricted Payments, no Event of Default shall have occurred and be continuing or would occur as a consequence thereof;</w:t>
      </w:r>
    </w:p>
    <w:p>
      <w:pPr>
        <w:spacing w:after="0" w:line="169" w:lineRule="exact"/>
        <w:rPr>
          <w:rFonts w:ascii="Arial" w:cs="Arial" w:eastAsia="Arial" w:hAnsi="Arial"/>
          <w:sz w:val="19"/>
          <w:szCs w:val="19"/>
          <w:color w:val="auto"/>
        </w:rPr>
      </w:pPr>
    </w:p>
    <w:p>
      <w:pPr>
        <w:ind w:left="760" w:firstLine="1494"/>
        <w:spacing w:after="0" w:line="260" w:lineRule="auto"/>
        <w:tabs>
          <w:tab w:leader="none" w:pos="2749" w:val="left"/>
        </w:tabs>
        <w:numPr>
          <w:ilvl w:val="0"/>
          <w:numId w:val="221"/>
        </w:numPr>
        <w:rPr>
          <w:rFonts w:ascii="Arial" w:cs="Arial" w:eastAsia="Arial" w:hAnsi="Arial"/>
          <w:sz w:val="20"/>
          <w:szCs w:val="20"/>
          <w:color w:val="auto"/>
        </w:rPr>
      </w:pPr>
      <w:r>
        <w:rPr>
          <w:rFonts w:ascii="Arial" w:cs="Arial" w:eastAsia="Arial" w:hAnsi="Arial"/>
          <w:sz w:val="20"/>
          <w:szCs w:val="20"/>
          <w:color w:val="auto"/>
        </w:rPr>
        <w:t>immediately after giving effect to such transaction on a Pro Forma Basis, the Borrower could Incur $1.00 of additional Indebtedness as Ratio Debt; and</w:t>
      </w:r>
    </w:p>
    <w:p>
      <w:pPr>
        <w:spacing w:after="0" w:line="176" w:lineRule="exact"/>
        <w:rPr>
          <w:rFonts w:ascii="Arial" w:cs="Arial" w:eastAsia="Arial" w:hAnsi="Arial"/>
          <w:sz w:val="20"/>
          <w:szCs w:val="20"/>
          <w:color w:val="auto"/>
        </w:rPr>
      </w:pPr>
    </w:p>
    <w:p>
      <w:pPr>
        <w:ind w:left="760" w:firstLine="1494"/>
        <w:spacing w:after="0" w:line="260" w:lineRule="auto"/>
        <w:tabs>
          <w:tab w:leader="none" w:pos="2615" w:val="left"/>
        </w:tabs>
        <w:numPr>
          <w:ilvl w:val="0"/>
          <w:numId w:val="221"/>
        </w:numPr>
        <w:rPr>
          <w:rFonts w:ascii="Arial" w:cs="Arial" w:eastAsia="Arial" w:hAnsi="Arial"/>
          <w:sz w:val="20"/>
          <w:szCs w:val="20"/>
          <w:color w:val="auto"/>
        </w:rPr>
      </w:pPr>
      <w:r>
        <w:rPr>
          <w:rFonts w:ascii="Arial" w:cs="Arial" w:eastAsia="Arial" w:hAnsi="Arial"/>
          <w:sz w:val="20"/>
          <w:szCs w:val="20"/>
          <w:color w:val="auto"/>
        </w:rPr>
        <w:t>such Restricted Payment, together with the aggregate amount of all other Restricted Payments made by the Borrower and its Restricted Subsidiaries after the Closing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03" w:name="page204"/>
    <w:bookmarkEnd w:id="203"/>
    <w:p>
      <w:pPr>
        <w:spacing w:after="0" w:line="260" w:lineRule="auto"/>
        <w:rPr>
          <w:sz w:val="20"/>
          <w:szCs w:val="20"/>
          <w:color w:val="auto"/>
        </w:rPr>
      </w:pPr>
      <w:r>
        <w:rPr>
          <w:rFonts w:ascii="Arial" w:cs="Arial" w:eastAsia="Arial" w:hAnsi="Arial"/>
          <w:sz w:val="20"/>
          <w:szCs w:val="20"/>
          <w:color w:val="auto"/>
        </w:rPr>
        <w:t>(including Restricted Payments permitted by Section 7.06(b)(1), but excluding all other Restricted Payments permitted by Section 7.06(b)), is less than the sum of, without duplication,</w:t>
      </w:r>
    </w:p>
    <w:p>
      <w:pPr>
        <w:spacing w:after="0" w:line="177" w:lineRule="exact"/>
        <w:rPr>
          <w:sz w:val="20"/>
          <w:szCs w:val="20"/>
          <w:color w:val="auto"/>
        </w:rPr>
      </w:pPr>
    </w:p>
    <w:p>
      <w:pPr>
        <w:ind w:left="1940" w:hanging="446"/>
        <w:spacing w:after="0"/>
        <w:tabs>
          <w:tab w:leader="none" w:pos="19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greater of $900,000,000 and 46.5% of Four Quarter Consolidated EBITDA, on a Pro Forma Basis, </w:t>
      </w:r>
      <w:r>
        <w:rPr>
          <w:rFonts w:ascii="Arial" w:cs="Arial" w:eastAsia="Arial" w:hAnsi="Arial"/>
          <w:sz w:val="18"/>
          <w:szCs w:val="18"/>
          <w:i w:val="1"/>
          <w:iCs w:val="1"/>
          <w:color w:val="auto"/>
        </w:rPr>
        <w:t>plus</w:t>
      </w:r>
    </w:p>
    <w:p>
      <w:pPr>
        <w:spacing w:after="0" w:line="238" w:lineRule="exact"/>
        <w:rPr>
          <w:rFonts w:ascii="Arial" w:cs="Arial" w:eastAsia="Arial" w:hAnsi="Arial"/>
          <w:sz w:val="18"/>
          <w:szCs w:val="18"/>
          <w:color w:val="auto"/>
        </w:rPr>
      </w:pPr>
    </w:p>
    <w:p>
      <w:pPr>
        <w:jc w:val="both"/>
        <w:ind w:left="740" w:firstLine="754"/>
        <w:spacing w:after="0" w:line="246" w:lineRule="auto"/>
        <w:tabs>
          <w:tab w:leader="none" w:pos="193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50% of the Consolidated Net Income of the Borrower for the period (taken as one accounting period) from January 1, 2019 to the end of the Borrower’s most recently ended fiscal quarter for which internal financial statements are available at the time of such Restricted Payment (or, in the case such Consolidated Net Income for such period is a deficit, minus 100% of such deficit), </w:t>
      </w:r>
      <w:r>
        <w:rPr>
          <w:rFonts w:ascii="Arial" w:cs="Arial" w:eastAsia="Arial" w:hAnsi="Arial"/>
          <w:sz w:val="20"/>
          <w:szCs w:val="20"/>
          <w:i w:val="1"/>
          <w:iCs w:val="1"/>
          <w:color w:val="auto"/>
        </w:rPr>
        <w:t>plus</w:t>
      </w:r>
    </w:p>
    <w:p>
      <w:pPr>
        <w:spacing w:after="0" w:line="191" w:lineRule="exact"/>
        <w:rPr>
          <w:rFonts w:ascii="Arial" w:cs="Arial" w:eastAsia="Arial" w:hAnsi="Arial"/>
          <w:sz w:val="20"/>
          <w:szCs w:val="20"/>
          <w:color w:val="auto"/>
        </w:rPr>
      </w:pPr>
    </w:p>
    <w:p>
      <w:pPr>
        <w:jc w:val="both"/>
        <w:ind w:left="740" w:firstLine="754"/>
        <w:spacing w:after="0" w:line="269" w:lineRule="auto"/>
        <w:tabs>
          <w:tab w:leader="none" w:pos="194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100% of the aggregate net proceeds, including cash and the Fair Market Value of assets other than cash, received by the Borrower after the Closing Date from the issue or sale of Equity Interests of the Borrower (other than Excluded Equity), including such Equity Interests issued upon exercise of warrants or options, </w:t>
      </w:r>
      <w:r>
        <w:rPr>
          <w:rFonts w:ascii="Arial" w:cs="Arial" w:eastAsia="Arial" w:hAnsi="Arial"/>
          <w:sz w:val="19"/>
          <w:szCs w:val="19"/>
          <w:i w:val="1"/>
          <w:iCs w:val="1"/>
          <w:color w:val="auto"/>
        </w:rPr>
        <w:t>plus</w:t>
      </w:r>
    </w:p>
    <w:p>
      <w:pPr>
        <w:spacing w:after="0" w:line="169" w:lineRule="exact"/>
        <w:rPr>
          <w:rFonts w:ascii="Arial" w:cs="Arial" w:eastAsia="Arial" w:hAnsi="Arial"/>
          <w:sz w:val="19"/>
          <w:szCs w:val="19"/>
          <w:color w:val="auto"/>
        </w:rPr>
      </w:pPr>
    </w:p>
    <w:p>
      <w:pPr>
        <w:ind w:left="740" w:firstLine="754"/>
        <w:spacing w:after="0" w:line="260" w:lineRule="auto"/>
        <w:tabs>
          <w:tab w:leader="none" w:pos="193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100% of the aggregate amount of contributions to the capital of the Borrower received in cash and the Fair Market Value of assets other than cash after the Closing Date (other than Excluded Equity),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jc w:val="both"/>
        <w:ind w:left="740" w:firstLine="754"/>
        <w:spacing w:after="0" w:line="276" w:lineRule="auto"/>
        <w:tabs>
          <w:tab w:leader="none" w:pos="195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principal amount of any Indebtedness, or the Maximum Fixed Repurchase Price of any Disqualified Stock, of the Borrower or any Restricted Subsidiary thereof issued after the Closing Date (other than Indebtedness or Disqualified Stock issued to a Restricted Subsidiary or an employee stock ownership plan or trust established by the Borrower or any Restricted Subsidiary (other than to the extent such employee stock ownership plan or trust has been funded by the Borrower or any Restricted Subsidiary)) which has been converted into or exchanged for Equity Interests in the Borrower or Holdings or any other direct or indirect parent of the Borrower (other than Excluded Equity), </w:t>
      </w:r>
      <w:r>
        <w:rPr>
          <w:rFonts w:ascii="Arial" w:cs="Arial" w:eastAsia="Arial" w:hAnsi="Arial"/>
          <w:sz w:val="18"/>
          <w:szCs w:val="18"/>
          <w:i w:val="1"/>
          <w:iCs w:val="1"/>
          <w:color w:val="auto"/>
        </w:rPr>
        <w:t>plus</w:t>
      </w:r>
    </w:p>
    <w:p>
      <w:pPr>
        <w:spacing w:after="0" w:line="164" w:lineRule="exact"/>
        <w:rPr>
          <w:rFonts w:ascii="Arial" w:cs="Arial" w:eastAsia="Arial" w:hAnsi="Arial"/>
          <w:sz w:val="18"/>
          <w:szCs w:val="18"/>
          <w:color w:val="auto"/>
        </w:rPr>
      </w:pPr>
    </w:p>
    <w:p>
      <w:pPr>
        <w:ind w:left="740" w:firstLine="754"/>
        <w:spacing w:after="0" w:line="287" w:lineRule="auto"/>
        <w:tabs>
          <w:tab w:leader="none" w:pos="193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100% of the aggregate amount received by the Borrower or any Restricted Subsidiary in cash and the Fair Market Value of assets other than cash received by the Borrower or any Restricted Subsidiary from:</w:t>
      </w:r>
    </w:p>
    <w:p>
      <w:pPr>
        <w:spacing w:after="0" w:line="152" w:lineRule="exact"/>
        <w:rPr>
          <w:sz w:val="20"/>
          <w:szCs w:val="20"/>
          <w:color w:val="auto"/>
        </w:rPr>
      </w:pPr>
    </w:p>
    <w:p>
      <w:pPr>
        <w:jc w:val="both"/>
        <w:ind w:left="1500" w:right="740" w:firstLine="743"/>
        <w:spacing w:after="0" w:line="276" w:lineRule="auto"/>
        <w:tabs>
          <w:tab w:leader="none" w:pos="268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sale or other disposition (other than to the Borrower or a Subsidiary of the Borrower) of Restricted Investments made by the Borrower and its Restricted Subsidiaries and from repurchases and redemptions of such Restricted Investments from the Borrower and its Restricted Subsidiaries by any Person (other than the Borrower or any of its Subsidiaries) and from repayments of loans or advances which constituted Restricted Investments (other than in each case to the extent that the Restricted Investment was made pursuant to Section 7.06(b)(10) or (20)),</w:t>
      </w:r>
    </w:p>
    <w:p>
      <w:pPr>
        <w:spacing w:after="0" w:line="164" w:lineRule="exact"/>
        <w:rPr>
          <w:rFonts w:ascii="Arial" w:cs="Arial" w:eastAsia="Arial" w:hAnsi="Arial"/>
          <w:sz w:val="18"/>
          <w:szCs w:val="18"/>
          <w:color w:val="auto"/>
        </w:rPr>
      </w:pPr>
    </w:p>
    <w:p>
      <w:pPr>
        <w:jc w:val="both"/>
        <w:ind w:left="1500" w:right="740" w:firstLine="743"/>
        <w:spacing w:after="0" w:line="244" w:lineRule="auto"/>
        <w:tabs>
          <w:tab w:leader="none" w:pos="2714"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the sale (other than to the Borrower or a Restricted Subsidiary or an employee stock ownership plan or trust established by the Borrower or any Restricted Subsidiary (other than to the extent such employee stock ownership plan or trust has been funded by the Borrower or any Restricted Subsidiary or to the extent that such Investment constituted a Permitted Investment or a Restricted Investment made</w:t>
      </w:r>
    </w:p>
    <w:p>
      <w:pPr>
        <w:spacing w:after="0" w:line="17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365125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4"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0"/>
          <w:szCs w:val="20"/>
          <w:color w:val="auto"/>
        </w:rPr>
        <w:t>pursuant to Section 7.06(b)(10) or (20))) of the Equity Interests of an Unrestricted Subsidiary, or</w:t>
      </w:r>
    </w:p>
    <w:p>
      <w:pPr>
        <w:spacing w:after="0" w:line="216" w:lineRule="exact"/>
        <w:rPr>
          <w:sz w:val="20"/>
          <w:szCs w:val="20"/>
          <w:color w:val="auto"/>
        </w:rPr>
      </w:pPr>
    </w:p>
    <w:p>
      <w:pPr>
        <w:jc w:val="both"/>
        <w:ind w:left="1360" w:right="740" w:firstLine="743"/>
        <w:spacing w:after="0" w:line="246" w:lineRule="auto"/>
        <w:tabs>
          <w:tab w:leader="none" w:pos="2610" w:val="left"/>
        </w:tabs>
        <w:numPr>
          <w:ilvl w:val="2"/>
          <w:numId w:val="224"/>
        </w:numPr>
        <w:rPr>
          <w:rFonts w:ascii="Arial" w:cs="Arial" w:eastAsia="Arial" w:hAnsi="Arial"/>
          <w:sz w:val="20"/>
          <w:szCs w:val="20"/>
          <w:color w:val="auto"/>
        </w:rPr>
      </w:pPr>
      <w:r>
        <w:rPr>
          <w:rFonts w:ascii="Arial" w:cs="Arial" w:eastAsia="Arial" w:hAnsi="Arial"/>
          <w:sz w:val="20"/>
          <w:szCs w:val="20"/>
          <w:color w:val="auto"/>
        </w:rPr>
        <w:t xml:space="preserve">any distribution or dividend from an Unrestricted Subsidiary (to the extent such distribution or dividend is not already included in the calculation of Consolidated Net Income and other than the amount of any Permitted Investment or any Restricted Investment made pursuant to Section 7.06(b)(20)), </w:t>
      </w:r>
      <w:r>
        <w:rPr>
          <w:rFonts w:ascii="Arial" w:cs="Arial" w:eastAsia="Arial" w:hAnsi="Arial"/>
          <w:sz w:val="20"/>
          <w:szCs w:val="20"/>
          <w:i w:val="1"/>
          <w:iCs w:val="1"/>
          <w:color w:val="auto"/>
        </w:rPr>
        <w:t>plus</w:t>
      </w:r>
    </w:p>
    <w:p>
      <w:pPr>
        <w:spacing w:after="0" w:line="191" w:lineRule="exact"/>
        <w:rPr>
          <w:rFonts w:ascii="Arial" w:cs="Arial" w:eastAsia="Arial" w:hAnsi="Arial"/>
          <w:sz w:val="20"/>
          <w:szCs w:val="20"/>
          <w:color w:val="auto"/>
        </w:rPr>
      </w:pPr>
    </w:p>
    <w:p>
      <w:pPr>
        <w:jc w:val="both"/>
        <w:ind w:left="600" w:firstLine="754"/>
        <w:spacing w:after="0" w:line="276" w:lineRule="auto"/>
        <w:tabs>
          <w:tab w:leader="none" w:pos="179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in the event any Unrestricted Subsidiary of the Borrower has been redesignated as a Restricted Subsidiary or has been merged or consolidated with or into, or transfers or conveys its assets to, or is liquidated into, the Borrower or a Restricted Subsidiary of the Borrower, in each case after the Closing Date, the Fair Market Value of the Investment of the Borrower in such Unrestricted Subsidiary at the time of such redesignation, combination or transfer (or of the assets transferred or conveyed, as applicable) (other than in each case to the extent that the designation of such Subsidiary as an Unrestricted Subsidiary was made pursuant to Section 7.06(b)(20) or constituted a Permitted Investment), </w:t>
      </w:r>
      <w:r>
        <w:rPr>
          <w:rFonts w:ascii="Arial" w:cs="Arial" w:eastAsia="Arial" w:hAnsi="Arial"/>
          <w:sz w:val="18"/>
          <w:szCs w:val="18"/>
          <w:i w:val="1"/>
          <w:iCs w:val="1"/>
          <w:color w:val="auto"/>
        </w:rPr>
        <w:t>plus</w:t>
      </w:r>
    </w:p>
    <w:p>
      <w:pPr>
        <w:spacing w:after="0" w:line="164" w:lineRule="exact"/>
        <w:rPr>
          <w:rFonts w:ascii="Arial" w:cs="Arial" w:eastAsia="Arial" w:hAnsi="Arial"/>
          <w:sz w:val="18"/>
          <w:szCs w:val="18"/>
          <w:color w:val="auto"/>
        </w:rPr>
      </w:pPr>
    </w:p>
    <w:p>
      <w:pPr>
        <w:ind w:left="1800" w:hanging="446"/>
        <w:spacing w:after="0"/>
        <w:tabs>
          <w:tab w:leader="none" w:pos="180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the aggregate amount of Retained Declined Proceeds since the Closing Date.</w:t>
      </w:r>
    </w:p>
    <w:p>
      <w:pPr>
        <w:spacing w:after="0" w:line="215" w:lineRule="exact"/>
        <w:rPr>
          <w:rFonts w:ascii="Arial" w:cs="Arial" w:eastAsia="Arial" w:hAnsi="Arial"/>
          <w:sz w:val="20"/>
          <w:szCs w:val="20"/>
          <w:color w:val="auto"/>
        </w:rPr>
      </w:pPr>
    </w:p>
    <w:p>
      <w:pPr>
        <w:ind w:left="1080" w:hanging="475"/>
        <w:spacing w:after="0"/>
        <w:tabs>
          <w:tab w:leader="none" w:pos="10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Notwithstanding the foregoing, Section 7.06(a) will not prohibit:</w:t>
      </w:r>
    </w:p>
    <w:p>
      <w:pPr>
        <w:spacing w:after="0" w:line="216" w:lineRule="exact"/>
        <w:rPr>
          <w:sz w:val="20"/>
          <w:szCs w:val="20"/>
          <w:color w:val="auto"/>
        </w:rPr>
      </w:pPr>
    </w:p>
    <w:p>
      <w:pPr>
        <w:jc w:val="both"/>
        <w:ind w:left="-140" w:firstLine="745"/>
        <w:spacing w:after="0" w:line="246" w:lineRule="auto"/>
        <w:tabs>
          <w:tab w:leader="none" w:pos="106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payment of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 and assuming for purposes of this provision that the delivery of such redemption notice is a Restricted Payment;</w:t>
      </w:r>
    </w:p>
    <w:p>
      <w:pPr>
        <w:spacing w:after="0" w:line="191" w:lineRule="exact"/>
        <w:rPr>
          <w:rFonts w:ascii="Arial" w:cs="Arial" w:eastAsia="Arial" w:hAnsi="Arial"/>
          <w:sz w:val="20"/>
          <w:szCs w:val="20"/>
          <w:color w:val="auto"/>
        </w:rPr>
      </w:pPr>
    </w:p>
    <w:p>
      <w:pPr>
        <w:jc w:val="both"/>
        <w:ind w:left="-140" w:firstLine="745"/>
        <w:spacing w:after="0" w:line="244" w:lineRule="auto"/>
        <w:tabs>
          <w:tab w:leader="none" w:pos="1061" w:val="left"/>
        </w:tabs>
        <w:numPr>
          <w:ilvl w:val="0"/>
          <w:numId w:val="227"/>
        </w:numPr>
        <w:rPr>
          <w:rFonts w:ascii="Arial" w:cs="Arial" w:eastAsia="Arial" w:hAnsi="Arial"/>
          <w:sz w:val="20"/>
          <w:szCs w:val="20"/>
          <w:color w:val="auto"/>
        </w:rPr>
      </w:pPr>
      <w:r>
        <w:rPr>
          <w:rFonts w:ascii="Arial" w:cs="Arial" w:eastAsia="Arial" w:hAnsi="Arial"/>
          <w:sz w:val="20"/>
          <w:szCs w:val="20"/>
          <w:color w:val="auto"/>
        </w:rPr>
        <w:t>(x) the redemption, repurchase, retirement or other acquisition of any Equity Interests (“</w:t>
      </w:r>
      <w:r>
        <w:rPr>
          <w:rFonts w:ascii="Arial" w:cs="Arial" w:eastAsia="Arial" w:hAnsi="Arial"/>
          <w:sz w:val="20"/>
          <w:szCs w:val="20"/>
          <w:b w:val="1"/>
          <w:bCs w:val="1"/>
          <w:i w:val="1"/>
          <w:iCs w:val="1"/>
          <w:color w:val="auto"/>
        </w:rPr>
        <w:t>Retired Capital Stock</w:t>
      </w:r>
      <w:r>
        <w:rPr>
          <w:rFonts w:ascii="Arial" w:cs="Arial" w:eastAsia="Arial" w:hAnsi="Arial"/>
          <w:sz w:val="20"/>
          <w:szCs w:val="20"/>
          <w:color w:val="auto"/>
        </w:rPr>
        <w:t>”) of the Borrower or Holdings or any other direct or indirect parent of the Borrower, or Junior Financing of the Borrower or any Guarantor, in exchange for, or out of the proceeds of the issuance or sale of, Equity Interests of the Borrower or Holdings or any other direct or indirect parent of the Borrower or contributions to the equity capital of the Borrower (other than Excluded Equity) (collectively, including any such contributions, “</w:t>
      </w:r>
      <w:r>
        <w:rPr>
          <w:rFonts w:ascii="Arial" w:cs="Arial" w:eastAsia="Arial" w:hAnsi="Arial"/>
          <w:sz w:val="20"/>
          <w:szCs w:val="20"/>
          <w:b w:val="1"/>
          <w:bCs w:val="1"/>
          <w:i w:val="1"/>
          <w:iCs w:val="1"/>
          <w:color w:val="auto"/>
        </w:rPr>
        <w:t>Refunding Capital Stock</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1360" w:right="740" w:firstLine="743"/>
        <w:spacing w:after="0" w:line="246" w:lineRule="auto"/>
        <w:tabs>
          <w:tab w:leader="none" w:pos="2548"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declaration and payment of accrued dividends on the Retired Capital Stock out of the proceeds of the issuance or sale (other than to a Subsidiary of the Borrower or to an employee stock ownership plan or any trust established by the Borrower or any of its Subsidiaries) of Refunding Capital Stock; and</w:t>
      </w:r>
    </w:p>
    <w:p>
      <w:pPr>
        <w:spacing w:after="0" w:line="191" w:lineRule="exact"/>
        <w:rPr>
          <w:rFonts w:ascii="Arial" w:cs="Arial" w:eastAsia="Arial" w:hAnsi="Arial"/>
          <w:sz w:val="20"/>
          <w:szCs w:val="20"/>
          <w:color w:val="auto"/>
        </w:rPr>
      </w:pPr>
    </w:p>
    <w:p>
      <w:pPr>
        <w:jc w:val="both"/>
        <w:ind w:left="1360" w:right="740" w:firstLine="743"/>
        <w:spacing w:after="0" w:line="244" w:lineRule="auto"/>
        <w:tabs>
          <w:tab w:leader="none" w:pos="2564" w:val="left"/>
        </w:tabs>
        <w:numPr>
          <w:ilvl w:val="1"/>
          <w:numId w:val="227"/>
        </w:numPr>
        <w:rPr>
          <w:rFonts w:ascii="Arial" w:cs="Arial" w:eastAsia="Arial" w:hAnsi="Arial"/>
          <w:sz w:val="20"/>
          <w:szCs w:val="20"/>
          <w:color w:val="auto"/>
        </w:rPr>
      </w:pPr>
      <w:r>
        <w:rPr>
          <w:rFonts w:ascii="Arial" w:cs="Arial" w:eastAsia="Arial" w:hAnsi="Arial"/>
          <w:sz w:val="20"/>
          <w:szCs w:val="20"/>
          <w:color w:val="auto"/>
        </w:rPr>
        <w:t>if immediately prior to the retirement of the Retired Capital Stock, the declaration and payment of dividends thereon was permitted under this covenant and has not been made as of such time (the “</w:t>
      </w:r>
      <w:r>
        <w:rPr>
          <w:rFonts w:ascii="Arial" w:cs="Arial" w:eastAsia="Arial" w:hAnsi="Arial"/>
          <w:sz w:val="20"/>
          <w:szCs w:val="20"/>
          <w:b w:val="1"/>
          <w:bCs w:val="1"/>
          <w:i w:val="1"/>
          <w:iCs w:val="1"/>
          <w:color w:val="auto"/>
        </w:rPr>
        <w:t>Unpaid Amount</w:t>
      </w:r>
      <w:r>
        <w:rPr>
          <w:rFonts w:ascii="Arial" w:cs="Arial" w:eastAsia="Arial" w:hAnsi="Arial"/>
          <w:sz w:val="20"/>
          <w:szCs w:val="20"/>
          <w:color w:val="auto"/>
        </w:rPr>
        <w:t>”), the declaration and payment of dividends on the Refunding Capital Stock (other than Refunding Capital Stock the proceeds of which were used to redeem, repurchase, retire or otherwise acquire any Equity</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365125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1220" w:top="514" w:right="339" w:bottom="1440" w:gutter="0" w:footer="0" w:header="0"/>
        </w:sectPr>
      </w:pPr>
    </w:p>
    <w:bookmarkStart w:id="205" w:name="page206"/>
    <w:bookmarkEnd w:id="205"/>
    <w:p>
      <w:pPr>
        <w:ind w:left="1140" w:right="740"/>
        <w:spacing w:after="0" w:line="260" w:lineRule="auto"/>
        <w:rPr>
          <w:sz w:val="20"/>
          <w:szCs w:val="20"/>
          <w:color w:val="auto"/>
        </w:rPr>
      </w:pPr>
      <w:r>
        <w:rPr>
          <w:rFonts w:ascii="Arial" w:cs="Arial" w:eastAsia="Arial" w:hAnsi="Arial"/>
          <w:sz w:val="20"/>
          <w:szCs w:val="20"/>
          <w:color w:val="auto"/>
        </w:rPr>
        <w:t>Interests of the Borrower or Holdings or any other direct or indirect parent) in an aggregate amount no greater than the Unpaid Amount;</w:t>
      </w:r>
    </w:p>
    <w:p>
      <w:pPr>
        <w:spacing w:after="0" w:line="177" w:lineRule="exact"/>
        <w:rPr>
          <w:sz w:val="20"/>
          <w:szCs w:val="20"/>
          <w:color w:val="auto"/>
        </w:rPr>
      </w:pPr>
    </w:p>
    <w:p>
      <w:pPr>
        <w:jc w:val="both"/>
        <w:ind w:left="-360" w:firstLine="745"/>
        <w:spacing w:after="0" w:line="259" w:lineRule="auto"/>
        <w:tabs>
          <w:tab w:leader="none" w:pos="83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 the prepayment, redemption, defeasance, repurchase or other acquisition or retirement of Junior Financing of the Borrower or any Subsidiary Guarantor made by exchange for, or out of the proceeds of the Incurrence of, Refinancing Indebtedness thereof, and (b) the prepayment, redemption, purchase, defeasance or other satisfaction of any Indebtedness, Disqualified Stock or Preferred Stock (1) existing at the time a Person becomes a Restricted Subsidiary or (2) assumed in connection with the acquisition of assets, in each case so long as such Indebtedness, Disqualified Stock or Preferred Stock was not incurred in contemplation of, such Person becoming a Restricted Subsidiary or such acquisition;</w:t>
      </w:r>
    </w:p>
    <w:p>
      <w:pPr>
        <w:spacing w:after="0" w:line="178" w:lineRule="exact"/>
        <w:rPr>
          <w:rFonts w:ascii="Arial" w:cs="Arial" w:eastAsia="Arial" w:hAnsi="Arial"/>
          <w:sz w:val="19"/>
          <w:szCs w:val="19"/>
          <w:color w:val="auto"/>
        </w:rPr>
      </w:pPr>
    </w:p>
    <w:p>
      <w:pPr>
        <w:jc w:val="both"/>
        <w:ind w:left="-360" w:firstLine="745"/>
        <w:spacing w:after="0" w:line="270" w:lineRule="auto"/>
        <w:tabs>
          <w:tab w:leader="none" w:pos="84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purchase, retirement, redemption or other acquisition (or Restricted Payments to the Borrower or any direct or indirect parent of the Borrower to finance any such purchase, retirement, redemption or other acquisition) for value of Equity Interests (including related stock appreciation rights or similar securities) of the Borrower or any direct or indirect parent of the Borrower held directly or indirectly by any future, present or former employee, officer, director, manager, consultant or independent contractor of the Borrower or any direct or indirect parent of the Borrower or any Subsidiary of the Borrower or their estates, heirs, family members, spouses or former spouses or permitted transferees (including for all purposes of this clause (4), Equity Interests held by any entity whose Equity Interests are held by any such future, present or former employee, officer, director, manager, consultant or independent contractor or their estates, heirs, family members, spouses or former spouses or permitted transferees) pursuant to any management equity plan or stock option plan or any other management or employee benefit plan or other agreement or arrangement or any stock subscription or shareholder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aggregate amounts paid under this clause (4) shall not exceed $45,000,000 in any calendar year (in each case, with unused amounts in any calendar year being permitted to be carried over for the next two succeeding calendar years);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in any calendar year may be increased by an amount not to exceed:</w:t>
      </w:r>
    </w:p>
    <w:p>
      <w:pPr>
        <w:spacing w:after="0" w:line="172" w:lineRule="exact"/>
        <w:rPr>
          <w:rFonts w:ascii="Arial" w:cs="Arial" w:eastAsia="Arial" w:hAnsi="Arial"/>
          <w:sz w:val="18"/>
          <w:szCs w:val="18"/>
          <w:color w:val="auto"/>
        </w:rPr>
      </w:pPr>
    </w:p>
    <w:p>
      <w:pPr>
        <w:jc w:val="both"/>
        <w:ind w:left="-360" w:firstLine="1494"/>
        <w:spacing w:after="0" w:line="276" w:lineRule="auto"/>
        <w:tabs>
          <w:tab w:leader="none" w:pos="163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cash proceeds received by the Borrower or any of its Restricted Subsidiaries from the sale of Equity Interests (other than Excluded Equity) of the Borrower or Holdings or any other direct or indirect parent of the Borrower (to the extent contributed to the Borrower) to members of management, directors or consultants of the Borrower and its Restricted Subsidiaries or Holdings or any other direct or indirect parent of the Borrower that occurs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cash proceeds utilized for any such repurchase, retirement, other acquisition or dividend will not increase the amount available for Restricted Payments under clause (iii) of the first paragraph of Section 7.06); </w:t>
      </w:r>
      <w:r>
        <w:rPr>
          <w:rFonts w:ascii="Arial" w:cs="Arial" w:eastAsia="Arial" w:hAnsi="Arial"/>
          <w:sz w:val="18"/>
          <w:szCs w:val="18"/>
          <w:i w:val="1"/>
          <w:iCs w:val="1"/>
          <w:color w:val="auto"/>
        </w:rPr>
        <w:t>plus</w:t>
      </w:r>
    </w:p>
    <w:p>
      <w:pPr>
        <w:spacing w:after="0" w:line="164" w:lineRule="exact"/>
        <w:rPr>
          <w:rFonts w:ascii="Arial" w:cs="Arial" w:eastAsia="Arial" w:hAnsi="Arial"/>
          <w:sz w:val="18"/>
          <w:szCs w:val="18"/>
          <w:color w:val="auto"/>
        </w:rPr>
      </w:pPr>
    </w:p>
    <w:p>
      <w:pPr>
        <w:jc w:val="both"/>
        <w:ind w:left="-360" w:firstLine="1494"/>
        <w:spacing w:after="0" w:line="250" w:lineRule="auto"/>
        <w:tabs>
          <w:tab w:leader="none" w:pos="1637" w:val="left"/>
        </w:tabs>
        <w:numPr>
          <w:ilvl w:val="1"/>
          <w:numId w:val="228"/>
        </w:numPr>
        <w:rPr>
          <w:rFonts w:ascii="Arial" w:cs="Arial" w:eastAsia="Arial" w:hAnsi="Arial"/>
          <w:sz w:val="20"/>
          <w:szCs w:val="20"/>
          <w:color w:val="auto"/>
        </w:rPr>
      </w:pPr>
      <w:r>
        <w:rPr>
          <w:rFonts w:ascii="Arial" w:cs="Arial" w:eastAsia="Arial" w:hAnsi="Arial"/>
          <w:sz w:val="20"/>
          <w:szCs w:val="20"/>
          <w:color w:val="auto"/>
        </w:rPr>
        <w:t xml:space="preserve">the cash proceeds of key man life insurance policies received by the Borrower or Holdings or any other direct or indirect parent of the Borrower (to the extent contributed to the Borrower) and its Restricted Subsidiaries after the Closing Date; </w:t>
      </w:r>
      <w:r>
        <w:rPr>
          <w:rFonts w:ascii="Arial" w:cs="Arial" w:eastAsia="Arial" w:hAnsi="Arial"/>
          <w:sz w:val="20"/>
          <w:szCs w:val="20"/>
          <w:i w:val="1"/>
          <w:iCs w:val="1"/>
          <w:color w:val="auto"/>
        </w:rPr>
        <w:t>plus</w:t>
      </w:r>
    </w:p>
    <w:p>
      <w:pPr>
        <w:spacing w:after="0" w:line="185" w:lineRule="exact"/>
        <w:rPr>
          <w:rFonts w:ascii="Arial" w:cs="Arial" w:eastAsia="Arial" w:hAnsi="Arial"/>
          <w:sz w:val="20"/>
          <w:szCs w:val="20"/>
          <w:color w:val="auto"/>
        </w:rPr>
      </w:pPr>
    </w:p>
    <w:p>
      <w:pPr>
        <w:jc w:val="both"/>
        <w:ind w:left="-360" w:firstLine="1494"/>
        <w:spacing w:after="0" w:line="250" w:lineRule="auto"/>
        <w:tabs>
          <w:tab w:leader="none" w:pos="1498" w:val="left"/>
        </w:tabs>
        <w:numPr>
          <w:ilvl w:val="1"/>
          <w:numId w:val="228"/>
        </w:numPr>
        <w:rPr>
          <w:rFonts w:ascii="Arial" w:cs="Arial" w:eastAsia="Arial" w:hAnsi="Arial"/>
          <w:sz w:val="20"/>
          <w:szCs w:val="20"/>
          <w:color w:val="auto"/>
        </w:rPr>
      </w:pPr>
      <w:r>
        <w:rPr>
          <w:rFonts w:ascii="Arial" w:cs="Arial" w:eastAsia="Arial" w:hAnsi="Arial"/>
          <w:sz w:val="20"/>
          <w:szCs w:val="20"/>
          <w:color w:val="auto"/>
        </w:rPr>
        <w:t>the amount of any cash bonuses otherwise payable to employees, officers, directors, managers, consultants or independent contractors of the Borrower or its Restricted Subsidiaries or any direct or indirect parent of the Borrower that are foregone in return for the receipt of Equity Interests,</w:t>
      </w:r>
    </w:p>
    <w:p>
      <w:pPr>
        <w:spacing w:after="0" w:line="1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365125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14" w:right="339" w:bottom="1440" w:gutter="0" w:footer="0" w:header="0"/>
        </w:sectPr>
      </w:pPr>
    </w:p>
    <w:bookmarkStart w:id="206" w:name="page207"/>
    <w:bookmarkEnd w:id="206"/>
    <w:p>
      <w:pPr>
        <w:jc w:val="both"/>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may elect to apply all or any portion of the aggregate increase contemplated by clauses (i) and (ii) above in any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cancellation of Indebtedness owing to the Borrower or any Restricted Subsidiary from any future, current or former officer, director, employee, manager, consultant or independent contractor (or any permitted transferees thereof) of the Borrower or any of its Restricted Subsidiaries or any direct or indirect parent of the Borrower, in connection with a repurchase of Equity Interests of the Borrower or any direct or indirect parent of the Borrower from such Persons will not be deemed to constitute a Restricted Payment for purposes of this Section 7.06 or any other provisions of this Agreement;</w:t>
      </w:r>
    </w:p>
    <w:p>
      <w:pPr>
        <w:spacing w:after="0" w:line="178" w:lineRule="exact"/>
        <w:rPr>
          <w:sz w:val="20"/>
          <w:szCs w:val="20"/>
          <w:color w:val="auto"/>
        </w:rPr>
      </w:pPr>
    </w:p>
    <w:p>
      <w:pPr>
        <w:jc w:val="both"/>
        <w:ind w:left="380" w:firstLine="2"/>
        <w:spacing w:after="0" w:line="250" w:lineRule="auto"/>
        <w:tabs>
          <w:tab w:leader="none" w:pos="782"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declaration and payment of dividends or distributions to holders of any class or series of Disqualified Stock of the Borrower or any of its Restricted Subsidiaries and any Preferred Stock of any Restricted Subsidiaries issued or Incurred in accordance with Section 7.03;</w:t>
      </w:r>
    </w:p>
    <w:p>
      <w:pPr>
        <w:spacing w:after="0" w:line="77" w:lineRule="exact"/>
        <w:rPr>
          <w:rFonts w:ascii="Arial" w:cs="Arial" w:eastAsia="Arial" w:hAnsi="Arial"/>
          <w:sz w:val="20"/>
          <w:szCs w:val="20"/>
          <w:color w:val="auto"/>
        </w:rPr>
      </w:pPr>
    </w:p>
    <w:p>
      <w:pPr>
        <w:jc w:val="both"/>
        <w:ind w:left="380" w:firstLine="2"/>
        <w:spacing w:after="0" w:line="257" w:lineRule="auto"/>
        <w:tabs>
          <w:tab w:leader="none" w:pos="778"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the declaration and payment of dividends or distributions to holders of any class or series of Designated Preferred Stock (other than Disqualified Stock) and the declaration and payment of dividends to the Borrower or any direct or indirect parent of the Borrower, the proceeds of which will be used to fund the payment of dividends to holders of any class or series of Designated Preferred Stock (other than Disqualified Stock) of the Borrower or any direct or indirect parent of the Borrower issued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the Fixed Charge Coverage Ratio of the Borrower for the Test Period most recently ended prior to such date of determination (calculated on a Pro Forma Basis) is 2.00 to 1.00 or greater and (B) the aggregate amount of dividends declared and paid pursuant to this clause (6) does not exceed the net cash proceeds actually received by the Borrower from the sale (or the contribution of the net cash proceeds from the sale) of Designated Preferred Stock;</w:t>
      </w:r>
    </w:p>
    <w:p>
      <w:pPr>
        <w:spacing w:after="0" w:line="72" w:lineRule="exact"/>
        <w:rPr>
          <w:rFonts w:ascii="Arial" w:cs="Arial" w:eastAsia="Arial" w:hAnsi="Arial"/>
          <w:sz w:val="19"/>
          <w:szCs w:val="19"/>
          <w:color w:val="auto"/>
        </w:rPr>
      </w:pPr>
    </w:p>
    <w:p>
      <w:pPr>
        <w:jc w:val="both"/>
        <w:ind w:left="380" w:firstLine="2"/>
        <w:spacing w:after="0" w:line="282" w:lineRule="auto"/>
        <w:tabs>
          <w:tab w:leader="none" w:pos="79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Restricted Payments made in connection with the consummation of the Transactions or as contemplated by the Acquisition Agreement, including any dividends, payments or loans made to the Borrower or any direct or indirect parent of the Borrower to enable it to make any such payments or any future payments to employees of the Borrower, any Restricted Subsidiary of the Borrower or any direct or indirect parent of the Borrower under agreements entered into in connection with the Transactions;</w:t>
      </w:r>
    </w:p>
    <w:p>
      <w:pPr>
        <w:spacing w:after="0" w:line="53" w:lineRule="exact"/>
        <w:rPr>
          <w:rFonts w:ascii="Arial" w:cs="Arial" w:eastAsia="Arial" w:hAnsi="Arial"/>
          <w:sz w:val="18"/>
          <w:szCs w:val="18"/>
          <w:color w:val="auto"/>
        </w:rPr>
      </w:pPr>
    </w:p>
    <w:p>
      <w:pPr>
        <w:jc w:val="both"/>
        <w:ind w:left="380" w:firstLine="2"/>
        <w:spacing w:after="0" w:line="259" w:lineRule="auto"/>
        <w:tabs>
          <w:tab w:leader="none" w:pos="784"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declaration and payment of dividends on the Borrower’s common stock (or the payment of dividends to Holdings or any other direct or indirect parent of the Borrower to fund the payment by Holdings or any other direct or indirect parent of the Borrower of dividends on such entity’s common stock) of up to 6.0% per annum of the net cash proceeds received by the Borrower from any public offering of Equity Interests or contributed to the Borrower by Holdings or any other direct or indirect parent of the Borrower from any public offering of Equity Interests (other than public offerings with respect to Equity Interests registered on Form S-4 or S-8 or successor form thereto and other than any public sale constituting an Excluded Contribution);</w:t>
      </w:r>
    </w:p>
    <w:p>
      <w:pPr>
        <w:spacing w:after="0" w:line="70" w:lineRule="exact"/>
        <w:rPr>
          <w:rFonts w:ascii="Arial" w:cs="Arial" w:eastAsia="Arial" w:hAnsi="Arial"/>
          <w:sz w:val="19"/>
          <w:szCs w:val="19"/>
          <w:color w:val="auto"/>
        </w:rPr>
      </w:pPr>
    </w:p>
    <w:p>
      <w:pPr>
        <w:ind w:left="780" w:hanging="398"/>
        <w:spacing w:after="0"/>
        <w:tabs>
          <w:tab w:leader="none" w:pos="78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Restricted Payments that are made with Excluded Contributions;</w:t>
      </w:r>
    </w:p>
    <w:p>
      <w:pPr>
        <w:spacing w:after="0" w:line="107" w:lineRule="exact"/>
        <w:rPr>
          <w:rFonts w:ascii="Arial" w:cs="Arial" w:eastAsia="Arial" w:hAnsi="Arial"/>
          <w:sz w:val="20"/>
          <w:szCs w:val="20"/>
          <w:color w:val="auto"/>
        </w:rPr>
      </w:pPr>
    </w:p>
    <w:p>
      <w:pPr>
        <w:ind w:left="380" w:firstLine="2"/>
        <w:spacing w:after="0" w:line="260" w:lineRule="auto"/>
        <w:tabs>
          <w:tab w:leader="none" w:pos="77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Restricted Payments in an aggregate amount taken together with all other Restricted Payments made pursuant to this clause (10) not to exceed the greater of (x) $600,000,000 and (y) 31.0% of Four Quarter Consolidated EBITDA;</w:t>
      </w:r>
    </w:p>
    <w:p>
      <w:pPr>
        <w:spacing w:after="0" w:line="68" w:lineRule="exact"/>
        <w:rPr>
          <w:rFonts w:ascii="Arial" w:cs="Arial" w:eastAsia="Arial" w:hAnsi="Arial"/>
          <w:sz w:val="20"/>
          <w:szCs w:val="20"/>
          <w:color w:val="auto"/>
        </w:rPr>
      </w:pPr>
    </w:p>
    <w:p>
      <w:pPr>
        <w:jc w:val="both"/>
        <w:ind w:left="380" w:firstLine="2"/>
        <w:spacing w:after="0" w:line="263" w:lineRule="auto"/>
        <w:tabs>
          <w:tab w:leader="none" w:pos="804"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declaration and payment of dividends or distributions to the Closing Date Preferred Equity Purchaser or any holder of the Closing Date Preferred Equity pursuant to the terms of the Closing Date Preferred Equity and the declaration and payment of dividends to the Borrower or any direct or indirect parent of the Borrower, the proceeds of which will be used to fund the payment of dividends to the Closing Date Preferred Equity Purchaser or any holder of the Closing Date Preferred Equity pursuant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07" w:name="page208"/>
    <w:bookmarkEnd w:id="207"/>
    <w:p>
      <w:pPr>
        <w:jc w:val="both"/>
        <w:spacing w:after="0" w:line="250" w:lineRule="auto"/>
        <w:rPr>
          <w:sz w:val="20"/>
          <w:szCs w:val="20"/>
          <w:color w:val="auto"/>
        </w:rPr>
      </w:pPr>
      <w:r>
        <w:rPr>
          <w:rFonts w:ascii="Arial" w:cs="Arial" w:eastAsia="Arial" w:hAnsi="Arial"/>
          <w:sz w:val="20"/>
          <w:szCs w:val="20"/>
          <w:color w:val="auto"/>
        </w:rPr>
        <w:t xml:space="preserve">to the terms of the Closing Date Preferred Equity;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aggregate amount of dividends declared and paid pursuant to this clause (11) does not exceed the aggregate amount of dividends that may be paid in cash pursuant to the terms of the definitive documentation for the Closing Date Preferred Equity in effect on the Closing Date;</w:t>
      </w:r>
    </w:p>
    <w:p>
      <w:pPr>
        <w:spacing w:after="0" w:line="78" w:lineRule="exact"/>
        <w:rPr>
          <w:sz w:val="20"/>
          <w:szCs w:val="20"/>
          <w:color w:val="auto"/>
        </w:rPr>
      </w:pPr>
    </w:p>
    <w:p>
      <w:pPr>
        <w:jc w:val="both"/>
        <w:ind w:firstLine="2"/>
        <w:spacing w:after="0" w:line="255" w:lineRule="auto"/>
        <w:tabs>
          <w:tab w:leader="none" w:pos="397"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for so long as the Borrower is a member of a group filing a consolidated or combined income Tax return with Holdings or any other direct or indirect parent of the Borrower, the payment of dividends or other distributions to Holdings or such other direct or indirect parent of the Borrower in amounts required for Holdings or such other parent company to pay federal, state and local income Taxes imposed on such entity to the extent such income Taxes are attributable to the income of the Borrower and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the amount of such payments in respect of any Tax year does not, in the aggregate, exceed the amount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and its Subsidiaries that are members of such consolidated or combined group would have been required to pay in respect of federal, state and local income Taxes (as the case may be) in respect of such year if the Borrower and its applicable Subsidiaries paid such income Taxes directly as a separate stand-alone consolidated or combined income Tax group (reduced by any such Taxes paid directly by the Borrower or any Subsidiary) and (ii) the permitted payment pursuant to this clause (12) with respect to any Taxes attributable to income of any Unrestricted Subsidiary for such taxable year shall be limited to the amount actually paid with respect to such period by such Unrestricted Subsidiary to the Borrower or any Restricted Subsidiary for the purposes of paying such consolidated, combined or similar Taxes;</w:t>
      </w:r>
    </w:p>
    <w:p>
      <w:pPr>
        <w:spacing w:after="0" w:line="76" w:lineRule="exact"/>
        <w:rPr>
          <w:rFonts w:ascii="Arial" w:cs="Arial" w:eastAsia="Arial" w:hAnsi="Arial"/>
          <w:sz w:val="19"/>
          <w:szCs w:val="19"/>
          <w:color w:val="auto"/>
        </w:rPr>
      </w:pPr>
    </w:p>
    <w:p>
      <w:pPr>
        <w:ind w:firstLine="2"/>
        <w:spacing w:after="0" w:line="260" w:lineRule="auto"/>
        <w:tabs>
          <w:tab w:leader="none" w:pos="405"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declaration and payment of dividends, other distributions or other amounts to, or the making of loans to Holdings or any other direct or indirect parent of the Borrower, in the amount required for such entity to, if applicable:</w:t>
      </w:r>
    </w:p>
    <w:p>
      <w:pPr>
        <w:spacing w:after="0" w:line="68" w:lineRule="exact"/>
        <w:rPr>
          <w:rFonts w:ascii="Arial" w:cs="Arial" w:eastAsia="Arial" w:hAnsi="Arial"/>
          <w:sz w:val="20"/>
          <w:szCs w:val="20"/>
          <w:color w:val="auto"/>
        </w:rPr>
      </w:pPr>
    </w:p>
    <w:p>
      <w:pPr>
        <w:jc w:val="both"/>
        <w:ind w:left="380" w:firstLine="1494"/>
        <w:spacing w:after="0" w:line="242" w:lineRule="auto"/>
        <w:tabs>
          <w:tab w:leader="none" w:pos="2393" w:val="left"/>
        </w:tabs>
        <w:numPr>
          <w:ilvl w:val="2"/>
          <w:numId w:val="230"/>
        </w:numPr>
        <w:rPr>
          <w:rFonts w:ascii="Arial" w:cs="Arial" w:eastAsia="Arial" w:hAnsi="Arial"/>
          <w:sz w:val="20"/>
          <w:szCs w:val="20"/>
          <w:color w:val="auto"/>
        </w:rPr>
      </w:pPr>
      <w:r>
        <w:rPr>
          <w:rFonts w:ascii="Arial" w:cs="Arial" w:eastAsia="Arial" w:hAnsi="Arial"/>
          <w:sz w:val="20"/>
          <w:szCs w:val="20"/>
          <w:color w:val="auto"/>
        </w:rPr>
        <w:t>pay amounts equal to the amounts required for Holdings or any other direct or indirect parent of the Borrower to pay fees and expenses (including franchise or similar Taxes required to maintain its corporate existence), customary salary, bonus and other benefits payable to, and indemnities provided on behalf of, officers, employees, directors, managers, consultants or independent contractors of Holdings or any other direct or indirect parent of the Borrower, if applicable, and general corporate operating (including, without limitation, expenses related to auditing and other accounting matters) and overhead costs and expenses of the Borrower or any direct or indirect parent of the Borrower, if applicable, in each case to the extent such fees, expenses, salaries, bonuses, benefits and indemnities are attributable to the ownership or operation of the Borrower and its Subsidiaries;</w:t>
      </w:r>
    </w:p>
    <w:p>
      <w:pPr>
        <w:spacing w:after="0" w:line="196" w:lineRule="exact"/>
        <w:rPr>
          <w:rFonts w:ascii="Arial" w:cs="Arial" w:eastAsia="Arial" w:hAnsi="Arial"/>
          <w:sz w:val="20"/>
          <w:szCs w:val="20"/>
          <w:color w:val="auto"/>
        </w:rPr>
      </w:pPr>
    </w:p>
    <w:p>
      <w:pPr>
        <w:jc w:val="both"/>
        <w:ind w:left="380" w:firstLine="1494"/>
        <w:spacing w:after="0" w:line="244" w:lineRule="auto"/>
        <w:tabs>
          <w:tab w:leader="none" w:pos="2373" w:val="left"/>
        </w:tabs>
        <w:numPr>
          <w:ilvl w:val="2"/>
          <w:numId w:val="230"/>
        </w:numPr>
        <w:rPr>
          <w:rFonts w:ascii="Arial" w:cs="Arial" w:eastAsia="Arial" w:hAnsi="Arial"/>
          <w:sz w:val="20"/>
          <w:szCs w:val="20"/>
          <w:color w:val="auto"/>
        </w:rPr>
      </w:pPr>
      <w:r>
        <w:rPr>
          <w:rFonts w:ascii="Arial" w:cs="Arial" w:eastAsia="Arial" w:hAnsi="Arial"/>
          <w:sz w:val="20"/>
          <w:szCs w:val="20"/>
          <w:color w:val="auto"/>
        </w:rPr>
        <w:t>pay, if applicable, amounts equal to amounts required for Holdings or any direct or indirect parent of the Borrower to pay interest and/or principal on Indebtedness the proceeds of which have been contributed to the Borrower (other than as Excluded Equity) and that has been guaranteed by, and is otherwise considered Indebtedness of, the Borrower or any Restricted Subsidiary Incurred in accordance with Section 7.03 (except to the extent any such payments have otherwise been made by any such guarantor);</w:t>
      </w:r>
    </w:p>
    <w:p>
      <w:pPr>
        <w:spacing w:after="0" w:line="194" w:lineRule="exact"/>
        <w:rPr>
          <w:rFonts w:ascii="Arial" w:cs="Arial" w:eastAsia="Arial" w:hAnsi="Arial"/>
          <w:sz w:val="20"/>
          <w:szCs w:val="20"/>
          <w:color w:val="auto"/>
        </w:rPr>
      </w:pPr>
    </w:p>
    <w:p>
      <w:pPr>
        <w:ind w:left="2220" w:hanging="346"/>
        <w:spacing w:after="0"/>
        <w:tabs>
          <w:tab w:leader="none" w:pos="222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pay fees and expenses incurred by Holdings or any other direct or indirect parent of the Borrower related to</w:t>
      </w:r>
    </w:p>
    <w:p>
      <w:pPr>
        <w:spacing w:after="0" w:line="38" w:lineRule="exact"/>
        <w:rPr>
          <w:rFonts w:ascii="Arial" w:cs="Arial" w:eastAsia="Arial" w:hAnsi="Arial"/>
          <w:sz w:val="18"/>
          <w:szCs w:val="18"/>
          <w:color w:val="auto"/>
        </w:rPr>
      </w:pPr>
    </w:p>
    <w:p>
      <w:pPr>
        <w:jc w:val="both"/>
        <w:ind w:left="380" w:hanging="3"/>
        <w:spacing w:after="0"/>
        <w:tabs>
          <w:tab w:leader="none" w:pos="640" w:val="left"/>
        </w:tabs>
        <w:numPr>
          <w:ilvl w:val="1"/>
          <w:numId w:val="230"/>
        </w:numPr>
        <w:rPr>
          <w:rFonts w:ascii="Arial" w:cs="Arial" w:eastAsia="Arial" w:hAnsi="Arial"/>
          <w:sz w:val="20"/>
          <w:szCs w:val="20"/>
          <w:color w:val="auto"/>
        </w:rPr>
      </w:pPr>
      <w:r>
        <w:rPr>
          <w:rFonts w:ascii="Arial" w:cs="Arial" w:eastAsia="Arial" w:hAnsi="Arial"/>
          <w:sz w:val="20"/>
          <w:szCs w:val="20"/>
          <w:color w:val="auto"/>
        </w:rPr>
        <w:t>the maintenance of such parent entity of its corporate or other entity existence and performance of its obligations under this Agreement and similar obligations under the ABL Credit Agreement and the Senior Notes, (ii) any unsuccessful equity or debt offering of such parent entity (or any debt or equity offering from which such parent does not receive any proceeds) and (iii) any equity or debt issuance, incurrence or offering, any disposition or acquisition or any investment transaction by the Borrower or any of its Restricted Subsidiaries (or any</w:t>
      </w:r>
    </w:p>
    <w:p>
      <w:pPr>
        <w:spacing w:after="0" w:line="18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208" w:name="page209"/>
    <w:bookmarkEnd w:id="208"/>
    <w:p>
      <w:pPr>
        <w:ind w:left="380"/>
        <w:spacing w:after="0" w:line="260" w:lineRule="auto"/>
        <w:rPr>
          <w:sz w:val="20"/>
          <w:szCs w:val="20"/>
          <w:color w:val="auto"/>
        </w:rPr>
      </w:pPr>
      <w:r>
        <w:rPr>
          <w:rFonts w:ascii="Arial" w:cs="Arial" w:eastAsia="Arial" w:hAnsi="Arial"/>
          <w:sz w:val="20"/>
          <w:szCs w:val="20"/>
          <w:color w:val="auto"/>
        </w:rPr>
        <w:t>acquisition of or investment in any business, assets or property that will be contributed to the Borrower or any of its Restricted Subsidiaries as part of the same or a related transaction) permitted by this Agreement;</w:t>
      </w:r>
    </w:p>
    <w:p>
      <w:pPr>
        <w:spacing w:after="0" w:line="177" w:lineRule="exact"/>
        <w:rPr>
          <w:sz w:val="20"/>
          <w:szCs w:val="20"/>
          <w:color w:val="auto"/>
        </w:rPr>
      </w:pPr>
    </w:p>
    <w:p>
      <w:pPr>
        <w:ind w:left="2200" w:hanging="326"/>
        <w:spacing w:after="0"/>
        <w:tabs>
          <w:tab w:leader="none" w:pos="220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380" w:firstLine="1494"/>
        <w:spacing w:after="0" w:line="276" w:lineRule="auto"/>
        <w:tabs>
          <w:tab w:leader="none" w:pos="238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make payments for the benefit of the Borrower or any of its Restricted Subsidiaries to the extent such payments could have been made by the Borrower or any of its Restricted Subsidiaries because such payments (x) (i) would not otherwise be Restricted Payments or (ii) would be Restricted Payments that would be permitted to be made by the Borrower or any of its Restricted Subsidiaries pursuant to this covenant: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 made pursuant to this clause (v)(x)(ii) shall, if applicable, reduce capacity under the Restricted Payment exception or basket that would have been utilized if such payment were made directly by the Borrower or such Restricted Subsidiary and (y) would be permitted by Section 6.19; and</w:t>
      </w:r>
    </w:p>
    <w:p>
      <w:pPr>
        <w:spacing w:after="0" w:line="164" w:lineRule="exact"/>
        <w:rPr>
          <w:rFonts w:ascii="Arial" w:cs="Arial" w:eastAsia="Arial" w:hAnsi="Arial"/>
          <w:sz w:val="18"/>
          <w:szCs w:val="18"/>
          <w:color w:val="auto"/>
        </w:rPr>
      </w:pPr>
    </w:p>
    <w:p>
      <w:pPr>
        <w:jc w:val="both"/>
        <w:ind w:left="380" w:firstLine="1494"/>
        <w:spacing w:after="0" w:line="273" w:lineRule="auto"/>
        <w:tabs>
          <w:tab w:leader="none" w:pos="223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make Restricted Payments to any direct or indirect parent of the Borrower to finance, or to any direct or indirect parent of the Borrower for the purpose of paying to any other direct or indirect parent of the Borrower to finance, any Investment that, if consummated by the Borrower or any of its Restricted Subsidiaries, would be a Permitted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Restricted Payment is made substantially concurrently with the closing of such Investment and (b) promptly following the closing thereof, such direct or indirect parent of the Borrower causes (i) all property acquired (whether assets or Equity Interests) to be contributed to the Borrower or any Restricted Subsidiary or (ii) the merger, consolidation or amalgamation (to the extent permitted by Section 7.04) of the Person formed or acquired into the Borrower or any Restricted Subsidiary in order to consummate such acquisition or Investment, in each case, in accordance with the requirements of Section 6.12;</w:t>
      </w:r>
    </w:p>
    <w:p>
      <w:pPr>
        <w:spacing w:after="0" w:line="168" w:lineRule="exact"/>
        <w:rPr>
          <w:rFonts w:ascii="Arial" w:cs="Arial" w:eastAsia="Arial" w:hAnsi="Arial"/>
          <w:sz w:val="18"/>
          <w:szCs w:val="18"/>
          <w:color w:val="auto"/>
        </w:rPr>
      </w:pPr>
    </w:p>
    <w:p>
      <w:pPr>
        <w:ind w:left="400" w:hanging="398"/>
        <w:spacing w:after="0"/>
        <w:tabs>
          <w:tab w:leader="none" w:pos="40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jc w:val="both"/>
        <w:ind w:firstLine="2"/>
        <w:spacing w:after="0" w:line="255" w:lineRule="auto"/>
        <w:tabs>
          <w:tab w:leader="none" w:pos="38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(i) repurchases of Equity Interests of the Borrower or any direct or indirect parent of the Borrower deemed to occur upon exercise of stock options or warrants if such Equity Interests represent a portion of the exercise price of such options or warrants, (ii) payments made or expected to be made by the Borrower or any Restricted Subsidiary in respect of withholding or similar taxes payable or expected to be payable by any future, present or former director, officer, employee, manager, consultant or independent contractor of the Borrower or any direct or indirect parent of the Borrower or any Subsidiary of the Borrower (or their respective Affiliates, estates or immediate family members) in connection with the exercise of stock options or the grant, vesting or delivery of Equity Interests of the Borrower or any direct or indirect parent of the Borrower and (iii) loans or advances to officers, directors, employees, managers, consultants and independent contractors of the Borrower or any direct or indirect parent of the Borrower or any Subsidiary of the Borrower in connection with such Person’s purchase of Equity Interests of the Borrower or any direct or indirect parent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cash is actually advanced pursuant to this subclause (iii) other than to pay taxes due in connection with such purchase, unless immediately repaid;</w:t>
      </w:r>
    </w:p>
    <w:p>
      <w:pPr>
        <w:spacing w:after="0" w:line="78" w:lineRule="exact"/>
        <w:rPr>
          <w:rFonts w:ascii="Arial" w:cs="Arial" w:eastAsia="Arial" w:hAnsi="Arial"/>
          <w:sz w:val="19"/>
          <w:szCs w:val="19"/>
          <w:color w:val="auto"/>
        </w:rPr>
      </w:pPr>
    </w:p>
    <w:p>
      <w:pPr>
        <w:ind w:firstLine="2"/>
        <w:spacing w:after="0" w:line="260" w:lineRule="auto"/>
        <w:tabs>
          <w:tab w:leader="none" w:pos="402" w:val="left"/>
        </w:tabs>
        <w:numPr>
          <w:ilvl w:val="0"/>
          <w:numId w:val="232"/>
        </w:numPr>
        <w:rPr>
          <w:rFonts w:ascii="Arial" w:cs="Arial" w:eastAsia="Arial" w:hAnsi="Arial"/>
          <w:sz w:val="20"/>
          <w:szCs w:val="20"/>
          <w:color w:val="auto"/>
        </w:rPr>
      </w:pPr>
      <w:r>
        <w:rPr>
          <w:rFonts w:ascii="Arial" w:cs="Arial" w:eastAsia="Arial" w:hAnsi="Arial"/>
          <w:sz w:val="20"/>
          <w:szCs w:val="20"/>
          <w:color w:val="auto"/>
        </w:rPr>
        <w:t>purchases of receivables pursuant to a Receivables Repurchase Obligation in connection with a Qualified Receivables Factoring or Qualified Receivables Financing and the payment or distribution of Receivables Fees;</w:t>
      </w:r>
    </w:p>
    <w:p>
      <w:pPr>
        <w:spacing w:after="0" w:line="68" w:lineRule="exact"/>
        <w:rPr>
          <w:rFonts w:ascii="Arial" w:cs="Arial" w:eastAsia="Arial" w:hAnsi="Arial"/>
          <w:sz w:val="20"/>
          <w:szCs w:val="20"/>
          <w:color w:val="auto"/>
        </w:rPr>
      </w:pPr>
    </w:p>
    <w:p>
      <w:pPr>
        <w:ind w:firstLine="2"/>
        <w:spacing w:after="0" w:line="260" w:lineRule="auto"/>
        <w:tabs>
          <w:tab w:leader="none" w:pos="40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payments or distributions to satisfy dissenters’ rights, pursuant to or in connection with a consolidation, merger or transfer of assets that complies with the provisions of this Agreement;</w:t>
      </w:r>
    </w:p>
    <w:p>
      <w:pPr>
        <w:spacing w:after="0" w:line="5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209" w:name="page210"/>
    <w:bookmarkEnd w:id="209"/>
    <w:p>
      <w:pPr>
        <w:jc w:val="both"/>
        <w:ind w:left="380" w:firstLine="2"/>
        <w:spacing w:after="0" w:line="250" w:lineRule="auto"/>
        <w:tabs>
          <w:tab w:leader="none" w:pos="81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distribution, as a dividend or otherwise, of shares of Capital Stock of, or Indebtedness owed to Holdings or a Restricted Subsidiary of Holdings by, Unrestricted Subsidiaries (other than Unrestricted Subsidiaries the primary assets of which are cash and/or Cash Equivalents);</w:t>
      </w:r>
    </w:p>
    <w:p>
      <w:pPr>
        <w:spacing w:after="0" w:line="77" w:lineRule="exact"/>
        <w:rPr>
          <w:rFonts w:ascii="Arial" w:cs="Arial" w:eastAsia="Arial" w:hAnsi="Arial"/>
          <w:sz w:val="20"/>
          <w:szCs w:val="20"/>
          <w:color w:val="auto"/>
        </w:rPr>
      </w:pPr>
    </w:p>
    <w:p>
      <w:pPr>
        <w:jc w:val="both"/>
        <w:ind w:left="380" w:firstLine="2"/>
        <w:spacing w:after="0" w:line="246" w:lineRule="auto"/>
        <w:tabs>
          <w:tab w:leader="none" w:pos="79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payment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the Borrower or any direct or indirect parent of the Borrower;</w:t>
      </w:r>
    </w:p>
    <w:p>
      <w:pPr>
        <w:spacing w:after="0" w:line="83" w:lineRule="exact"/>
        <w:rPr>
          <w:rFonts w:ascii="Arial" w:cs="Arial" w:eastAsia="Arial" w:hAnsi="Arial"/>
          <w:sz w:val="20"/>
          <w:szCs w:val="20"/>
          <w:color w:val="auto"/>
        </w:rPr>
      </w:pPr>
    </w:p>
    <w:p>
      <w:pPr>
        <w:jc w:val="both"/>
        <w:ind w:left="380" w:firstLine="2"/>
        <w:spacing w:after="0" w:line="260" w:lineRule="auto"/>
        <w:tabs>
          <w:tab w:leader="none" w:pos="794"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Investments in Unrestricted Subsidiaries having an aggregate Fair Market Value, taken together with all other Investments made pursuant to this clause (20) that are at the time outstanding, without giving effect to the sale of an Unrestricted Subsidiary to the extent the proceeds of such sale do not consist of cash, Cash Equivalents or marketable securities, not to exceed the greater of $300,000,000 and 15.5% of Four Quarter Consolidated EBITDA (with the Fair Market Value of each Investment being measured at the time made and without giving effect to subsequent changes in value);</w:t>
      </w:r>
    </w:p>
    <w:p>
      <w:pPr>
        <w:spacing w:after="0" w:line="72" w:lineRule="exact"/>
        <w:rPr>
          <w:rFonts w:ascii="Arial" w:cs="Arial" w:eastAsia="Arial" w:hAnsi="Arial"/>
          <w:sz w:val="19"/>
          <w:szCs w:val="19"/>
          <w:color w:val="auto"/>
        </w:rPr>
      </w:pPr>
    </w:p>
    <w:p>
      <w:pPr>
        <w:ind w:left="380" w:firstLine="2"/>
        <w:spacing w:after="0" w:line="260" w:lineRule="auto"/>
        <w:tabs>
          <w:tab w:leader="none" w:pos="807"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Restricted Payment so long as immediately after giving effect to the making of such Restricted Payment and any related Incurrence of Indebtedness, the Consolidated Total Leverage Ratio does not exceed 3.75 to 1.00;</w:t>
      </w:r>
    </w:p>
    <w:p>
      <w:pPr>
        <w:spacing w:after="0" w:line="68" w:lineRule="exact"/>
        <w:rPr>
          <w:rFonts w:ascii="Arial" w:cs="Arial" w:eastAsia="Arial" w:hAnsi="Arial"/>
          <w:sz w:val="20"/>
          <w:szCs w:val="20"/>
          <w:color w:val="auto"/>
        </w:rPr>
      </w:pPr>
    </w:p>
    <w:p>
      <w:pPr>
        <w:ind w:left="780" w:hanging="398"/>
        <w:spacing w:after="0"/>
        <w:tabs>
          <w:tab w:leader="none" w:pos="78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ind w:left="380" w:firstLine="2"/>
        <w:spacing w:after="0" w:line="260" w:lineRule="auto"/>
        <w:tabs>
          <w:tab w:leader="none" w:pos="80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payment that is intended to prevent any Indebtedness from being treated as an “applicable high yield discount obligation” within the meaning of Section 163(i)(1) of the Code; and</w:t>
      </w:r>
    </w:p>
    <w:p>
      <w:pPr>
        <w:spacing w:after="0" w:line="68" w:lineRule="exact"/>
        <w:rPr>
          <w:rFonts w:ascii="Arial" w:cs="Arial" w:eastAsia="Arial" w:hAnsi="Arial"/>
          <w:sz w:val="20"/>
          <w:szCs w:val="20"/>
          <w:color w:val="auto"/>
        </w:rPr>
      </w:pPr>
    </w:p>
    <w:p>
      <w:pPr>
        <w:jc w:val="both"/>
        <w:ind w:left="380" w:firstLine="2"/>
        <w:spacing w:after="0" w:line="244" w:lineRule="auto"/>
        <w:tabs>
          <w:tab w:leader="none" w:pos="816" w:val="left"/>
        </w:tabs>
        <w:numPr>
          <w:ilvl w:val="0"/>
          <w:numId w:val="233"/>
        </w:numPr>
        <w:rPr>
          <w:rFonts w:ascii="Arial" w:cs="Arial" w:eastAsia="Arial" w:hAnsi="Arial"/>
          <w:sz w:val="20"/>
          <w:szCs w:val="20"/>
          <w:color w:val="auto"/>
        </w:rPr>
      </w:pPr>
      <w:r>
        <w:rPr>
          <w:rFonts w:ascii="Arial" w:cs="Arial" w:eastAsia="Arial" w:hAnsi="Arial"/>
          <w:sz w:val="20"/>
          <w:szCs w:val="20"/>
          <w:color w:val="auto"/>
        </w:rPr>
        <w:t xml:space="preserve">the payment of any dividend or distribution made to repurchase, redeem, retire or otherwise acquire Equity Interests of the Borrower or any direct or indirect parent of the Borrower under any share repurchase plan; </w:t>
      </w:r>
      <w:r>
        <w:rPr>
          <w:rFonts w:ascii="Arial" w:cs="Arial" w:eastAsia="Arial" w:hAnsi="Arial"/>
          <w:sz w:val="20"/>
          <w:szCs w:val="20"/>
          <w:u w:val="single" w:color="auto"/>
          <w:color w:val="auto"/>
        </w:rPr>
        <w:t>provided</w:t>
      </w:r>
      <w:r>
        <w:rPr>
          <w:rFonts w:ascii="Arial" w:cs="Arial" w:eastAsia="Arial" w:hAnsi="Arial"/>
          <w:sz w:val="20"/>
          <w:szCs w:val="20"/>
          <w:color w:val="auto"/>
        </w:rPr>
        <w:t>, that the aggregate amount of Restricted Payments made under this clause (24) does not exceed $125,000,000 in any calendar year (with unused amounts in any calendar year being permitted to be carried over to succeeding calendar years subject to a maximum of $250,000,000 in any calendar year);</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at the time of, and after giving effect to, any Restricted Payment permitted under clauses (10), (21) and (24), no</w:t>
      </w:r>
      <w:r>
        <w:rPr>
          <w:rFonts w:ascii="Arial" w:cs="Arial" w:eastAsia="Arial" w:hAnsi="Arial"/>
          <w:sz w:val="20"/>
          <w:szCs w:val="20"/>
          <w:i w:val="1"/>
          <w:iCs w:val="1"/>
          <w:color w:val="auto"/>
        </w:rPr>
        <w:t xml:space="preserve"> </w:t>
      </w:r>
      <w:r>
        <w:rPr>
          <w:rFonts w:ascii="Arial" w:cs="Arial" w:eastAsia="Arial" w:hAnsi="Arial"/>
          <w:sz w:val="20"/>
          <w:szCs w:val="20"/>
          <w:color w:val="auto"/>
        </w:rPr>
        <w:t>Event of Default shall have occurred and be continuing or would occur as a consequence thereof.</w:t>
      </w:r>
    </w:p>
    <w:p>
      <w:pPr>
        <w:spacing w:after="0" w:line="177" w:lineRule="exact"/>
        <w:rPr>
          <w:sz w:val="20"/>
          <w:szCs w:val="20"/>
          <w:color w:val="auto"/>
        </w:rPr>
      </w:pPr>
    </w:p>
    <w:p>
      <w:pPr>
        <w:jc w:val="both"/>
        <w:ind w:firstLine="1505"/>
        <w:spacing w:after="0" w:line="243" w:lineRule="auto"/>
        <w:tabs>
          <w:tab w:leader="none" w:pos="199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Borrower will not permit any Restricted Subsidiary to become an Unrestricted Subsidiary, or any Unrestricted Subsidiary to become a Restricted Subsidiary, except pursuant to the definition of “Unrestricted Subsidiary.” For purposes of designating any Restricted Subsidiary as an Unrestricted Subsidiary, all outstanding Investments by the Borrower and its Restricted Subsidiaries (except to the extent repaid) in the Subsidiary so designated will be deemed to be Restricted Payments or Permitted Investments in an amount determined as set forth in the last sentence of the definition of “Investments.” Such designation will only be permitted if a Restricted Payment or Permitted Investment in such amount would be permitted at such time and if such Subsidiary otherwise meets the definition of an Unrestricted Subsidiary.</w:t>
      </w:r>
    </w:p>
    <w:p>
      <w:pPr>
        <w:spacing w:after="0" w:line="192" w:lineRule="exact"/>
        <w:rPr>
          <w:rFonts w:ascii="Arial" w:cs="Arial" w:eastAsia="Arial" w:hAnsi="Arial"/>
          <w:sz w:val="20"/>
          <w:szCs w:val="20"/>
          <w:color w:val="auto"/>
        </w:rPr>
      </w:pPr>
    </w:p>
    <w:p>
      <w:pPr>
        <w:jc w:val="both"/>
        <w:ind w:firstLine="1505"/>
        <w:spacing w:after="0" w:line="282" w:lineRule="auto"/>
        <w:tabs>
          <w:tab w:leader="none" w:pos="19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For purposes of the covenant described above, if any Investment or Restricted Payment would be permitted pursuant to one or more provisions described above and/or one or more of the exceptions contained in the definition of “Permitted Investments,” the Borrower may divide and classify such Investment or Restricted Payment in any manner that complies with this covenant and may later divide and reclassify any such Investment or Restricted Payment so long as the Investment or Restricted Payment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0" w:name="page211"/>
    <w:bookmarkEnd w:id="210"/>
    <w:p>
      <w:pPr>
        <w:jc w:val="both"/>
        <w:spacing w:after="0" w:line="250" w:lineRule="auto"/>
        <w:rPr>
          <w:sz w:val="20"/>
          <w:szCs w:val="20"/>
          <w:color w:val="auto"/>
        </w:rPr>
      </w:pPr>
      <w:r>
        <w:rPr>
          <w:rFonts w:ascii="Arial" w:cs="Arial" w:eastAsia="Arial" w:hAnsi="Arial"/>
          <w:sz w:val="20"/>
          <w:szCs w:val="20"/>
          <w:color w:val="auto"/>
        </w:rPr>
        <w:t>(as so divided and/or reclassified) would be permitted to be made in reliance on the applicable exception as of the date of such reclassification. In addition, for purposes of the covenant described above, any Restricted Payment permitted hereunder may, at the option of the Borrower or its Restricted Subsidiaries, be structured in the form of a loan or other Investment.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7.07  [Reserved].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7.08  [Reserved]</w:t>
      </w:r>
    </w:p>
    <w:p>
      <w:pPr>
        <w:spacing w:after="0" w:line="21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7.09 Dividend and Other Payment Restrictions Affecting Subsidiaries. The Borrower will not, and will not permit any of its Restricted Subsidiaries to, directly or indirectly, create or otherwise cause or suffer to exist or become effective any consensual encumbrance or consensual restriction on the ability of any Restricted Subsidiary to:</w:t>
      </w:r>
    </w:p>
    <w:p>
      <w:pPr>
        <w:spacing w:after="0" w:line="186" w:lineRule="exact"/>
        <w:rPr>
          <w:sz w:val="20"/>
          <w:szCs w:val="20"/>
          <w:color w:val="auto"/>
        </w:rPr>
      </w:pPr>
    </w:p>
    <w:p>
      <w:pPr>
        <w:ind w:firstLine="1505"/>
        <w:spacing w:after="0" w:line="260" w:lineRule="auto"/>
        <w:tabs>
          <w:tab w:leader="none" w:pos="178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(i) pay dividends or make any other distributions to the Borrower or any of its Restricted Subsidiaries on its Capital Stock; or (ii) pay any Indebtedness owed to the Borrower or any of its Restricted Subsidiaries;</w:t>
      </w:r>
    </w:p>
    <w:p>
      <w:pPr>
        <w:spacing w:after="0" w:line="176" w:lineRule="exact"/>
        <w:rPr>
          <w:rFonts w:ascii="Arial" w:cs="Arial" w:eastAsia="Arial" w:hAnsi="Arial"/>
          <w:sz w:val="20"/>
          <w:szCs w:val="20"/>
          <w:color w:val="auto"/>
        </w:rPr>
      </w:pPr>
    </w:p>
    <w:p>
      <w:pPr>
        <w:ind w:left="1980" w:hanging="475"/>
        <w:spacing w:after="0"/>
        <w:tabs>
          <w:tab w:leader="none" w:pos="198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make loans or advances to the Borrower or any of its Restricted Subsidiaries;</w:t>
      </w:r>
    </w:p>
    <w:p>
      <w:pPr>
        <w:spacing w:after="0" w:line="215" w:lineRule="exact"/>
        <w:rPr>
          <w:rFonts w:ascii="Arial" w:cs="Arial" w:eastAsia="Arial" w:hAnsi="Arial"/>
          <w:sz w:val="20"/>
          <w:szCs w:val="20"/>
          <w:color w:val="auto"/>
        </w:rPr>
      </w:pPr>
    </w:p>
    <w:p>
      <w:pPr>
        <w:ind w:firstLine="1505"/>
        <w:spacing w:after="0" w:line="260" w:lineRule="auto"/>
        <w:tabs>
          <w:tab w:leader="none" w:pos="1999" w:val="left"/>
        </w:tabs>
        <w:numPr>
          <w:ilvl w:val="0"/>
          <w:numId w:val="235"/>
        </w:numPr>
        <w:rPr>
          <w:rFonts w:ascii="Arial" w:cs="Arial" w:eastAsia="Arial" w:hAnsi="Arial"/>
          <w:sz w:val="20"/>
          <w:szCs w:val="20"/>
          <w:color w:val="auto"/>
        </w:rPr>
      </w:pPr>
      <w:r>
        <w:rPr>
          <w:rFonts w:ascii="Arial" w:cs="Arial" w:eastAsia="Arial" w:hAnsi="Arial"/>
          <w:sz w:val="20"/>
          <w:szCs w:val="20"/>
          <w:color w:val="auto"/>
        </w:rPr>
        <w:t>create, incur, assume or suffer to exist Liens on the Collateral of such Person for the benefit of the Lenders with respect to the Term Loan Facility and the Obligations or under the Loan Documents; or</w:t>
      </w:r>
    </w:p>
    <w:p>
      <w:pPr>
        <w:spacing w:after="0" w:line="176" w:lineRule="exact"/>
        <w:rPr>
          <w:rFonts w:ascii="Arial" w:cs="Arial" w:eastAsia="Arial" w:hAnsi="Arial"/>
          <w:sz w:val="20"/>
          <w:szCs w:val="20"/>
          <w:color w:val="auto"/>
        </w:rPr>
      </w:pPr>
    </w:p>
    <w:p>
      <w:pPr>
        <w:ind w:left="1980" w:hanging="475"/>
        <w:spacing w:after="0"/>
        <w:tabs>
          <w:tab w:leader="none" w:pos="198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sell, lease or transfer any of its properties or assets to the Borrower or any of its Restricted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except in each case for such encumbrances or restrictions existing under or by reason of:</w:t>
      </w:r>
    </w:p>
    <w:p>
      <w:pPr>
        <w:spacing w:after="0" w:line="216" w:lineRule="exact"/>
        <w:rPr>
          <w:sz w:val="20"/>
          <w:szCs w:val="20"/>
          <w:color w:val="auto"/>
        </w:rPr>
      </w:pPr>
    </w:p>
    <w:p>
      <w:pPr>
        <w:jc w:val="both"/>
        <w:ind w:left="380" w:firstLine="2"/>
        <w:spacing w:after="0" w:line="269" w:lineRule="auto"/>
        <w:tabs>
          <w:tab w:leader="none" w:pos="794" w:val="left"/>
        </w:tabs>
        <w:numPr>
          <w:ilvl w:val="0"/>
          <w:numId w:val="236"/>
        </w:numPr>
        <w:rPr>
          <w:rFonts w:ascii="Arial" w:cs="Arial" w:eastAsia="Arial" w:hAnsi="Arial"/>
          <w:sz w:val="19"/>
          <w:szCs w:val="19"/>
          <w:color w:val="auto"/>
        </w:rPr>
      </w:pPr>
      <w:r>
        <w:rPr>
          <w:rFonts w:ascii="Arial" w:cs="Arial" w:eastAsia="Arial" w:hAnsi="Arial"/>
          <w:sz w:val="19"/>
          <w:szCs w:val="19"/>
          <w:color w:val="auto"/>
        </w:rPr>
        <w:t>contractual encumbrances or restrictions in effect or entered into on the Closing Date, including pursuant to this Agreement, the Loan Documents and the other documents relating to this agreement, any ABL Credit Agreement and the other documents relating to any ABL Credit Agreement, related Swap Contracts and Indebtedness permitted pursuant to Section 7.03(b)(3);</w:t>
      </w:r>
    </w:p>
    <w:p>
      <w:pPr>
        <w:spacing w:after="0" w:line="61" w:lineRule="exact"/>
        <w:rPr>
          <w:rFonts w:ascii="Arial" w:cs="Arial" w:eastAsia="Arial" w:hAnsi="Arial"/>
          <w:sz w:val="19"/>
          <w:szCs w:val="19"/>
          <w:color w:val="auto"/>
        </w:rPr>
      </w:pPr>
    </w:p>
    <w:p>
      <w:pPr>
        <w:ind w:left="780" w:hanging="398"/>
        <w:spacing w:after="0"/>
        <w:tabs>
          <w:tab w:leader="none" w:pos="78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any Senior Notes Indenture, the Senior Notes, and any exchange notes and Guarantees thereof;</w:t>
      </w:r>
    </w:p>
    <w:p>
      <w:pPr>
        <w:spacing w:after="0" w:line="107" w:lineRule="exact"/>
        <w:rPr>
          <w:rFonts w:ascii="Arial" w:cs="Arial" w:eastAsia="Arial" w:hAnsi="Arial"/>
          <w:sz w:val="20"/>
          <w:szCs w:val="20"/>
          <w:color w:val="auto"/>
        </w:rPr>
      </w:pPr>
    </w:p>
    <w:p>
      <w:pPr>
        <w:ind w:left="780" w:hanging="398"/>
        <w:spacing w:after="0"/>
        <w:tabs>
          <w:tab w:leader="none" w:pos="78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applicable law or any applicable rule, regulation or order;</w:t>
      </w:r>
    </w:p>
    <w:p>
      <w:pPr>
        <w:spacing w:after="0" w:line="107" w:lineRule="exact"/>
        <w:rPr>
          <w:rFonts w:ascii="Arial" w:cs="Arial" w:eastAsia="Arial" w:hAnsi="Arial"/>
          <w:sz w:val="20"/>
          <w:szCs w:val="20"/>
          <w:color w:val="auto"/>
        </w:rPr>
      </w:pPr>
    </w:p>
    <w:p>
      <w:pPr>
        <w:jc w:val="both"/>
        <w:ind w:left="380" w:firstLine="2"/>
        <w:spacing w:after="0" w:line="311" w:lineRule="auto"/>
        <w:tabs>
          <w:tab w:leader="none" w:pos="78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any agreement or other instrument of a Person acquired by or merged, amalgamated or consolidated with or into the Borrower or any Restricted Subsidiary or an Unrestricted Subsidiary that is designated a Restricted Subsidiary that was in existence at the time of such acquisition (or at the time it merges with or into the Borrower or any Restricted Subsidiary or assumed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 merger, amalgamation or consolidation under this clause (4), if a Person other than Borrower or such Restricted Subsidiary is the successor company with respect to such merger, amalgamation or consolidation, any agreement or instrument of such Person or any Subsidiary of such Person, shall be deemed acquired or assumed, as the case may be, by the Borrower or such Restricted Subsidiary, as the case may be, at the time of such merger, amalgamation or consolidation;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1" w:name="page212"/>
    <w:bookmarkEnd w:id="211"/>
    <w:p>
      <w:pPr>
        <w:jc w:val="both"/>
        <w:ind w:firstLine="2"/>
        <w:spacing w:after="0" w:line="269" w:lineRule="auto"/>
        <w:tabs>
          <w:tab w:leader="none" w:pos="398" w:val="left"/>
        </w:tabs>
        <w:numPr>
          <w:ilvl w:val="0"/>
          <w:numId w:val="237"/>
        </w:numPr>
        <w:rPr>
          <w:rFonts w:ascii="Arial" w:cs="Arial" w:eastAsia="Arial" w:hAnsi="Arial"/>
          <w:sz w:val="19"/>
          <w:szCs w:val="19"/>
          <w:color w:val="auto"/>
        </w:rPr>
      </w:pPr>
      <w:r>
        <w:rPr>
          <w:rFonts w:ascii="Arial" w:cs="Arial" w:eastAsia="Arial" w:hAnsi="Arial"/>
          <w:sz w:val="19"/>
          <w:szCs w:val="19"/>
          <w:color w:val="auto"/>
        </w:rPr>
        <w:t>customary encumbrances or restrictions contained in contracts or agreements for the sale of assets applicable to such assets pending consummation of such sale, including customary restrictions with respect to a Restricted Subsidiary imposed pursuant to an agreement entered into for the sale or disposition of the Capital Stock or assets of such Restricted Subsidiary;</w:t>
      </w:r>
    </w:p>
    <w:p>
      <w:pPr>
        <w:spacing w:after="0" w:line="61" w:lineRule="exact"/>
        <w:rPr>
          <w:rFonts w:ascii="Arial" w:cs="Arial" w:eastAsia="Arial" w:hAnsi="Arial"/>
          <w:sz w:val="19"/>
          <w:szCs w:val="19"/>
          <w:color w:val="auto"/>
        </w:rPr>
      </w:pPr>
    </w:p>
    <w:p>
      <w:pPr>
        <w:ind w:firstLine="2"/>
        <w:spacing w:after="0" w:line="260" w:lineRule="auto"/>
        <w:tabs>
          <w:tab w:leader="none" w:pos="41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restrictions on cash or other deposits or net worth imposed by customers under contracts entered into in the ordinary course of business;</w:t>
      </w:r>
    </w:p>
    <w:p>
      <w:pPr>
        <w:spacing w:after="0" w:line="68" w:lineRule="exact"/>
        <w:rPr>
          <w:rFonts w:ascii="Arial" w:cs="Arial" w:eastAsia="Arial" w:hAnsi="Arial"/>
          <w:sz w:val="20"/>
          <w:szCs w:val="20"/>
          <w:color w:val="auto"/>
        </w:rPr>
      </w:pPr>
    </w:p>
    <w:p>
      <w:pPr>
        <w:jc w:val="both"/>
        <w:ind w:firstLine="2"/>
        <w:spacing w:after="0" w:line="246" w:lineRule="auto"/>
        <w:tabs>
          <w:tab w:leader="none" w:pos="4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customary provisions in (x) joint venture agreements entered into in the ordinary course of business with respect to the Equity Interests subject to the joint venture and (y) operating or other similar agreements, asset sale agreements, stock sale agreements entered into in connection with the entering into of such transaction, which limitation is applicable only to the assets that are the subject of those agreements;</w:t>
      </w:r>
    </w:p>
    <w:p>
      <w:pPr>
        <w:spacing w:after="0" w:line="83" w:lineRule="exact"/>
        <w:rPr>
          <w:rFonts w:ascii="Arial" w:cs="Arial" w:eastAsia="Arial" w:hAnsi="Arial"/>
          <w:sz w:val="20"/>
          <w:szCs w:val="20"/>
          <w:color w:val="auto"/>
        </w:rPr>
      </w:pPr>
    </w:p>
    <w:p>
      <w:pPr>
        <w:ind w:firstLine="2"/>
        <w:spacing w:after="0" w:line="260" w:lineRule="auto"/>
        <w:tabs>
          <w:tab w:leader="none" w:pos="396" w:val="left"/>
        </w:tabs>
        <w:numPr>
          <w:ilvl w:val="0"/>
          <w:numId w:val="237"/>
        </w:numPr>
        <w:rPr>
          <w:rFonts w:ascii="Arial" w:cs="Arial" w:eastAsia="Arial" w:hAnsi="Arial"/>
          <w:sz w:val="20"/>
          <w:szCs w:val="20"/>
          <w:color w:val="auto"/>
        </w:rPr>
      </w:pPr>
      <w:r>
        <w:rPr>
          <w:rFonts w:ascii="Arial" w:cs="Arial" w:eastAsia="Arial" w:hAnsi="Arial"/>
          <w:sz w:val="20"/>
          <w:szCs w:val="20"/>
          <w:color w:val="auto"/>
        </w:rPr>
        <w:t>purchase money obligations for property acquired and Capitalized Lease Obligations in the ordinary course of business to the extent imposing restrictions of the nature discussed in clause (c) above on the property so acquired;</w:t>
      </w:r>
    </w:p>
    <w:p>
      <w:pPr>
        <w:spacing w:after="0" w:line="68" w:lineRule="exact"/>
        <w:rPr>
          <w:rFonts w:ascii="Arial" w:cs="Arial" w:eastAsia="Arial" w:hAnsi="Arial"/>
          <w:sz w:val="20"/>
          <w:szCs w:val="20"/>
          <w:color w:val="auto"/>
        </w:rPr>
      </w:pPr>
    </w:p>
    <w:p>
      <w:pPr>
        <w:ind w:firstLine="2"/>
        <w:spacing w:after="0" w:line="316" w:lineRule="auto"/>
        <w:tabs>
          <w:tab w:leader="none" w:pos="41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customary provisions contained in leases, licenses, contracts and other similar agreements entered into in the ordinary course of business to the extent imposing restrictions of the type described in clause (c) above on the property subject to such lease;</w:t>
      </w:r>
    </w:p>
    <w:p>
      <w:pPr>
        <w:spacing w:after="0" w:line="21" w:lineRule="exact"/>
        <w:rPr>
          <w:rFonts w:ascii="Arial" w:cs="Arial" w:eastAsia="Arial" w:hAnsi="Arial"/>
          <w:sz w:val="18"/>
          <w:szCs w:val="18"/>
          <w:color w:val="auto"/>
        </w:rPr>
      </w:pPr>
    </w:p>
    <w:p>
      <w:pPr>
        <w:jc w:val="both"/>
        <w:ind w:firstLine="2"/>
        <w:spacing w:after="0" w:line="250" w:lineRule="auto"/>
        <w:tabs>
          <w:tab w:leader="none" w:pos="511"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encumbrance or restriction effected in connection with a Qualified Receivables Factoring or Qualified Receivables Financing that, in the good faith determination of the Borrower, is necessary or advisable to effect such Qualified Receivables Factoring or Qualified Receivables Financing, as applicable;</w:t>
      </w:r>
    </w:p>
    <w:p>
      <w:pPr>
        <w:spacing w:after="0" w:line="77" w:lineRule="exact"/>
        <w:rPr>
          <w:rFonts w:ascii="Arial" w:cs="Arial" w:eastAsia="Arial" w:hAnsi="Arial"/>
          <w:sz w:val="20"/>
          <w:szCs w:val="20"/>
          <w:color w:val="auto"/>
        </w:rPr>
      </w:pPr>
    </w:p>
    <w:p>
      <w:pPr>
        <w:jc w:val="both"/>
        <w:ind w:firstLine="2"/>
        <w:spacing w:after="0" w:line="246" w:lineRule="auto"/>
        <w:tabs>
          <w:tab w:leader="none" w:pos="44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any encumbrance or restriction contained in other Indebtedness, Disqualified Stock or Preferred Stock of any Restricted Subsidiary of the Borrower that is Incurred subsequent to the Closing Date pursuant to Section 7.03;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encumbrances and restrictions contained in any agreement or instrument will not materially affect the Borrower’s ability to make anticipated principal or interest payment on the Loans (as determined by the Borrower in good faith);</w:t>
      </w:r>
    </w:p>
    <w:p>
      <w:pPr>
        <w:spacing w:after="0" w:line="83" w:lineRule="exact"/>
        <w:rPr>
          <w:rFonts w:ascii="Arial" w:cs="Arial" w:eastAsia="Arial" w:hAnsi="Arial"/>
          <w:sz w:val="20"/>
          <w:szCs w:val="20"/>
          <w:color w:val="auto"/>
        </w:rPr>
      </w:pPr>
    </w:p>
    <w:p>
      <w:pPr>
        <w:ind w:firstLine="2"/>
        <w:spacing w:after="0" w:line="260" w:lineRule="auto"/>
        <w:tabs>
          <w:tab w:leader="none" w:pos="4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any encumbrance or restriction contained in secured Indebtedness otherwise permitted to be Incurred pursuant to Sections 7.01 and 7.03 to the extent limiting the right of the debtor to dispose of the assets securing such Indebtedness;</w:t>
      </w:r>
    </w:p>
    <w:p>
      <w:pPr>
        <w:spacing w:after="0" w:line="68" w:lineRule="exact"/>
        <w:rPr>
          <w:rFonts w:ascii="Arial" w:cs="Arial" w:eastAsia="Arial" w:hAnsi="Arial"/>
          <w:sz w:val="20"/>
          <w:szCs w:val="20"/>
          <w:color w:val="auto"/>
        </w:rPr>
      </w:pPr>
    </w:p>
    <w:p>
      <w:pPr>
        <w:jc w:val="both"/>
        <w:ind w:firstLine="2"/>
        <w:spacing w:after="0" w:line="263" w:lineRule="auto"/>
        <w:tabs>
          <w:tab w:leader="none" w:pos="46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encumbrances or restrictions arising or agreed to in the ordinary course of business, not relating to any Indebtedness, and that do not, individually or in the aggregate, (x) detract from the value of the property or assets of the Borrower or any Restricted Subsidiary in any manner material to the Borrower or any Restricted Subsidiary or (y) materially affect the Borrower’s ability to make anticipated principal or interest payment on the Loans (as determined by the Borrower in good faith);</w:t>
      </w:r>
    </w:p>
    <w:p>
      <w:pPr>
        <w:spacing w:after="0" w:line="68" w:lineRule="exact"/>
        <w:rPr>
          <w:rFonts w:ascii="Arial" w:cs="Arial" w:eastAsia="Arial" w:hAnsi="Arial"/>
          <w:sz w:val="19"/>
          <w:szCs w:val="19"/>
          <w:color w:val="auto"/>
        </w:rPr>
      </w:pPr>
    </w:p>
    <w:p>
      <w:pPr>
        <w:jc w:val="both"/>
        <w:ind w:firstLine="2"/>
        <w:spacing w:after="0" w:line="269" w:lineRule="auto"/>
        <w:tabs>
          <w:tab w:leader="none" w:pos="453"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encumbrances or restrictions existing under, by reason of or with respect to Refinancing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encumbrances and restrictions contained in the agreements governing that Refinancing Indebtedness are not materially more restrictive, taken as a whole, than those contained in the agreements governing the Indebtedness being refinanced; and</w:t>
      </w:r>
    </w:p>
    <w:p>
      <w:pPr>
        <w:spacing w:after="0" w:line="61" w:lineRule="exact"/>
        <w:rPr>
          <w:rFonts w:ascii="Arial" w:cs="Arial" w:eastAsia="Arial" w:hAnsi="Arial"/>
          <w:sz w:val="19"/>
          <w:szCs w:val="19"/>
          <w:color w:val="auto"/>
        </w:rPr>
      </w:pPr>
    </w:p>
    <w:p>
      <w:pPr>
        <w:jc w:val="both"/>
        <w:ind w:firstLine="2"/>
        <w:spacing w:after="0" w:line="291" w:lineRule="auto"/>
        <w:tabs>
          <w:tab w:leader="none" w:pos="4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imposed by any amendments, modifications, restatements, renewals, increases, supplements, refundings, replacements or refinancings of the contracts, instruments or obligations referred to in clauses (1) through (14) above;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amendments, modifications, restatements, renewals, increases, supplements, refundings, replacements</w:t>
      </w:r>
    </w:p>
    <w:p>
      <w:pPr>
        <w:spacing w:after="0" w:line="2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365125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4" w:right="339" w:bottom="1440" w:gutter="0" w:footer="0" w:header="0"/>
        </w:sectPr>
      </w:pPr>
    </w:p>
    <w:bookmarkStart w:id="212" w:name="page213"/>
    <w:bookmarkEnd w:id="212"/>
    <w:p>
      <w:pPr>
        <w:jc w:val="both"/>
        <w:ind w:left="380"/>
        <w:spacing w:after="0" w:line="250" w:lineRule="auto"/>
        <w:rPr>
          <w:sz w:val="20"/>
          <w:szCs w:val="20"/>
          <w:color w:val="auto"/>
        </w:rPr>
      </w:pPr>
      <w:r>
        <w:rPr>
          <w:rFonts w:ascii="Arial" w:cs="Arial" w:eastAsia="Arial" w:hAnsi="Arial"/>
          <w:sz w:val="20"/>
          <w:szCs w:val="20"/>
          <w:color w:val="auto"/>
        </w:rPr>
        <w:t>or refinancings are, in the good faith judgment of the Borrower, no more restrictive as a whole with respect to such encumbrances or restrictions than prior to such amendment, modification, restatement, renewal, increase, supplement, refunding, replacement or refinancing.</w:t>
      </w:r>
    </w:p>
    <w:p>
      <w:pPr>
        <w:spacing w:after="0" w:line="78"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For purposes of determining compliance with this Section 7.09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the Borrower or a Restricted Subsidiary of the Borrower to other Indebtedness Incurred by the Borrower or any such Restricted Subsidiary shall not be deemed a restriction on the ability to make loans or advances.</w:t>
      </w:r>
    </w:p>
    <w:p>
      <w:pPr>
        <w:spacing w:after="0" w:line="19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7.10 Accounting Changes. Make any change in fiscal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Borrower or Holdings may, upon written notice to the Administrative Agent, change its fiscal year to any other fiscal year reasonably acceptable to the Administrative Agent, in which case, the Borrower and the Administrative Agent will, and are hereby authorized by the Lenders to, make any amendments to this Agreement that are necessary, in the judgment of the Administrative Agent and the Borrower or Holdings, as applicable, to reflect such change in fiscal year.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8.01  Events of Default. Any of the following shall constitute an Event of Default:</w:t>
      </w:r>
    </w:p>
    <w:p>
      <w:pPr>
        <w:spacing w:after="0" w:line="216" w:lineRule="exact"/>
        <w:rPr>
          <w:sz w:val="20"/>
          <w:szCs w:val="20"/>
          <w:color w:val="auto"/>
        </w:rPr>
      </w:pPr>
    </w:p>
    <w:p>
      <w:pPr>
        <w:jc w:val="both"/>
        <w:ind w:firstLine="1505"/>
        <w:spacing w:after="0" w:line="275" w:lineRule="auto"/>
        <w:tabs>
          <w:tab w:leader="none" w:pos="1993"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pay (i) when and as required to be paid herein, any amount of principal of any Loan, (ii) within five (5) Business Days after the same becomes due, any interest on any Loan due hereunder, or</w:t>
      </w:r>
    </w:p>
    <w:p>
      <w:pPr>
        <w:ind w:firstLine="8"/>
        <w:spacing w:after="0" w:line="244" w:lineRule="auto"/>
        <w:tabs>
          <w:tab w:leader="none" w:pos="346" w:val="left"/>
        </w:tabs>
        <w:numPr>
          <w:ilvl w:val="0"/>
          <w:numId w:val="239"/>
        </w:numPr>
        <w:rPr>
          <w:rFonts w:ascii="Arial" w:cs="Arial" w:eastAsia="Arial" w:hAnsi="Arial"/>
          <w:sz w:val="20"/>
          <w:szCs w:val="20"/>
          <w:color w:val="auto"/>
        </w:rPr>
      </w:pPr>
      <w:r>
        <w:rPr>
          <w:rFonts w:ascii="Arial" w:cs="Arial" w:eastAsia="Arial" w:hAnsi="Arial"/>
          <w:sz w:val="20"/>
          <w:szCs w:val="20"/>
          <w:color w:val="auto"/>
        </w:rPr>
        <w:t>within ten (10) Business Days after the same becomes due and payable, any fee due hereunder, or any other amount payable hereunder or with respect to any other Loan Document; or</w:t>
      </w:r>
    </w:p>
    <w:p>
      <w:pPr>
        <w:spacing w:after="0" w:line="191" w:lineRule="exact"/>
        <w:rPr>
          <w:rFonts w:ascii="Arial" w:cs="Arial" w:eastAsia="Arial" w:hAnsi="Arial"/>
          <w:sz w:val="20"/>
          <w:szCs w:val="20"/>
          <w:color w:val="auto"/>
        </w:rPr>
      </w:pPr>
    </w:p>
    <w:p>
      <w:pPr>
        <w:ind w:firstLine="1505"/>
        <w:spacing w:after="0" w:line="260" w:lineRule="auto"/>
        <w:tabs>
          <w:tab w:leader="none" w:pos="1983" w:val="left"/>
        </w:tabs>
        <w:numPr>
          <w:ilvl w:val="1"/>
          <w:numId w:val="239"/>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The Borrower fails to perform or observe any term, covenant or agreement contained in any of </w:t>
      </w:r>
      <w:r>
        <w:rPr>
          <w:rFonts w:ascii="Arial" w:cs="Arial" w:eastAsia="Arial" w:hAnsi="Arial"/>
          <w:sz w:val="20"/>
          <w:szCs w:val="20"/>
          <w:u w:val="single" w:color="auto"/>
          <w:color w:val="auto"/>
        </w:rPr>
        <w:t>Sections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w:t>
      </w:r>
      <w:r>
        <w:rPr>
          <w:rFonts w:ascii="Arial" w:cs="Arial" w:eastAsia="Arial" w:hAnsi="Arial"/>
          <w:sz w:val="20"/>
          <w:szCs w:val="20"/>
          <w:color w:val="auto"/>
        </w:rPr>
        <w:t xml:space="preserve"> (solely with respect to the Borrower), 6.11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07" w:val="left"/>
        </w:tabs>
        <w:numPr>
          <w:ilvl w:val="1"/>
          <w:numId w:val="239"/>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contained in any Loan Document on its part to be performed or observed and such failure continues for thirty (30) days after notice thereof by the Administrative Agent to the Borrower; or</w:t>
      </w:r>
    </w:p>
    <w:p>
      <w:pPr>
        <w:spacing w:after="0" w:line="185" w:lineRule="exact"/>
        <w:rPr>
          <w:rFonts w:ascii="Arial" w:cs="Arial" w:eastAsia="Arial" w:hAnsi="Arial"/>
          <w:sz w:val="20"/>
          <w:szCs w:val="20"/>
          <w:color w:val="auto"/>
        </w:rPr>
      </w:pPr>
    </w:p>
    <w:p>
      <w:pPr>
        <w:jc w:val="both"/>
        <w:ind w:firstLine="1505"/>
        <w:spacing w:after="0" w:line="278" w:lineRule="auto"/>
        <w:tabs>
          <w:tab w:leader="none" w:pos="2000"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required to be delivered in connection herewith or therewith shall be incorrect or misleading in any material respect (and in all respects if any such representation or warranty is already qualified by materiality) when made or deemed made and, to the extent capable of being cured, such representation, warranty, certification or statement of fact is not corrected or clarified within 30 days after it was initially made; or</w:t>
      </w:r>
    </w:p>
    <w:p>
      <w:pPr>
        <w:spacing w:after="0" w:line="164" w:lineRule="exact"/>
        <w:rPr>
          <w:rFonts w:ascii="Arial" w:cs="Arial" w:eastAsia="Arial" w:hAnsi="Arial"/>
          <w:sz w:val="18"/>
          <w:szCs w:val="18"/>
          <w:color w:val="auto"/>
        </w:rPr>
      </w:pPr>
    </w:p>
    <w:p>
      <w:pPr>
        <w:jc w:val="both"/>
        <w:ind w:firstLine="1505"/>
        <w:spacing w:after="0" w:line="263" w:lineRule="auto"/>
        <w:tabs>
          <w:tab w:leader="none" w:pos="1990" w:val="left"/>
        </w:tabs>
        <w:numPr>
          <w:ilvl w:val="1"/>
          <w:numId w:val="239"/>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Any Loan Party or any Restricted Subsidiary (A) fails to make any payment beyond the applicable grace period with respect thereto, if any (whether by scheduled maturity, required prepayment, acceleration, demand, or otherwise) in respect of any Indebtedness (other than Indebtedness hereunder and intercompany Indebtedness) having an aggregate outstanding principal amount equal to or greater than the Threshold Amount; (B) fails to observe or perform any other agreement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3" w:name="page214"/>
    <w:bookmarkEnd w:id="213"/>
    <w:p>
      <w:pPr>
        <w:jc w:val="both"/>
        <w:spacing w:after="0" w:line="302" w:lineRule="auto"/>
        <w:rPr>
          <w:sz w:val="20"/>
          <w:szCs w:val="20"/>
          <w:color w:val="auto"/>
        </w:rPr>
      </w:pPr>
      <w:r>
        <w:rPr>
          <w:rFonts w:ascii="Arial" w:cs="Arial" w:eastAsia="Arial" w:hAnsi="Arial"/>
          <w:sz w:val="16"/>
          <w:szCs w:val="16"/>
          <w:color w:val="auto"/>
        </w:rPr>
        <w:t xml:space="preserve">condition relating to any such Indebtedness, or any other event occurs (other than a default or an event of default in respect of the observance of or compliance with any financial maintenance covenant, which is addressed by clause (C) below), the effect of which default or other event is to cause, or to permit the holder or holders of such Indebtedness (or a trustee or agent on behalf of such holder or holders or beneficiary or beneficiaries) after the expiration of any applicable grace or cure period therefor to cause, with the giving of notice if required, such Indebtedness to become due or to be repurchased, prepaid, defeased or redeemed (automatically or otherwise), or in an offer to repurchase, prepay, defease or redeem such Indebtedness to be made, in each case,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(e)</w:t>
      </w:r>
    </w:p>
    <w:p>
      <w:pPr>
        <w:spacing w:after="0" w:line="4" w:lineRule="exact"/>
        <w:rPr>
          <w:sz w:val="20"/>
          <w:szCs w:val="20"/>
          <w:color w:val="auto"/>
        </w:rPr>
      </w:pPr>
    </w:p>
    <w:p>
      <w:pPr>
        <w:jc w:val="both"/>
        <w:ind w:firstLine="8"/>
        <w:spacing w:after="0" w:line="268" w:lineRule="auto"/>
        <w:tabs>
          <w:tab w:leader="none" w:pos="32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shall not apply to (x) secured Indebtedness that becomes due as a result of the sale or transfer or other disposition (including a Casualty Event) of the property or assets securing such Indebtedness permitted hereunder and under the documents providing for such Indebtedness and such Indebtedness is repaid when required under the documents providing for such Indebtedness, (y) events of default, termination events or any other similar event under the documents governing Swap Contracts for so long as such event of default, termination event or other similar event does not result in the occurrence of an early termination date or any acceleration or prepayment of any amounts or other Indebtedness payable thereunder or (z) Indebtedness that upon the happening of any such default or event automatically converts into Equity Interests (other than Disqualified Stock or, in the case of a Restricted Subsidiary, Disqualified Stock or Preferred Stock) in accordance with its terms;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such failure is unremedied and is not validly waived by the holders of such Indebtedness in accordance with the terms of the documents governing such Indebtedness prior to any acceleration of the Loans pursuant to Section 8.02; or (C) fails to observe or perform any other agreement or condition relating to any such Indebtedness containing or otherwise requiring observance or compliance with a financial maintenance covenant and the holder or holders of such Indebtedness (or a trustee or agent on behalf of such holder or holders or beneficiary or beneficiaries) have caused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8"/>
          <w:szCs w:val="18"/>
          <w:b w:val="1"/>
          <w:bCs w:val="1"/>
          <w:i w:val="1"/>
          <w:iCs w:val="1"/>
          <w:color w:val="auto"/>
        </w:rPr>
        <w:t>Acceleration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holder or holders (or a trustee or an agent on behalf of such holder or holders or beneficiary or beneficiaries) irrevocably rescind such Acceleration, the Event of Default with respect to this clause (e)(C) shall automatically cease from and after such date; or</w:t>
      </w:r>
    </w:p>
    <w:p>
      <w:pPr>
        <w:spacing w:after="0" w:line="173" w:lineRule="exact"/>
        <w:rPr>
          <w:rFonts w:ascii="Arial" w:cs="Arial" w:eastAsia="Arial" w:hAnsi="Arial"/>
          <w:sz w:val="18"/>
          <w:szCs w:val="18"/>
          <w:color w:val="auto"/>
        </w:rPr>
      </w:pPr>
    </w:p>
    <w:p>
      <w:pPr>
        <w:jc w:val="both"/>
        <w:ind w:firstLine="1505"/>
        <w:spacing w:after="0" w:line="242" w:lineRule="auto"/>
        <w:tabs>
          <w:tab w:leader="none" w:pos="2035" w:val="left"/>
        </w:tabs>
        <w:numPr>
          <w:ilvl w:val="1"/>
          <w:numId w:val="240"/>
        </w:numPr>
        <w:rPr>
          <w:rFonts w:ascii="Arial" w:cs="Arial" w:eastAsia="Arial" w:hAnsi="Arial"/>
          <w:sz w:val="20"/>
          <w:szCs w:val="20"/>
          <w:color w:val="auto"/>
        </w:rPr>
      </w:pPr>
      <w:r>
        <w:rPr>
          <w:rFonts w:ascii="Arial" w:cs="Arial" w:eastAsia="Arial" w:hAnsi="Arial"/>
          <w:sz w:val="20"/>
          <w:szCs w:val="20"/>
          <w:u w:val="single" w:color="auto"/>
          <w:color w:val="auto"/>
        </w:rPr>
        <w:t>Insolvency Proceedings, Etc</w:t>
      </w:r>
      <w:r>
        <w:rPr>
          <w:rFonts w:ascii="Arial" w:cs="Arial" w:eastAsia="Arial" w:hAnsi="Arial"/>
          <w:sz w:val="20"/>
          <w:szCs w:val="20"/>
          <w:color w:val="auto"/>
        </w:rPr>
        <w:t>. Any Loan Party or any of its Restricted Subsidiaries (other than Immaterial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96" w:lineRule="exact"/>
        <w:rPr>
          <w:rFonts w:ascii="Arial" w:cs="Arial" w:eastAsia="Arial" w:hAnsi="Arial"/>
          <w:sz w:val="20"/>
          <w:szCs w:val="20"/>
          <w:color w:val="auto"/>
        </w:rPr>
      </w:pPr>
    </w:p>
    <w:p>
      <w:pPr>
        <w:jc w:val="both"/>
        <w:ind w:firstLine="1505"/>
        <w:spacing w:after="0" w:line="263" w:lineRule="auto"/>
        <w:tabs>
          <w:tab w:leader="none" w:pos="2001" w:val="left"/>
        </w:tabs>
        <w:numPr>
          <w:ilvl w:val="1"/>
          <w:numId w:val="240"/>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(i) Any Loan Party or any Restricted Subsidiary (other than any Immaterial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76" w:lineRule="exact"/>
        <w:rPr>
          <w:rFonts w:ascii="Arial" w:cs="Arial" w:eastAsia="Arial" w:hAnsi="Arial"/>
          <w:sz w:val="19"/>
          <w:szCs w:val="19"/>
          <w:color w:val="auto"/>
        </w:rPr>
      </w:pPr>
    </w:p>
    <w:p>
      <w:pPr>
        <w:jc w:val="both"/>
        <w:ind w:firstLine="1505"/>
        <w:spacing w:after="0" w:line="246" w:lineRule="auto"/>
        <w:tabs>
          <w:tab w:leader="none" w:pos="1990" w:val="left"/>
        </w:tabs>
        <w:numPr>
          <w:ilvl w:val="1"/>
          <w:numId w:val="240"/>
        </w:numPr>
        <w:rPr>
          <w:rFonts w:ascii="Arial" w:cs="Arial" w:eastAsia="Arial" w:hAnsi="Arial"/>
          <w:sz w:val="20"/>
          <w:szCs w:val="20"/>
          <w:color w:val="auto"/>
        </w:rPr>
      </w:pPr>
      <w:r>
        <w:rPr>
          <w:rFonts w:ascii="Arial" w:cs="Arial" w:eastAsia="Arial" w:hAnsi="Arial"/>
          <w:sz w:val="20"/>
          <w:szCs w:val="20"/>
          <w:u w:val="single" w:color="auto"/>
          <w:color w:val="auto"/>
        </w:rPr>
        <w:t>Judgments</w:t>
      </w:r>
      <w:r>
        <w:rPr>
          <w:rFonts w:ascii="Arial" w:cs="Arial" w:eastAsia="Arial" w:hAnsi="Arial"/>
          <w:sz w:val="20"/>
          <w:szCs w:val="20"/>
          <w:color w:val="auto"/>
        </w:rPr>
        <w:t>. There is entered against any Loan Party or any Restricted Subsidiary a final judgment or order for the payment of money in an aggregate amount (as to all such judgments and orders) exceeding the Threshold Amount (to the extent not covered by independent third-party insurance as to which the insurer has been notified of such judgment or order and does not deny or fail to acknowledge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4" w:name="page215"/>
    <w:bookmarkEnd w:id="214"/>
    <w:p>
      <w:pPr>
        <w:spacing w:after="0" w:line="260" w:lineRule="auto"/>
        <w:rPr>
          <w:sz w:val="20"/>
          <w:szCs w:val="20"/>
          <w:color w:val="auto"/>
        </w:rPr>
      </w:pPr>
      <w:r>
        <w:rPr>
          <w:rFonts w:ascii="Arial" w:cs="Arial" w:eastAsia="Arial" w:hAnsi="Arial"/>
          <w:sz w:val="20"/>
          <w:szCs w:val="20"/>
          <w:color w:val="auto"/>
        </w:rPr>
        <w:t>coverage) and there is a period of sixty (60) consecutive days during which a stay of enforcement of such judgment, by reason of a pending appeal or otherwise, is not in effect; or</w:t>
      </w:r>
    </w:p>
    <w:p>
      <w:pPr>
        <w:spacing w:after="0" w:line="177" w:lineRule="exact"/>
        <w:rPr>
          <w:sz w:val="20"/>
          <w:szCs w:val="20"/>
          <w:color w:val="auto"/>
        </w:rPr>
      </w:pPr>
    </w:p>
    <w:p>
      <w:pPr>
        <w:jc w:val="both"/>
        <w:ind w:firstLine="1505"/>
        <w:spacing w:after="0" w:line="243" w:lineRule="auto"/>
        <w:tabs>
          <w:tab w:leader="none" w:pos="1997"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which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spacing w:after="0" w:line="195" w:lineRule="exact"/>
        <w:rPr>
          <w:rFonts w:ascii="Arial" w:cs="Arial" w:eastAsia="Arial" w:hAnsi="Arial"/>
          <w:sz w:val="20"/>
          <w:szCs w:val="20"/>
          <w:color w:val="auto"/>
        </w:rPr>
      </w:pPr>
    </w:p>
    <w:p>
      <w:pPr>
        <w:jc w:val="both"/>
        <w:ind w:firstLine="1505"/>
        <w:spacing w:after="0" w:line="256" w:lineRule="auto"/>
        <w:tabs>
          <w:tab w:leader="none" w:pos="1991"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xml:space="preserve">. Any material provision of any Loan Document, at any time after its execution and delivery and for any reason other than as expressly permitted hereunder or thereunder (including as a result of a transaction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or satisfaction in full of all the Obligations (other than contingent indemnification obligations as to which no claim has been asserted and obligations and liabilities under Secured Cash Management Agreements and Secured Hedge Agreements) ceases to be in full force and effect; or any Loan Party contests in writing the validity or enforceability of any provision of any Loan Document; or any Loan Party denies in writing that it has any or further liability or obligation under any Loan Document (other than as a result of repayment in full of the Obligations (other than contingent indemnification obligations as to which no claim has been asserted and obligations and liabilities under Secured Cash Management Agreements and Secured Hedge Agreements) and termination of the Aggregate Commitments), or purports in writing to revoke or rescind any Loan Document; or</w:t>
      </w:r>
    </w:p>
    <w:p>
      <w:pPr>
        <w:spacing w:after="0" w:line="184" w:lineRule="exact"/>
        <w:rPr>
          <w:rFonts w:ascii="Arial" w:cs="Arial" w:eastAsia="Arial" w:hAnsi="Arial"/>
          <w:sz w:val="19"/>
          <w:szCs w:val="19"/>
          <w:color w:val="auto"/>
        </w:rPr>
      </w:pPr>
    </w:p>
    <w:p>
      <w:pPr>
        <w:ind w:left="1980" w:hanging="475"/>
        <w:spacing w:after="0"/>
        <w:tabs>
          <w:tab w:leader="none" w:pos="1980"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15" w:lineRule="exact"/>
        <w:rPr>
          <w:rFonts w:ascii="Arial" w:cs="Arial" w:eastAsia="Arial" w:hAnsi="Arial"/>
          <w:sz w:val="20"/>
          <w:szCs w:val="20"/>
          <w:color w:val="auto"/>
        </w:rPr>
      </w:pPr>
    </w:p>
    <w:p>
      <w:pPr>
        <w:jc w:val="both"/>
        <w:ind w:firstLine="1505"/>
        <w:spacing w:after="0" w:line="257" w:lineRule="auto"/>
        <w:tabs>
          <w:tab w:leader="none" w:pos="1984"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Any Collateral Document covering a material portion of the Collateral after delivery thereof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6.17</w:t>
      </w:r>
      <w:r>
        <w:rPr>
          <w:rFonts w:ascii="Arial" w:cs="Arial" w:eastAsia="Arial" w:hAnsi="Arial"/>
          <w:sz w:val="19"/>
          <w:szCs w:val="19"/>
          <w:color w:val="auto"/>
        </w:rPr>
        <w:t xml:space="preserve"> or the Collateral Documents shall for any reason (other than pursuant to the terms thereof including as a result of a transaction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cease to create a valid and perfected (subject to the Perfection Exceptions) first priority Lien on and security interest in any material Collateral covered thereby, subject to Liens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except to the extent (i) resulting from the failure of the Collateral Agent to maintain possession of certificates actually delivered to it representing securities pledged under the Collateral Documents or to file Uniform Commercial Code continuation statements, or (ii) except as to Collateral consisting of real property, to the extent that such losses are covered by a lender’s title insurance policy and such insurers have not denied or failed to acknowledge coverage.</w:t>
      </w:r>
    </w:p>
    <w:p>
      <w:pPr>
        <w:spacing w:after="0" w:line="180"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8.02 Remedies Upon Event of Default. If any Event of Default occurs and is continuing, the Administrative Agent shall, at the request of, or may, with the consent of, the Required Lenders, take any or all of the following actions:</w:t>
      </w:r>
    </w:p>
    <w:p>
      <w:pPr>
        <w:spacing w:after="0" w:line="177" w:lineRule="exact"/>
        <w:rPr>
          <w:sz w:val="20"/>
          <w:szCs w:val="20"/>
          <w:color w:val="auto"/>
        </w:rPr>
      </w:pPr>
    </w:p>
    <w:p>
      <w:pPr>
        <w:ind w:left="2040" w:hanging="535"/>
        <w:spacing w:after="0"/>
        <w:tabs>
          <w:tab w:leader="none" w:pos="20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505"/>
        <w:spacing w:after="0" w:line="250" w:lineRule="auto"/>
        <w:tabs>
          <w:tab w:leader="none" w:pos="1989" w:val="left"/>
        </w:tabs>
        <w:numPr>
          <w:ilvl w:val="0"/>
          <w:numId w:val="242"/>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5" w:lineRule="exact"/>
        <w:rPr>
          <w:rFonts w:ascii="Arial" w:cs="Arial" w:eastAsia="Arial" w:hAnsi="Arial"/>
          <w:sz w:val="20"/>
          <w:szCs w:val="20"/>
          <w:color w:val="auto"/>
        </w:rPr>
      </w:pPr>
    </w:p>
    <w:p>
      <w:pPr>
        <w:ind w:left="2040" w:hanging="535"/>
        <w:spacing w:after="0"/>
        <w:tabs>
          <w:tab w:leader="none" w:pos="204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5" w:name="page216"/>
    <w:bookmarkEnd w:id="215"/>
    <w:p>
      <w:pPr>
        <w:jc w:val="both"/>
        <w:ind w:firstLine="1505"/>
        <w:spacing w:after="0" w:line="250" w:lineRule="auto"/>
        <w:tabs>
          <w:tab w:leader="none" w:pos="199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exercise on behalf of itself and the Lenders all rights and remedies available to it and the Lenders under the Loan Documents, under any document evidencing Indebtedness in respect of which the Facilities have been designated as “Designated Senior Debt,” (or any comparable term) and/or under applicable Law;</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the Borrower under any Debtor Relief Law, the unpaid principal amount of all outstanding Loans and all interest and other amounts as aforesaid shall automatically become due and payable, in each case without further act of the Administrative Agent or any Lender.</w:t>
      </w:r>
    </w:p>
    <w:p>
      <w:pPr>
        <w:spacing w:after="0" w:line="170"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 xml:space="preserve">8.03 Application of Funds.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any amounts received on account of the Obligations shall, subject to the provisions of Section 2.18, be applied (subject to the terms of the Intercreditor Agreements) by the Administrative Agent in the following order:</w:t>
      </w:r>
    </w:p>
    <w:p>
      <w:pPr>
        <w:spacing w:after="0" w:line="152"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disbursements and other charges of counsel payable under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and the Collateral Agent in their capacities as such;</w:t>
      </w:r>
    </w:p>
    <w:p>
      <w:pPr>
        <w:spacing w:after="0" w:line="78"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and indemnities payable to the Lenders (including fees, disbursements and other charges of counsel payable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ratably among them in proportion to the respective amounts described in this clause Second payable to them;</w:t>
      </w:r>
    </w:p>
    <w:p>
      <w:pPr>
        <w:spacing w:after="0" w:line="4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interest on the Loans, ratably among the Lenders in proportion to the respective amounts described in this clause Third payable to them;</w:t>
      </w:r>
    </w:p>
    <w:p>
      <w:pPr>
        <w:spacing w:after="0" w:line="6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payment of that portion of the Obligations constituting unpaid principal of the Loans, obligations of the Loan Parties and Restricted Subsidiaries then owing under the Secured Hedge Agreements and the Secured Cash Management Agreements and all other Obligations, ratably based upon the respective aggregate amounts of all such Obligations owing to the Administrative Agent, the Lenders and the other Secured Parties on such date; and</w:t>
      </w:r>
    </w:p>
    <w:p>
      <w:pPr>
        <w:spacing w:after="0" w:line="83" w:lineRule="exact"/>
        <w:rPr>
          <w:sz w:val="20"/>
          <w:szCs w:val="20"/>
          <w:color w:val="auto"/>
        </w:rPr>
      </w:pPr>
    </w:p>
    <w:p>
      <w:pPr>
        <w:ind w:left="380" w:right="1020"/>
        <w:spacing w:after="0" w:line="388"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paid in full, to the Borrower or as otherwise required by Law; provided that no amounts received from any Guarantor shall be applied to Excluded Swap Obligations of such Guarantor.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11"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ADMINISTRATIVE AGENT AND OTHER AGENTS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9.01  Appointment and Authorization of Agents.</w:t>
      </w:r>
    </w:p>
    <w:p>
      <w:pPr>
        <w:spacing w:after="0" w:line="216" w:lineRule="exact"/>
        <w:rPr>
          <w:sz w:val="20"/>
          <w:szCs w:val="20"/>
          <w:color w:val="auto"/>
        </w:rPr>
      </w:pPr>
    </w:p>
    <w:p>
      <w:pPr>
        <w:jc w:val="both"/>
        <w:ind w:firstLine="1505"/>
        <w:spacing w:after="0" w:line="244" w:lineRule="auto"/>
        <w:tabs>
          <w:tab w:leader="none" w:pos="1982" w:val="left"/>
        </w:tabs>
        <w:numPr>
          <w:ilvl w:val="0"/>
          <w:numId w:val="244"/>
        </w:numPr>
        <w:rPr>
          <w:rFonts w:ascii="Arial" w:cs="Arial" w:eastAsia="Arial" w:hAnsi="Arial"/>
          <w:sz w:val="20"/>
          <w:szCs w:val="20"/>
          <w:color w:val="auto"/>
        </w:rPr>
      </w:pPr>
      <w:r>
        <w:rPr>
          <w:rFonts w:ascii="Arial" w:cs="Arial" w:eastAsia="Arial" w:hAnsi="Arial"/>
          <w:sz w:val="20"/>
          <w:szCs w:val="20"/>
          <w:color w:val="auto"/>
        </w:rPr>
        <w:t>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and the Administrative Agent hereby accepts such appointment. Notwithstanding any provision to the contrary contained elsewhere herein or in any other Loan Document, no Agent, including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6" w:name="page217"/>
    <w:bookmarkEnd w:id="216"/>
    <w:p>
      <w:pPr>
        <w:jc w:val="both"/>
        <w:spacing w:after="0" w:line="256" w:lineRule="auto"/>
        <w:rPr>
          <w:sz w:val="20"/>
          <w:szCs w:val="20"/>
          <w:color w:val="auto"/>
        </w:rPr>
      </w:pPr>
      <w:r>
        <w:rPr>
          <w:rFonts w:ascii="Arial" w:cs="Arial" w:eastAsia="Arial" w:hAnsi="Arial"/>
          <w:sz w:val="19"/>
          <w:szCs w:val="19"/>
          <w:color w:val="auto"/>
        </w:rPr>
        <w:t>the Syndication Agents, the Documentation Agent, the Senior Co-Managers or the Co-Manager, shall have any duties or responsibilities, except those expressly set forth herein, nor shall any Agent, including the Syndication Agents, the Documentation Agent, the Senior Co-Managers or the Co-Manager, have or be deemed to have any fiduciary relationship with any Lender or participant, and no implied covenants, functions, responsibilities, duties, obligations or liabilities shall be read into this Agreement or any other Loan Document or otherwise exist against any Agent, including the Syndication Agents, the Documentation Agent, the Senior Co-Managers or the Co-Manager.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4" w:lineRule="exact"/>
        <w:rPr>
          <w:sz w:val="20"/>
          <w:szCs w:val="20"/>
          <w:color w:val="auto"/>
        </w:rPr>
      </w:pPr>
    </w:p>
    <w:p>
      <w:pPr>
        <w:ind w:left="1980" w:hanging="475"/>
        <w:spacing w:after="0"/>
        <w:tabs>
          <w:tab w:leader="none" w:pos="198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505"/>
        <w:spacing w:after="0" w:line="273" w:lineRule="auto"/>
        <w:tabs>
          <w:tab w:leader="none" w:pos="198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Each Lender hereby irrevocably appoints and authorizes the Collateral Agent to act as the agent of such Lender for purposes of acquiring, holding and enforcing any and all Liens on Collateral granted by any of the Loan Parties to secure any of the Secured Obligations, together with such powers and discretion as are reasonably incidental thereto, and the Collateral Agent hereby accepts such appointment. In this connection, the Collateral Agent (and any co-agents, sub-agents and attorneys-in-fact appointed by the Collateral Agent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(including, without limitation, </w:t>
      </w:r>
      <w:r>
        <w:rPr>
          <w:rFonts w:ascii="Arial" w:cs="Arial" w:eastAsia="Arial" w:hAnsi="Arial"/>
          <w:sz w:val="18"/>
          <w:szCs w:val="18"/>
          <w:u w:val="single" w:color="auto"/>
          <w:color w:val="auto"/>
        </w:rPr>
        <w:t>Section 9.07</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6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9.02 Delegation of Duties. Each of the Agents may execute any of its duties under this Agreement or any other Loan Document (including, with respect to the Collateral Agent,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Neither Agent shall be responsible for the negligence or misconduct of any agent or attorney-in-fact that it selects in the absence of gross negligence or willful misconduct.</w:t>
      </w:r>
    </w:p>
    <w:p>
      <w:pPr>
        <w:spacing w:after="0" w:line="196"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9.03 Liability of Agents. No Agent-Related Person shall (a) be liable for any action taken or omitted to be taken by any of them under or in connection with this Agreement or any other Loan Document or the transactions contemplated hereby (except for its own gross negligence or willful misconduct in connection with its duties expressly set forth herein, to the extent determined in a final, nonappealable judgment by a court of competent jurisdiction)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or the Collateral Agent under or in connection with, this Agreement or any other Loan Document, or the validity, effectiveness, genuineness, enforceability or sufficiency of this Agreement or any other Loan Document, or the validity, perfection or priority of any Lien or security interest created or purported to be created under the Collateral Documents, or the value or sufficiency of the Collateral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7" w:name="page218"/>
    <w:bookmarkEnd w:id="217"/>
    <w:p>
      <w:pPr>
        <w:ind w:left="1500"/>
        <w:spacing w:after="0"/>
        <w:rPr>
          <w:sz w:val="20"/>
          <w:szCs w:val="20"/>
          <w:color w:val="auto"/>
        </w:rPr>
      </w:pPr>
      <w:r>
        <w:rPr>
          <w:rFonts w:ascii="Arial" w:cs="Arial" w:eastAsia="Arial" w:hAnsi="Arial"/>
          <w:sz w:val="20"/>
          <w:szCs w:val="20"/>
          <w:color w:val="auto"/>
        </w:rPr>
        <w:t>9.04  Reliance by Agents.</w:t>
      </w:r>
    </w:p>
    <w:p>
      <w:pPr>
        <w:spacing w:after="0" w:line="216" w:lineRule="exact"/>
        <w:rPr>
          <w:sz w:val="20"/>
          <w:szCs w:val="20"/>
          <w:color w:val="auto"/>
        </w:rPr>
      </w:pPr>
    </w:p>
    <w:p>
      <w:pPr>
        <w:jc w:val="both"/>
        <w:ind w:firstLine="1505"/>
        <w:spacing w:after="0" w:line="271" w:lineRule="auto"/>
        <w:tabs>
          <w:tab w:leader="none" w:pos="201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69" w:lineRule="exact"/>
        <w:rPr>
          <w:rFonts w:ascii="Arial" w:cs="Arial" w:eastAsia="Arial" w:hAnsi="Arial"/>
          <w:sz w:val="18"/>
          <w:szCs w:val="18"/>
          <w:color w:val="auto"/>
        </w:rPr>
      </w:pPr>
    </w:p>
    <w:p>
      <w:pPr>
        <w:jc w:val="both"/>
        <w:ind w:firstLine="1505"/>
        <w:spacing w:after="0" w:line="263" w:lineRule="auto"/>
        <w:tabs>
          <w:tab w:leader="none" w:pos="1989"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the conditions specified in </w:t>
      </w:r>
      <w:r>
        <w:rPr>
          <w:rFonts w:ascii="Arial" w:cs="Arial" w:eastAsia="Arial" w:hAnsi="Arial"/>
          <w:sz w:val="19"/>
          <w:szCs w:val="19"/>
          <w:u w:val="single" w:color="auto"/>
          <w:color w:val="auto"/>
        </w:rPr>
        <w:t>Section 4.01</w:t>
      </w:r>
      <w:r>
        <w:rPr>
          <w:rFonts w:ascii="Arial" w:cs="Arial" w:eastAsia="Arial" w:hAnsi="Arial"/>
          <w:sz w:val="19"/>
          <w:szCs w:val="19"/>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 xml:space="preserve">9.05 Notice of Default.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68"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9.06 Credit Decision; Disclosure of Information by Agents. Each Lender acknowledges that no Agent-Related Person has made any representation or warranty to it, and that no act by any Agent taken after the Closing Date,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8" w:name="page219"/>
    <w:bookmarkEnd w:id="218"/>
    <w:p>
      <w:pPr>
        <w:jc w:val="both"/>
        <w:spacing w:after="0" w:line="260" w:lineRule="auto"/>
        <w:rPr>
          <w:sz w:val="20"/>
          <w:szCs w:val="20"/>
          <w:color w:val="auto"/>
        </w:rPr>
      </w:pPr>
      <w:r>
        <w:rPr>
          <w:rFonts w:ascii="Arial" w:cs="Arial" w:eastAsia="Arial" w:hAnsi="Arial"/>
          <w:sz w:val="19"/>
          <w:szCs w:val="19"/>
          <w:color w:val="auto"/>
        </w:rPr>
        <w:t>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80"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9.07 Indemnification of Agent. Whether or not the transactions contemplated hereby are consummated, the Lenders shall indemnify upon demand each Agent-Related Person (to the extent not reimbursed by or on behalf of any Loan Party and without limiting the obligation of any Loan Party to do so),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and hold harmless each Agent-Related Person from and against any and all Indemnified Liabilities incurred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Lender shall be liable for the payment to any Agent-Related Person of any portion of such Indemnified Liabilities to the extent determined in a final, nonappealable judgment by a court of competent jurisdiction to have resulted from such Agent-Related Person’s own gross negligence or willful misconduct;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action taken in accordance with the directions of the Required Lenders shall be deemed to constitute gross negligence or willful misconduct for purposes of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Without limitation of the foregoing, each Lender shall reimburse the Administrative Agent upon demand for its ratable share of any costs or out-of-pocket expenses (including the fees, disbursements and other charges of counsel)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The undertaking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survive termination of the Aggregate Commitments, the payment of all other Obligations and the resignation of the Administrative Agent.</w:t>
      </w:r>
    </w:p>
    <w:p>
      <w:pPr>
        <w:spacing w:after="0" w:line="181"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9.08 Agents in their Individual Capacities. Any Agent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it were not an Agent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and the terms “Lender” and “Lenders” include such Agent in its individual capacity.</w:t>
      </w:r>
    </w:p>
    <w:p>
      <w:pPr>
        <w:spacing w:after="0" w:line="168"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9"/>
          <w:szCs w:val="19"/>
          <w:color w:val="auto"/>
        </w:rPr>
        <w:t xml:space="preserve">9.09 Successor Agents. Each Agent may resign as the Agent upon thirty (30) days’ notice to the Borrower and the Lenders (or such shorter period of notice as such Agent and the Borrower may agree). If any Agent resigns under this Agreement, the Required Lenders shall appoint from among the Lenders a successor agent for the Lenders, which successor agent shall be consented to by the Borrower at all times other than during the existence of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(which consent of the Borrower shall not be unreasonably withheld or delayed). If no successor agent is appointed prior to the effective date of the resignation of such Agent, such Agent may appoint, after consulting with the Lenders and the Borrower, a successor agent from among the Lenders. Upon the acceptance of its appointment as successor agent hereunder, the Person acting as such successor agent shall succeed to all the rights, powers and duties of the retiring Agent and the term “Administrative Agent” or “Collateral Agent,” as applicable, shall mean such successor administrative agent and/or Supplemental Administrative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19" w:name="page220"/>
    <w:bookmarkEnd w:id="219"/>
    <w:p>
      <w:pPr>
        <w:jc w:val="both"/>
        <w:spacing w:after="0" w:line="269" w:lineRule="auto"/>
        <w:rPr>
          <w:sz w:val="20"/>
          <w:szCs w:val="20"/>
          <w:color w:val="auto"/>
        </w:rPr>
      </w:pPr>
      <w:r>
        <w:rPr>
          <w:rFonts w:ascii="Arial" w:cs="Arial" w:eastAsia="Arial" w:hAnsi="Arial"/>
          <w:sz w:val="18"/>
          <w:szCs w:val="18"/>
          <w:color w:val="auto"/>
        </w:rPr>
        <w:t xml:space="preserve">Agent or successor collateral agent and/or Supplemental Collateral Agent, as the case may be, and the retiring Agent’s appointment, powers and duties as such Agent shall be terminated. After the retiring Agent’s resignation hereunder as the applicable Agent,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shall inure to its benefit as to any actions taken or omitted to be taken by it while it was the Administrative Agent or Collateral Agent, as applicable, under this Agreement. If no successor agent has accepted appointment as the Administrative Agent or Collateral Agent, as applicable, by the date which is thirty (30) days following the retiring Agent’s notice of resignation, the retiring Agent’s resignation shall nevertheless thereupon become effective and the Lenders shall perform all of the duties of such Agent hereunder until such time, if any, as the Required Lenders appoint a successor agent as provided for above. Upon the acceptance of any appointment as the Collateral Agent hereunder by a successor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Collateral Documents, the Collateral Agent shall thereupon succeed to and become vested with all the rights, powers, discretion, privileges, and duties of the retiring Collateral Agent. Upon the acceptance of any appointment as an Agent hereunder by a successor or upon the expiration of the thirty-day period following the retiring Agent’s notice of resignation without a successor agent having been appointed, such retiring Agent shall be discharged from its duties and obligations under the Loan Documents. After the retiring Agent’s resignation hereunder as the applicable Agent,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continue in effect for its benefit in respect of any actions taken or omitted to be taken by it while it was acting as the applicable Agent.</w:t>
      </w:r>
    </w:p>
    <w:p>
      <w:pPr>
        <w:spacing w:after="0" w:line="176"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9.10 Administrative Agent May File Proofs of Claim. 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4" w:lineRule="exact"/>
        <w:rPr>
          <w:sz w:val="20"/>
          <w:szCs w:val="20"/>
          <w:color w:val="auto"/>
        </w:rPr>
      </w:pPr>
    </w:p>
    <w:p>
      <w:pPr>
        <w:jc w:val="both"/>
        <w:ind w:firstLine="1505"/>
        <w:spacing w:after="0" w:line="260" w:lineRule="auto"/>
        <w:tabs>
          <w:tab w:leader="none" w:pos="198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9"/>
          <w:szCs w:val="19"/>
          <w:u w:val="single" w:color="auto"/>
          <w:color w:val="auto"/>
        </w:rPr>
        <w:t>Section 10.04</w:t>
      </w:r>
      <w:r>
        <w:rPr>
          <w:rFonts w:ascii="Arial" w:cs="Arial" w:eastAsia="Arial" w:hAnsi="Arial"/>
          <w:sz w:val="19"/>
          <w:szCs w:val="19"/>
          <w:color w:val="auto"/>
        </w:rPr>
        <w:t>) allowed in such judicial proceeding; and</w:t>
      </w:r>
    </w:p>
    <w:p>
      <w:pPr>
        <w:spacing w:after="0" w:line="180" w:lineRule="exact"/>
        <w:rPr>
          <w:rFonts w:ascii="Arial" w:cs="Arial" w:eastAsia="Arial" w:hAnsi="Arial"/>
          <w:sz w:val="19"/>
          <w:szCs w:val="19"/>
          <w:color w:val="auto"/>
        </w:rPr>
      </w:pPr>
    </w:p>
    <w:p>
      <w:pPr>
        <w:ind w:left="2000" w:hanging="495"/>
        <w:spacing w:after="0"/>
        <w:tabs>
          <w:tab w:leader="none" w:pos="20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w:t>
      </w:r>
      <w:r>
        <w:rPr>
          <w:rFonts w:ascii="Arial" w:cs="Arial" w:eastAsia="Arial" w:hAnsi="Arial"/>
          <w:sz w:val="20"/>
          <w:szCs w:val="20"/>
          <w:u w:val="single" w:color="auto"/>
          <w:color w:val="auto"/>
        </w:rPr>
        <w:t>Section 10.04</w:t>
      </w:r>
      <w:r>
        <w:rPr>
          <w:rFonts w:ascii="Arial" w:cs="Arial" w:eastAsia="Arial" w:hAnsi="Arial"/>
          <w:sz w:val="20"/>
          <w:szCs w:val="20"/>
          <w:color w:val="auto"/>
        </w:rPr>
        <w:t>.</w:t>
      </w:r>
    </w:p>
    <w:p>
      <w:pPr>
        <w:spacing w:after="0" w:line="19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0" w:name="page221"/>
    <w:bookmarkEnd w:id="220"/>
    <w:p>
      <w:pPr>
        <w:ind w:left="1500"/>
        <w:spacing w:after="0"/>
        <w:rPr>
          <w:sz w:val="20"/>
          <w:szCs w:val="20"/>
          <w:color w:val="auto"/>
        </w:rPr>
      </w:pPr>
      <w:r>
        <w:rPr>
          <w:rFonts w:ascii="Arial" w:cs="Arial" w:eastAsia="Arial" w:hAnsi="Arial"/>
          <w:sz w:val="18"/>
          <w:szCs w:val="18"/>
          <w:color w:val="auto"/>
        </w:rPr>
        <w:t>9.11  Collateral and Guaranty Matters. Each of the Lenders irrevocably authorizes the Collateral Agent, at its option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 its discretion,</w:t>
      </w:r>
    </w:p>
    <w:p>
      <w:pPr>
        <w:spacing w:after="0" w:line="200" w:lineRule="exact"/>
        <w:rPr>
          <w:sz w:val="20"/>
          <w:szCs w:val="20"/>
          <w:color w:val="auto"/>
        </w:rPr>
      </w:pPr>
    </w:p>
    <w:p>
      <w:pPr>
        <w:jc w:val="both"/>
        <w:ind w:firstLine="1505"/>
        <w:spacing w:after="0" w:line="273" w:lineRule="auto"/>
        <w:tabs>
          <w:tab w:leader="none" w:pos="19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Collateral Agent under any Loan Document (i) upon termination of the Aggregate Commitments and payment in full of all Obligations (other than contingent indemnification obligations as to which no claim has been asserted and obligations and liabilities under Secured Cash Management Agreements and Secured Hedge Agreements), (ii) that is sold as part of or in connection with any sale permitted hereunder or under any other Loan Document to a Person that is not a Loan Party, (iii) subject to </w:t>
      </w:r>
      <w:r>
        <w:rPr>
          <w:rFonts w:ascii="Arial" w:cs="Arial" w:eastAsia="Arial" w:hAnsi="Arial"/>
          <w:sz w:val="18"/>
          <w:szCs w:val="18"/>
          <w:u w:val="single" w:color="auto"/>
          <w:color w:val="auto"/>
        </w:rPr>
        <w:t>Section 10.01</w:t>
      </w:r>
      <w:r>
        <w:rPr>
          <w:rFonts w:ascii="Arial" w:cs="Arial" w:eastAsia="Arial" w:hAnsi="Arial"/>
          <w:sz w:val="18"/>
          <w:szCs w:val="18"/>
          <w:color w:val="auto"/>
        </w:rPr>
        <w:t>, if approved, authorized or ratified in writing by the Required Lenders, (iv) to the extent such property is secured by a Permitted Lien under clause (6) of the definition thereof, (v) that constitutes Excluded Assets as a result of an occurrence not prohibited hereunder or (vi) owned by a Subsidiary Guarantor upon release of such Subsidiary Guarantor from its obligations under its Guaranty or hereunder, as applicable, pursuant to clause (c) below;</w:t>
      </w:r>
    </w:p>
    <w:p>
      <w:pPr>
        <w:spacing w:after="0" w:line="168" w:lineRule="exact"/>
        <w:rPr>
          <w:rFonts w:ascii="Arial" w:cs="Arial" w:eastAsia="Arial" w:hAnsi="Arial"/>
          <w:sz w:val="18"/>
          <w:szCs w:val="18"/>
          <w:color w:val="auto"/>
        </w:rPr>
      </w:pPr>
    </w:p>
    <w:p>
      <w:pPr>
        <w:jc w:val="both"/>
        <w:ind w:firstLine="1505"/>
        <w:spacing w:after="0" w:line="272" w:lineRule="auto"/>
        <w:tabs>
          <w:tab w:leader="none" w:pos="198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release or subordinate any Lien on any property granted to or held by the Administrative Agent or Collateral Agent under any Loan Document to the holder of any Permitted Lien on such property that is permitted by clauses (1), (4), (5), (6) (only with regard to Section 7.03(b)(4)), (9), (11) (solely with respect to cash deposits), (16), (17) (other than with respect to self-insurance arrangements), (18) (solely to the extent constituting Excluded Assets), (19), (21), (23) (solely to the extent relating to a lien of the type allowed pursuant to clauses (9) and (11) (solely with respect to cash deposits) of the definition thereof), (25) (solely to the extent relating to a lien of the type allowed pursuant to clause (6) of the definition of “Permitted Liens” and securing obligations under Indebtedness of the type allowed pursuant to Section 7.03(b)(4)), (26) (solely to the extent the Lien of the Collateral Agent on such property is not, pursuant to such agreements, permitted to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Liens), (29) (solely with respect to cash deposits), (35), (39) (only for so long as required to be secured for such letter of intent or investment) and (45) of the definition thereof;</w:t>
      </w:r>
    </w:p>
    <w:p>
      <w:pPr>
        <w:spacing w:after="0" w:line="170" w:lineRule="exact"/>
        <w:rPr>
          <w:rFonts w:ascii="Arial" w:cs="Arial" w:eastAsia="Arial" w:hAnsi="Arial"/>
          <w:sz w:val="18"/>
          <w:szCs w:val="18"/>
          <w:color w:val="auto"/>
        </w:rPr>
      </w:pPr>
    </w:p>
    <w:p>
      <w:pPr>
        <w:ind w:firstLine="1505"/>
        <w:spacing w:after="0" w:line="260" w:lineRule="auto"/>
        <w:tabs>
          <w:tab w:leader="none" w:pos="198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if such Person ceases to be a Restricted Subsidiary as a result of a transaction permitted hereunder; and</w:t>
      </w:r>
    </w:p>
    <w:p>
      <w:pPr>
        <w:spacing w:after="0" w:line="176" w:lineRule="exact"/>
        <w:rPr>
          <w:rFonts w:ascii="Arial" w:cs="Arial" w:eastAsia="Arial" w:hAnsi="Arial"/>
          <w:sz w:val="20"/>
          <w:szCs w:val="20"/>
          <w:color w:val="auto"/>
        </w:rPr>
      </w:pPr>
    </w:p>
    <w:p>
      <w:pPr>
        <w:ind w:left="1980" w:hanging="475"/>
        <w:spacing w:after="0"/>
        <w:tabs>
          <w:tab w:leader="none" w:pos="198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establish intercreditor arrangements as contemplated by this Agreement.</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Upon request by the Collateral Agent at any time, the Required Lenders will confirm in writing the Collateral Agent’s authority to release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9.11</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the Collateral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release such Guarantor from its obligations under the Guaranty, in each case in accordance with the terms of the Loan Documents and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delivered to the Collateral Agent a certificate of a Responsible Officer of the Borrower certifying that any such transaction has been consummated in compliance with this Agreement and the other Loan Documents.</w:t>
      </w:r>
    </w:p>
    <w:p>
      <w:pPr>
        <w:spacing w:after="0" w:line="16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9.12 Secured Cash Management Agreements and Secured Hedge Agreements. No Cash Management Bank or Hedge Bank that obtains the benefits of Section 8.03,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1" w:name="page222"/>
    <w:bookmarkEnd w:id="221"/>
    <w:p>
      <w:pPr>
        <w:jc w:val="both"/>
        <w:spacing w:after="0" w:line="274" w:lineRule="auto"/>
        <w:rPr>
          <w:sz w:val="20"/>
          <w:szCs w:val="20"/>
          <w:color w:val="auto"/>
        </w:rPr>
      </w:pPr>
      <w:r>
        <w:rPr>
          <w:rFonts w:ascii="Arial" w:cs="Arial" w:eastAsia="Arial" w:hAnsi="Arial"/>
          <w:sz w:val="18"/>
          <w:szCs w:val="18"/>
          <w:color w:val="auto"/>
        </w:rPr>
        <w:t>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 By accepting the benefits of the Collateral, each Secured Party that is a party to any such arrangement in respect of Secured Cash Management Agreements or Secured Hedge Agreement, as applicable, shall be deemed to have appointed the Administrative Agent to serve as administrative agent under the Loan Documents, and shall be deemed to have appointed the Collateral Agent to serve as collateral agent under the Loan Documents and agreed to be bound by the Loan Documents as a Secured Party thereunder, subject to the limitations set forth in this paragraph.</w:t>
      </w:r>
    </w:p>
    <w:p>
      <w:pPr>
        <w:spacing w:after="0" w:line="168"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9.13 Other Agents; Arranger and Managers. None of the Lenders or other Persons identified on the facing page or signature pages of this Agreement as a “syndication agent,” “documentation agent,” “lead arranger,” “bookrunner,” “senior co-manager,” or “co-manager”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65"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9.14 Appointment of Supplemental Agents, Incremental Arrangers, Incremental Equivalent Debt Arrangers and Specified Refinancing Agents.</w:t>
      </w:r>
    </w:p>
    <w:p>
      <w:pPr>
        <w:spacing w:after="0" w:line="177" w:lineRule="exact"/>
        <w:rPr>
          <w:sz w:val="20"/>
          <w:szCs w:val="20"/>
          <w:color w:val="auto"/>
        </w:rPr>
      </w:pPr>
    </w:p>
    <w:p>
      <w:pPr>
        <w:jc w:val="both"/>
        <w:ind w:firstLine="1505"/>
        <w:spacing w:after="0" w:line="271" w:lineRule="auto"/>
        <w:tabs>
          <w:tab w:leader="none" w:pos="198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in each case, as applicable,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or the Collateral Agent, in each case, as applicable, is hereby authorized to appoint an additional individual or institution selected by such Agent in its sole discretion as a separate trustee, co-trustee, administrative agent, collateral agent, administrative sub-agent, collateral sub-agent, administrative co-agent or collateral co-agent (any such additional individual or institution being referred to herein individually, as a “</w:t>
      </w:r>
      <w:r>
        <w:rPr>
          <w:rFonts w:ascii="Arial" w:cs="Arial" w:eastAsia="Arial" w:hAnsi="Arial"/>
          <w:sz w:val="18"/>
          <w:szCs w:val="18"/>
          <w:b w:val="1"/>
          <w:bCs w:val="1"/>
          <w:i w:val="1"/>
          <w:iCs w:val="1"/>
          <w:color w:val="auto"/>
        </w:rPr>
        <w:t>Supplemental Administrative Agent</w:t>
      </w:r>
      <w:r>
        <w:rPr>
          <w:rFonts w:ascii="Arial" w:cs="Arial" w:eastAsia="Arial" w:hAnsi="Arial"/>
          <w:sz w:val="18"/>
          <w:szCs w:val="18"/>
          <w:color w:val="auto"/>
        </w:rPr>
        <w:t>” or a “</w:t>
      </w:r>
      <w:r>
        <w:rPr>
          <w:rFonts w:ascii="Arial" w:cs="Arial" w:eastAsia="Arial" w:hAnsi="Arial"/>
          <w:sz w:val="18"/>
          <w:szCs w:val="18"/>
          <w:b w:val="1"/>
          <w:bCs w:val="1"/>
          <w:i w:val="1"/>
          <w:iCs w:val="1"/>
          <w:color w:val="auto"/>
        </w:rPr>
        <w:t>Supplemental Collateral Agent</w:t>
      </w:r>
      <w:r>
        <w:rPr>
          <w:rFonts w:ascii="Arial" w:cs="Arial" w:eastAsia="Arial" w:hAnsi="Arial"/>
          <w:sz w:val="18"/>
          <w:szCs w:val="18"/>
          <w:color w:val="auto"/>
        </w:rPr>
        <w:t>,” in each case, as applicable, and collectively as “</w:t>
      </w:r>
      <w:r>
        <w:rPr>
          <w:rFonts w:ascii="Arial" w:cs="Arial" w:eastAsia="Arial" w:hAnsi="Arial"/>
          <w:sz w:val="18"/>
          <w:szCs w:val="18"/>
          <w:b w:val="1"/>
          <w:bCs w:val="1"/>
          <w:i w:val="1"/>
          <w:iCs w:val="1"/>
          <w:color w:val="auto"/>
        </w:rPr>
        <w:t>Supplemental Administrative Agents</w:t>
      </w:r>
      <w:r>
        <w:rPr>
          <w:rFonts w:ascii="Arial" w:cs="Arial" w:eastAsia="Arial" w:hAnsi="Arial"/>
          <w:sz w:val="18"/>
          <w:szCs w:val="18"/>
          <w:color w:val="auto"/>
        </w:rPr>
        <w:t>” or “</w:t>
      </w:r>
      <w:r>
        <w:rPr>
          <w:rFonts w:ascii="Arial" w:cs="Arial" w:eastAsia="Arial" w:hAnsi="Arial"/>
          <w:sz w:val="18"/>
          <w:szCs w:val="18"/>
          <w:b w:val="1"/>
          <w:bCs w:val="1"/>
          <w:i w:val="1"/>
          <w:iCs w:val="1"/>
          <w:color w:val="auto"/>
        </w:rPr>
        <w:t>Supplemental Collateral Agents</w:t>
      </w:r>
      <w:r>
        <w:rPr>
          <w:rFonts w:ascii="Arial" w:cs="Arial" w:eastAsia="Arial" w:hAnsi="Arial"/>
          <w:sz w:val="18"/>
          <w:szCs w:val="18"/>
          <w:color w:val="auto"/>
        </w:rPr>
        <w:t>,” in each case, as applicable).</w:t>
      </w:r>
    </w:p>
    <w:p>
      <w:pPr>
        <w:spacing w:after="0" w:line="169" w:lineRule="exact"/>
        <w:rPr>
          <w:rFonts w:ascii="Arial" w:cs="Arial" w:eastAsia="Arial" w:hAnsi="Arial"/>
          <w:sz w:val="18"/>
          <w:szCs w:val="18"/>
          <w:color w:val="auto"/>
        </w:rPr>
      </w:pPr>
    </w:p>
    <w:p>
      <w:pPr>
        <w:jc w:val="both"/>
        <w:ind w:firstLine="1505"/>
        <w:spacing w:after="0" w:line="271" w:lineRule="auto"/>
        <w:tabs>
          <w:tab w:leader="none" w:pos="199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In the event that the Collateral Agent appoints a Supplemental Collateral Agent with respect to any Collateral, (i) each and every right, power, privilege or duty expressed or intended by this Agreement or any of the other Loan Documents to be exercised by or vested in or conveyed to the Collateral Agent with respect to such Collateral shall be exercisable by and vest in such Supplemental Collateral Agent to the extent, and only to the extent, necessary to enable such Supplemental Collateral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Collateral Agent shall run to and be enforceable by either the Collateral Agent or such Supplemental Collateral Agent, and (ii)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of </w:t>
      </w:r>
      <w:r>
        <w:rPr>
          <w:rFonts w:ascii="Arial" w:cs="Arial" w:eastAsia="Arial" w:hAnsi="Arial"/>
          <w:sz w:val="18"/>
          <w:szCs w:val="18"/>
          <w:u w:val="single" w:color="auto"/>
          <w:color w:val="auto"/>
        </w:rPr>
        <w:t>Sections 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(obligating the Borrower to pay the Agents’ expenses and to indemnify the Agents) that refer to the Collateral Agent shall inure to the benefit of such Supplemental Collateral Agent and all references therein to the Collateral Agent shall be deemed to be references to the Collateral Agent and/or such Supplemental Collateral Agent, as the context may require.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2" w:name="page223"/>
    <w:bookmarkEnd w:id="222"/>
    <w:p>
      <w:pPr>
        <w:jc w:val="both"/>
        <w:ind w:firstLine="1505"/>
        <w:spacing w:after="0" w:line="255" w:lineRule="auto"/>
        <w:tabs>
          <w:tab w:leader="none" w:pos="199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In the event that the Administrative Agent appoints a Supplemental Administrative Agent, (i) each and every right, power, privilege or duty expressed or intended by this Agreement or any of the other Loan Documents to be exercised by or vested in or conveyed to the Administrative Agent shall be exercisable by and vest in such Supplemental Administrative Agent to the extent, and only to the extent, necessary to enable such Supplemental Administrative Agent to exercise such rights, powers and privileges and to perform such duties,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of </w:t>
      </w:r>
      <w:r>
        <w:rPr>
          <w:rFonts w:ascii="Arial" w:cs="Arial" w:eastAsia="Arial" w:hAnsi="Arial"/>
          <w:sz w:val="19"/>
          <w:szCs w:val="19"/>
          <w:u w:val="single" w:color="auto"/>
          <w:color w:val="auto"/>
        </w:rPr>
        <w:t>Sections 10.04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(obligating the Borrower to pay the Agents’ expenses and to indemnify the Agents)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9" w:lineRule="exact"/>
        <w:rPr>
          <w:rFonts w:ascii="Arial" w:cs="Arial" w:eastAsia="Arial" w:hAnsi="Arial"/>
          <w:sz w:val="19"/>
          <w:szCs w:val="19"/>
          <w:color w:val="auto"/>
        </w:rPr>
      </w:pPr>
    </w:p>
    <w:p>
      <w:pPr>
        <w:jc w:val="both"/>
        <w:ind w:firstLine="1505"/>
        <w:spacing w:after="0" w:line="243" w:lineRule="auto"/>
        <w:tabs>
          <w:tab w:leader="none" w:pos="2025" w:val="left"/>
        </w:tabs>
        <w:numPr>
          <w:ilvl w:val="0"/>
          <w:numId w:val="250"/>
        </w:numPr>
        <w:rPr>
          <w:rFonts w:ascii="Arial" w:cs="Arial" w:eastAsia="Arial" w:hAnsi="Arial"/>
          <w:sz w:val="20"/>
          <w:szCs w:val="20"/>
          <w:color w:val="auto"/>
        </w:rPr>
      </w:pPr>
      <w:r>
        <w:rPr>
          <w:rFonts w:ascii="Arial" w:cs="Arial" w:eastAsia="Arial" w:hAnsi="Arial"/>
          <w:sz w:val="20"/>
          <w:szCs w:val="20"/>
          <w:color w:val="auto"/>
        </w:rPr>
        <w:t>Should any instrument in writing from the Borrower, Holdings or any other Loan Party be required by any Supplemental Collateral Agent so appointed by the Collateral Agent for more fully and certainly vesting in and confirming to him or it such rights, powers, privileges and duties, the Borrower or Holdings, as applicable, shall, or shall cause such Loan Party to, execute, acknowledge and deliver any and all such instruments promptly upon request by the Collateral Agent. In case any Supplemental Collateral Agent, or a successor thereto, shall die, become incapable of acting, resign or be removed, all the rights, powers, privileges and duties of such Supplemental Collateral Agent, to the extent permitted by Law, shall vest in and be exercised by the Collateral Agent until the appointment of a new Supplemental Collateral Agent.</w:t>
      </w:r>
    </w:p>
    <w:p>
      <w:pPr>
        <w:spacing w:after="0" w:line="192" w:lineRule="exact"/>
        <w:rPr>
          <w:rFonts w:ascii="Arial" w:cs="Arial" w:eastAsia="Arial" w:hAnsi="Arial"/>
          <w:sz w:val="20"/>
          <w:szCs w:val="20"/>
          <w:color w:val="auto"/>
        </w:rPr>
      </w:pPr>
    </w:p>
    <w:p>
      <w:pPr>
        <w:jc w:val="both"/>
        <w:ind w:firstLine="1505"/>
        <w:spacing w:after="0" w:line="257" w:lineRule="auto"/>
        <w:tabs>
          <w:tab w:leader="none" w:pos="2025" w:val="left"/>
        </w:tabs>
        <w:numPr>
          <w:ilvl w:val="0"/>
          <w:numId w:val="250"/>
        </w:numPr>
        <w:rPr>
          <w:rFonts w:ascii="Arial" w:cs="Arial" w:eastAsia="Arial" w:hAnsi="Arial"/>
          <w:sz w:val="19"/>
          <w:szCs w:val="19"/>
          <w:color w:val="auto"/>
        </w:rPr>
      </w:pPr>
      <w:r>
        <w:rPr>
          <w:rFonts w:ascii="Arial" w:cs="Arial" w:eastAsia="Arial" w:hAnsi="Arial"/>
          <w:sz w:val="19"/>
          <w:szCs w:val="19"/>
          <w:color w:val="auto"/>
        </w:rPr>
        <w:t>Should any instrument in writing from the Borrower, Holdings or any other Loan Party be required by any Supplemental Administrative Agent so appointed by the Administrative Agent for more fully and certainly vesting in and confirming to him or it such rights, powers, privileges and duties, the Borrower or Holdings, as applicable,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4" w:lineRule="exact"/>
        <w:rPr>
          <w:rFonts w:ascii="Arial" w:cs="Arial" w:eastAsia="Arial" w:hAnsi="Arial"/>
          <w:sz w:val="19"/>
          <w:szCs w:val="19"/>
          <w:color w:val="auto"/>
        </w:rPr>
      </w:pPr>
    </w:p>
    <w:p>
      <w:pPr>
        <w:jc w:val="both"/>
        <w:ind w:firstLine="1505"/>
        <w:spacing w:after="0" w:line="270" w:lineRule="auto"/>
        <w:tabs>
          <w:tab w:leader="none" w:pos="201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the event that the Borrower appoints or designates any Incremental Arranger, Incremental Equivalent Debt Arranger or Specified Refinancing Agent pursuant to Sections 2.16, 2.17 and 2.19, as applicable, (i) each and every right, power, privilege or duty expressed or intended by this Agreement or any of the other Loan Documents to be exercised by or vested in or conveyed to an agent or arranger with respect to New Loan Commitments, Incremental Equivalent Debt or Specified Refinancing Debt, as applicable, shall be exercisable by and vest in such Incremental Arranger, Incremental Equivalent Debt Arranger or Specified Refinancing Agent to the extent, and only to the extent, necessary to enable such Incremental Arranger, Incremental Equivalent Debt Arranger or Specified Refinancing Agent to exercise such rights, powers and privileges with respect to the New Loan Commitments, Incremental Equivalent Debt or Specified Refinancing Debt, as applicable, and to perform such duties with respect to such New Loan Commitments, Incremental Equivalent Debt or Specified Refinancing Debt, and every covenant and obligation contained in the Loan Documents and necessary to the exercise or performance thereof by such Incremental Arranger, Incremental Equivalent Debt Arranger or Specified Refinancing Agent shall run to and be enforceable by either the Administrative Agent or such Incremental Arranger, Incremental Equivalent Debt Arranger or Specified Refinancing Agent, and (ii) the provisions of this Article IX and of Sections 10.04 and 10.05 (obligating the Borrower to pay the Administrative Agent’s and the Collateral Agent’s expenses and to indemnify the Administrative Agent and the Collateral Agent) that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3" w:name="page224"/>
    <w:bookmarkEnd w:id="223"/>
    <w:p>
      <w:pPr>
        <w:jc w:val="both"/>
        <w:spacing w:after="0" w:line="271" w:lineRule="auto"/>
        <w:rPr>
          <w:sz w:val="20"/>
          <w:szCs w:val="20"/>
          <w:color w:val="auto"/>
        </w:rPr>
      </w:pPr>
      <w:r>
        <w:rPr>
          <w:rFonts w:ascii="Arial" w:cs="Arial" w:eastAsia="Arial" w:hAnsi="Arial"/>
          <w:sz w:val="18"/>
          <w:szCs w:val="18"/>
          <w:color w:val="auto"/>
        </w:rPr>
        <w:t>refer to the Administrative Agent and/or the Collateral Agent shall inure to the benefit of such Incremental Arranger, Incremental Equivalent Debt Arranger or Specified Refinancing Agent and all references therein to the Administrative Agent and/or Collateral Agent shall be deemed to be references to the Administrative Agent and/or Collateral Agent and/or such Incremental Arranger, Incremental Equivalent Debt Arranger or Specified Refinancing Agent, as the context may require. Each Lender hereby irrevocably appoints any Incremental Arranger, Incremental Equivalent Debt Arranger or Specified Refinancing Agent to act on its behalf hereunder and under the other Loan Documents pursuant to Sections 2.16, 2.17 and 2.19, as applicable, and designates and authorizes such Incremental Arranger, Incremental Equivalent Debt Arranger or Specified Refinancing Agent to take such actions on its behalf under the provisions of this Agreement and each other Loan Document and to exercise such powers and perform such duties as are expressly delegated to such Incremental Arranger, Incremental Equivalent Debt Arranger or Specified Refinancing Agent by the terms of this Agreement or any other Loan Document, together with such actions and powers as are reasonably incidental thereto.</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9.15  Withholding Taxes.</w:t>
      </w:r>
    </w:p>
    <w:p>
      <w:pPr>
        <w:spacing w:after="0" w:line="21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 xml:space="preserve">To the extent required by any applicable Laws, the Administrative Agent may withhold from any payment to any Lender an amount equivalent to any applicable withholding Tax. Without limiting or expanding the provisions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each Lender shall indemnify and hold harmless the Administrative Agent against, and shall make payable in respect thereof within 10 days after demand therefor, all Taxes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all amounts at any time owing to such Lender under this Agreement or any other Loan Document against any amount due the Administrative Agent under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w:t>
      </w:r>
    </w:p>
    <w:p>
      <w:pPr>
        <w:spacing w:after="0" w:line="17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9.16  Certain ERISA Matters.</w:t>
      </w:r>
    </w:p>
    <w:p>
      <w:pPr>
        <w:spacing w:after="0" w:line="216" w:lineRule="exact"/>
        <w:rPr>
          <w:sz w:val="20"/>
          <w:szCs w:val="20"/>
          <w:color w:val="auto"/>
        </w:rPr>
      </w:pPr>
    </w:p>
    <w:p>
      <w:pPr>
        <w:jc w:val="both"/>
        <w:ind w:firstLine="1505"/>
        <w:spacing w:after="0" w:line="246" w:lineRule="auto"/>
        <w:tabs>
          <w:tab w:leader="none" w:pos="2008" w:val="left"/>
        </w:tabs>
        <w:numPr>
          <w:ilvl w:val="0"/>
          <w:numId w:val="251"/>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91" w:lineRule="exact"/>
        <w:rPr>
          <w:rFonts w:ascii="Arial" w:cs="Arial" w:eastAsia="Arial" w:hAnsi="Arial"/>
          <w:sz w:val="20"/>
          <w:szCs w:val="20"/>
          <w:color w:val="auto"/>
        </w:rPr>
      </w:pPr>
    </w:p>
    <w:p>
      <w:pPr>
        <w:jc w:val="both"/>
        <w:ind w:left="760" w:firstLine="1494"/>
        <w:spacing w:after="0" w:line="250" w:lineRule="auto"/>
        <w:tabs>
          <w:tab w:leader="none" w:pos="2741" w:val="left"/>
        </w:tabs>
        <w:numPr>
          <w:ilvl w:val="1"/>
          <w:numId w:val="25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85" w:lineRule="exact"/>
        <w:rPr>
          <w:rFonts w:ascii="Arial" w:cs="Arial" w:eastAsia="Arial" w:hAnsi="Arial"/>
          <w:sz w:val="20"/>
          <w:szCs w:val="20"/>
          <w:color w:val="auto"/>
        </w:rPr>
      </w:pPr>
    </w:p>
    <w:p>
      <w:pPr>
        <w:jc w:val="both"/>
        <w:ind w:left="760" w:firstLine="1494"/>
        <w:spacing w:after="0" w:line="250" w:lineRule="auto"/>
        <w:tabs>
          <w:tab w:leader="none" w:pos="2743"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4" w:name="page225"/>
    <w:bookmarkEnd w:id="224"/>
    <w:p>
      <w:pPr>
        <w:jc w:val="both"/>
        <w:ind w:left="760"/>
        <w:spacing w:after="0" w:line="282" w:lineRule="auto"/>
        <w:rPr>
          <w:sz w:val="20"/>
          <w:szCs w:val="20"/>
          <w:color w:val="auto"/>
        </w:rPr>
      </w:pPr>
      <w:r>
        <w:rPr>
          <w:rFonts w:ascii="Arial" w:cs="Arial" w:eastAsia="Arial" w:hAnsi="Arial"/>
          <w:sz w:val="18"/>
          <w:szCs w:val="18"/>
          <w:color w:val="auto"/>
        </w:rPr>
        <w:t>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61" w:lineRule="exact"/>
        <w:rPr>
          <w:sz w:val="20"/>
          <w:szCs w:val="20"/>
          <w:color w:val="auto"/>
        </w:rPr>
      </w:pPr>
    </w:p>
    <w:p>
      <w:pPr>
        <w:jc w:val="both"/>
        <w:ind w:left="760" w:firstLine="1494"/>
        <w:spacing w:after="0" w:line="269" w:lineRule="auto"/>
        <w:tabs>
          <w:tab w:leader="none" w:pos="262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w:t>
      </w:r>
    </w:p>
    <w:p>
      <w:pPr>
        <w:spacing w:after="0" w:line="3" w:lineRule="exact"/>
        <w:rPr>
          <w:rFonts w:ascii="Arial" w:cs="Arial" w:eastAsia="Arial" w:hAnsi="Arial"/>
          <w:sz w:val="18"/>
          <w:szCs w:val="18"/>
          <w:color w:val="auto"/>
        </w:rPr>
      </w:pPr>
    </w:p>
    <w:p>
      <w:pPr>
        <w:ind w:left="760" w:hanging="3"/>
        <w:spacing w:after="0" w:line="244" w:lineRule="auto"/>
        <w:tabs>
          <w:tab w:leader="none" w:pos="1074" w:val="left"/>
        </w:tabs>
        <w:numPr>
          <w:ilvl w:val="0"/>
          <w:numId w:val="253"/>
        </w:numPr>
        <w:rPr>
          <w:rFonts w:ascii="Arial" w:cs="Arial" w:eastAsia="Arial" w:hAnsi="Arial"/>
          <w:sz w:val="20"/>
          <w:szCs w:val="20"/>
          <w:color w:val="auto"/>
        </w:rPr>
      </w:pPr>
      <w:r>
        <w:rPr>
          <w:rFonts w:ascii="Arial" w:cs="Arial" w:eastAsia="Arial" w:hAnsi="Arial"/>
          <w:sz w:val="20"/>
          <w:szCs w:val="20"/>
          <w:color w:val="auto"/>
        </w:rPr>
        <w:t>of Part I of PTE 84-14 are satisfied with respect to such Lender’s entrance into, participation in, administration of and performance of the Loans, the Commitments and this Agreement, or</w:t>
      </w:r>
    </w:p>
    <w:p>
      <w:pPr>
        <w:spacing w:after="0" w:line="191" w:lineRule="exact"/>
        <w:rPr>
          <w:sz w:val="20"/>
          <w:szCs w:val="20"/>
          <w:color w:val="auto"/>
        </w:rPr>
      </w:pPr>
    </w:p>
    <w:p>
      <w:pPr>
        <w:ind w:left="760" w:firstLine="1494"/>
        <w:spacing w:after="0" w:line="260" w:lineRule="auto"/>
        <w:tabs>
          <w:tab w:leader="none" w:pos="2612" w:val="left"/>
        </w:tabs>
        <w:numPr>
          <w:ilvl w:val="2"/>
          <w:numId w:val="25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ind w:left="1980" w:hanging="475"/>
        <w:spacing w:after="0"/>
        <w:tabs>
          <w:tab w:leader="none" w:pos="19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w:t>
      </w:r>
    </w:p>
    <w:p>
      <w:pPr>
        <w:spacing w:after="0" w:line="38" w:lineRule="exact"/>
        <w:rPr>
          <w:rFonts w:ascii="Arial" w:cs="Arial" w:eastAsia="Arial" w:hAnsi="Arial"/>
          <w:sz w:val="18"/>
          <w:szCs w:val="18"/>
          <w:color w:val="auto"/>
        </w:rPr>
      </w:pPr>
    </w:p>
    <w:p>
      <w:pPr>
        <w:jc w:val="both"/>
        <w:ind w:firstLine="8"/>
        <w:spacing w:after="0" w:line="271" w:lineRule="auto"/>
        <w:tabs>
          <w:tab w:leader="none" w:pos="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0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10.01 Amendments, Etc. Except as otherwise expressly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194" w:lineRule="exact"/>
        <w:rPr>
          <w:sz w:val="20"/>
          <w:szCs w:val="20"/>
          <w:color w:val="auto"/>
        </w:rPr>
      </w:pPr>
    </w:p>
    <w:p>
      <w:pPr>
        <w:jc w:val="both"/>
        <w:ind w:firstLine="1505"/>
        <w:spacing w:after="0" w:line="282" w:lineRule="auto"/>
        <w:tabs>
          <w:tab w:leader="none" w:pos="198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the Commitment of any Lender after the termination of such Commitment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each case without the written consent of such Lender (it being understood that a waiver of any condition precedent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the waiver of any Default or Event of Default, mandatory prepayment or mandatory reduction of the Commitments shall not constitute an extension or increase of any Commitment of any Lender);</w:t>
      </w:r>
    </w:p>
    <w:p>
      <w:pPr>
        <w:spacing w:after="0" w:line="161" w:lineRule="exact"/>
        <w:rPr>
          <w:rFonts w:ascii="Arial" w:cs="Arial" w:eastAsia="Arial" w:hAnsi="Arial"/>
          <w:sz w:val="18"/>
          <w:szCs w:val="18"/>
          <w:color w:val="auto"/>
        </w:rPr>
      </w:pPr>
    </w:p>
    <w:p>
      <w:pPr>
        <w:ind w:firstLine="1505"/>
        <w:spacing w:after="0" w:line="260" w:lineRule="auto"/>
        <w:tabs>
          <w:tab w:leader="none" w:pos="1994" w:val="left"/>
        </w:tabs>
        <w:numPr>
          <w:ilvl w:val="0"/>
          <w:numId w:val="257"/>
        </w:numPr>
        <w:rPr>
          <w:rFonts w:ascii="Arial" w:cs="Arial" w:eastAsia="Arial" w:hAnsi="Arial"/>
          <w:sz w:val="20"/>
          <w:szCs w:val="20"/>
          <w:color w:val="auto"/>
        </w:rPr>
      </w:pPr>
      <w:r>
        <w:rPr>
          <w:rFonts w:ascii="Arial" w:cs="Arial" w:eastAsia="Arial" w:hAnsi="Arial"/>
          <w:sz w:val="20"/>
          <w:szCs w:val="20"/>
          <w:color w:val="auto"/>
        </w:rPr>
        <w:t>postpone any date scheduled for, or the currency of, any payment of principal of, or interest on, any Loan, or any fees or other amounts payable hereunder, without the written consent of each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5" w:name="page226"/>
    <w:bookmarkEnd w:id="225"/>
    <w:p>
      <w:pPr>
        <w:spacing w:after="0" w:line="260" w:lineRule="auto"/>
        <w:rPr>
          <w:sz w:val="20"/>
          <w:szCs w:val="20"/>
          <w:color w:val="auto"/>
        </w:rPr>
      </w:pPr>
      <w:r>
        <w:rPr>
          <w:rFonts w:ascii="Arial" w:cs="Arial" w:eastAsia="Arial" w:hAnsi="Arial"/>
          <w:sz w:val="20"/>
          <w:szCs w:val="20"/>
          <w:color w:val="auto"/>
        </w:rPr>
        <w:t>Lender directly and adversely affected thereby, it being understood that the waiver of any mandatory prepayment of Loans under any Facility shall not constitute a postponement of any date scheduled for the payment of principal or interest;</w:t>
      </w:r>
    </w:p>
    <w:p>
      <w:pPr>
        <w:spacing w:after="0" w:line="177" w:lineRule="exact"/>
        <w:rPr>
          <w:sz w:val="20"/>
          <w:szCs w:val="20"/>
          <w:color w:val="auto"/>
        </w:rPr>
      </w:pPr>
    </w:p>
    <w:p>
      <w:pPr>
        <w:jc w:val="both"/>
        <w:ind w:firstLine="1505"/>
        <w:spacing w:after="0" w:line="243" w:lineRule="auto"/>
        <w:tabs>
          <w:tab w:leader="none" w:pos="199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(subject to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without the written consent of each Lender directly and adversely affected thereby; it being understood that any change to the definitions of Consolidated First Lien Net Leverage Ratio shall not constitute a reduction in any rate of interest based thereon;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to amend the definition of “Default Rate” or to waive any obligation of the Borrower to pay interest at the Default Rate;</w:t>
      </w:r>
    </w:p>
    <w:p>
      <w:pPr>
        <w:spacing w:after="0" w:line="195" w:lineRule="exact"/>
        <w:rPr>
          <w:rFonts w:ascii="Arial" w:cs="Arial" w:eastAsia="Arial" w:hAnsi="Arial"/>
          <w:sz w:val="20"/>
          <w:szCs w:val="20"/>
          <w:color w:val="auto"/>
        </w:rPr>
      </w:pPr>
    </w:p>
    <w:p>
      <w:pPr>
        <w:ind w:left="1980" w:hanging="475"/>
        <w:spacing w:after="0"/>
        <w:tabs>
          <w:tab w:leader="none" w:pos="198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modify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without the written consent of each Lender directly and adversely affected thereby;</w:t>
      </w:r>
    </w:p>
    <w:p>
      <w:pPr>
        <w:spacing w:after="0" w:line="215" w:lineRule="exact"/>
        <w:rPr>
          <w:rFonts w:ascii="Arial" w:cs="Arial" w:eastAsia="Arial" w:hAnsi="Arial"/>
          <w:sz w:val="20"/>
          <w:szCs w:val="20"/>
          <w:color w:val="auto"/>
        </w:rPr>
      </w:pPr>
    </w:p>
    <w:p>
      <w:pPr>
        <w:jc w:val="both"/>
        <w:ind w:firstLine="1505"/>
        <w:spacing w:after="0" w:line="250" w:lineRule="auto"/>
        <w:tabs>
          <w:tab w:leader="none" w:pos="1995"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5" w:lineRule="exact"/>
        <w:rPr>
          <w:rFonts w:ascii="Arial" w:cs="Arial" w:eastAsia="Arial" w:hAnsi="Arial"/>
          <w:sz w:val="20"/>
          <w:szCs w:val="20"/>
          <w:color w:val="auto"/>
        </w:rPr>
      </w:pPr>
    </w:p>
    <w:p>
      <w:pPr>
        <w:ind w:firstLine="1505"/>
        <w:spacing w:after="0" w:line="260" w:lineRule="auto"/>
        <w:tabs>
          <w:tab w:leader="none" w:pos="2009"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other than in a transaction permitted under </w:t>
      </w:r>
      <w:r>
        <w:rPr>
          <w:rFonts w:ascii="Arial" w:cs="Arial" w:eastAsia="Arial" w:hAnsi="Arial"/>
          <w:sz w:val="20"/>
          <w:szCs w:val="20"/>
          <w:u w:val="single" w:color="auto"/>
          <w:color w:val="auto"/>
        </w:rPr>
        <w:t>Section 7.05</w:t>
      </w:r>
      <w:r>
        <w:rPr>
          <w:rFonts w:ascii="Arial" w:cs="Arial" w:eastAsia="Arial" w:hAnsi="Arial"/>
          <w:sz w:val="20"/>
          <w:szCs w:val="20"/>
          <w:color w:val="auto"/>
        </w:rPr>
        <w:t>, release all or substantially all of the Collateral in any transaction or series of related transactions, without the written consent of each Lender;</w:t>
      </w:r>
    </w:p>
    <w:p>
      <w:pPr>
        <w:spacing w:after="0" w:line="176" w:lineRule="exact"/>
        <w:rPr>
          <w:rFonts w:ascii="Arial" w:cs="Arial" w:eastAsia="Arial" w:hAnsi="Arial"/>
          <w:sz w:val="20"/>
          <w:szCs w:val="20"/>
          <w:color w:val="auto"/>
        </w:rPr>
      </w:pPr>
    </w:p>
    <w:p>
      <w:pPr>
        <w:ind w:firstLine="1505"/>
        <w:spacing w:after="0" w:line="260" w:lineRule="auto"/>
        <w:tabs>
          <w:tab w:leader="none" w:pos="1995"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other than in a transaction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release all or substantially all of the value of the aggregate Guaranty, without the written consent of each Lender;</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1994"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without the written consent of Lenders holding a majority in aggregate principal amount of the adversely affected class of Loans, (i) change the order of application of any prepayment of Loans among the Facilities or (ii) impose any greater restriction on the ability of any Lender under a Facility to assign any of its rights or obligations hereunder; or</w:t>
      </w:r>
    </w:p>
    <w:p>
      <w:pPr>
        <w:spacing w:after="0" w:line="185" w:lineRule="exact"/>
        <w:rPr>
          <w:rFonts w:ascii="Arial" w:cs="Arial" w:eastAsia="Arial" w:hAnsi="Arial"/>
          <w:sz w:val="20"/>
          <w:szCs w:val="20"/>
          <w:color w:val="auto"/>
        </w:rPr>
      </w:pPr>
    </w:p>
    <w:p>
      <w:pPr>
        <w:ind w:firstLine="1505"/>
        <w:spacing w:after="0" w:line="260" w:lineRule="auto"/>
        <w:tabs>
          <w:tab w:leader="none" w:pos="1997"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modify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alters the order of application of funds set forth therein without the written consent of each Lender directly and adversely affected thereby;</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no amendment, waiver or consent shall, unless in writing and signed by the Administrative Agent, in its capacity as such, in addition to the Lenders required above, affect the rights or duties of, or any fees or other amounts payable to, the Administrative Agent under this Agreement or any other Loan Document; (ii) </w:t>
      </w:r>
      <w:r>
        <w:rPr>
          <w:rFonts w:ascii="Arial" w:cs="Arial" w:eastAsia="Arial" w:hAnsi="Arial"/>
          <w:sz w:val="18"/>
          <w:szCs w:val="18"/>
          <w:u w:val="single" w:color="auto"/>
          <w:color w:val="auto"/>
        </w:rPr>
        <w:t>Section 10.07(g)</w:t>
      </w:r>
      <w:r>
        <w:rPr>
          <w:rFonts w:ascii="Arial" w:cs="Arial" w:eastAsia="Arial" w:hAnsi="Arial"/>
          <w:sz w:val="18"/>
          <w:szCs w:val="18"/>
          <w:color w:val="auto"/>
        </w:rPr>
        <w:t xml:space="preserve"> may not be amended, waived or otherwise modified without the consent of each Granting Lender all or any part of whose Loans are being funded by an SPC at the time of such amendment, waiver or other modification; and (iii) the Fee Letter may be amended, or rights or privileges thereunder waived, in a writing executed only by the parties thereto. Notwithstanding anything to the contrary herein, no Affiliate Lender (other than any Debt Fund Affiliate) shall have any right to approve or disapprove any amendment, waiver or consent hereunder (and any amendment, waiver or consent which by its terms requires the consent of all Lenders or each affected Lender may be effected with the consent of the applicable Lenders other than Affiliate Lenders (other than Debt Fund Affiliates)), except that (x) the Commitment of any Affiliate Lender may not be increased or extended, the maturity of any of its Loans may not be extended, the rate of interest on any of its Loans may not be reduced and the principal amount of any of its Loans may not be forgiven, in each case without the consent of such Affiliate Lender and (y) any waiver, amendment or modification requiring the consent of all Lenders or each affected Lender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6" w:name="page227"/>
    <w:bookmarkEnd w:id="226"/>
    <w:p>
      <w:pPr>
        <w:jc w:val="both"/>
        <w:spacing w:after="0" w:line="260" w:lineRule="auto"/>
        <w:rPr>
          <w:sz w:val="20"/>
          <w:szCs w:val="20"/>
          <w:color w:val="auto"/>
        </w:rPr>
      </w:pPr>
      <w:r>
        <w:rPr>
          <w:rFonts w:ascii="Arial" w:cs="Arial" w:eastAsia="Arial" w:hAnsi="Arial"/>
          <w:sz w:val="20"/>
          <w:szCs w:val="20"/>
          <w:color w:val="auto"/>
        </w:rPr>
        <w:t>that by its terms affects any Affiliate Lender in its capacity as a Lender more adversely than other affected Lenders shall require the consent of such Affiliate Lender.</w:t>
      </w:r>
    </w:p>
    <w:p>
      <w:pPr>
        <w:spacing w:after="0" w:line="17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Notwithstanding anything to the contrary herein, any amendment, modification, waiver or other action which by its terms requires the consent of all Lenders or each affected Lender may be effected with the consent of the applicable Lenders other than Defaulting Lenders or Affiliate Lenders (other than Debt Fund Affiliates), except that (x) no amendment, waiver or consent relating to Section 10.01(a), (b) or (c) may be effected, in each case without the consent of such Defaulting Lender or Affiliate Lender and (y) any amendment, modification, waiver or other action that by its terms adversely affects any Defaulting Lender or Affiliate Lender in its capacity as a Lender in a manner that differs in any material respect from, and is more adverse to such Defaulting Lender or Affiliate Lender than it is to, other affected Lenders shall require the consent of such Defaulting Lender or Affiliate Lender.</w:t>
      </w:r>
    </w:p>
    <w:p>
      <w:pPr>
        <w:spacing w:after="0" w:line="185"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Notwithstanding anything to the contrary herein,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 and the requisite percentage in interest of the Lenders with respect to such Tranche that would be required to consent thereto under this Section 10.01 if such Lenders were the only Lenders hereunder at the time.</w:t>
      </w:r>
    </w:p>
    <w:p>
      <w:pPr>
        <w:spacing w:after="0" w:line="19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be subject to any contrary provision of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In addition, notwithstanding anything else to the contrary contained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(a) if the Administrative Agent and the Borrower shall have jointly identified an obvious error or any error or omission of a technical nature, in each case, in any provision of the Loan Documents, then the Administrative Agent and the Borrower shall be permitted to amend such provision and (b) the Administrative Agent and the Borrower shall be permitted to amend any provision of any Collateral Document to better implement the intentions of this Agreement and the other Loan Documents, and in each case, such amendments shall become effective without any further action or consent of any other party to any Loan Document if the same is not objected to in writing by the Required Lenders within five (5) Business Days following receipt of notice thereof.</w:t>
      </w:r>
    </w:p>
    <w:p>
      <w:pPr>
        <w:spacing w:after="0" w:line="16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Notwithstanding anything to the contrary contained herein, in connection with any “Required Lender” votes, Lenders that are Debt Fund Affiliates shall not be permitted, in the aggregate, to account for more than 49.9% of the amounts includable in determining whether the “Required Lenders” have consented to any amendment, modification, waiver, consent or other action that is subject to such vote. The voting power of each Lender that is a Debt Fund Affiliate shall be reduced, pro rata, to the extent necessary in order to comply with the immediately preceding sentence.</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10.02 Notices; Effectiveness; Electronic Communications.</w:t>
      </w:r>
    </w:p>
    <w:p>
      <w:pPr>
        <w:spacing w:after="0" w:line="216" w:lineRule="exact"/>
        <w:rPr>
          <w:sz w:val="20"/>
          <w:szCs w:val="20"/>
          <w:color w:val="auto"/>
        </w:rPr>
      </w:pPr>
    </w:p>
    <w:p>
      <w:pPr>
        <w:jc w:val="both"/>
        <w:ind w:firstLine="1505"/>
        <w:spacing w:after="0" w:line="246" w:lineRule="auto"/>
        <w:tabs>
          <w:tab w:leader="none" w:pos="2005"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91" w:lineRule="exact"/>
        <w:rPr>
          <w:rFonts w:ascii="Arial" w:cs="Arial" w:eastAsia="Arial" w:hAnsi="Arial"/>
          <w:sz w:val="20"/>
          <w:szCs w:val="20"/>
          <w:color w:val="auto"/>
        </w:rPr>
      </w:pPr>
    </w:p>
    <w:p>
      <w:pPr>
        <w:jc w:val="both"/>
        <w:ind w:left="760" w:firstLine="1494"/>
        <w:spacing w:after="0" w:line="291" w:lineRule="auto"/>
        <w:tabs>
          <w:tab w:leader="none" w:pos="2751"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if to the Borrower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to such other address, telecopier number, electronic mail address or telephone number as shall be designated by such party in a notice to other parties, as provided in </w:t>
      </w:r>
      <w:r>
        <w:rPr>
          <w:rFonts w:ascii="Arial" w:cs="Arial" w:eastAsia="Arial" w:hAnsi="Arial"/>
          <w:sz w:val="18"/>
          <w:szCs w:val="18"/>
          <w:u w:val="single" w:color="auto"/>
          <w:color w:val="auto"/>
        </w:rPr>
        <w:t>Section 10.02(d)</w:t>
      </w:r>
      <w:r>
        <w:rPr>
          <w:rFonts w:ascii="Arial" w:cs="Arial" w:eastAsia="Arial" w:hAnsi="Arial"/>
          <w:sz w:val="18"/>
          <w:szCs w:val="18"/>
          <w:color w:val="auto"/>
        </w:rPr>
        <w:t>;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7" w:name="page228"/>
    <w:bookmarkEnd w:id="227"/>
    <w:p>
      <w:pPr>
        <w:ind w:left="760" w:firstLine="1494"/>
        <w:spacing w:after="0" w:line="260" w:lineRule="auto"/>
        <w:tabs>
          <w:tab w:leader="none" w:pos="2768" w:val="left"/>
        </w:tabs>
        <w:numPr>
          <w:ilvl w:val="0"/>
          <w:numId w:val="260"/>
        </w:numPr>
        <w:rPr>
          <w:rFonts w:ascii="Arial" w:cs="Arial" w:eastAsia="Arial" w:hAnsi="Arial"/>
          <w:sz w:val="20"/>
          <w:szCs w:val="20"/>
          <w:color w:val="auto"/>
        </w:rPr>
      </w:pPr>
      <w:r>
        <w:rPr>
          <w:rFonts w:ascii="Arial" w:cs="Arial" w:eastAsia="Arial" w:hAnsi="Arial"/>
          <w:sz w:val="20"/>
          <w:szCs w:val="20"/>
          <w:color w:val="auto"/>
        </w:rPr>
        <w:t>if to any other Lender, to the address, telecopier number, electronic mail address or telephone number specified in its Administrative Questionnaire.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0" w:lineRule="exact"/>
        <w:rPr>
          <w:sz w:val="20"/>
          <w:szCs w:val="20"/>
          <w:color w:val="auto"/>
        </w:rPr>
      </w:pPr>
    </w:p>
    <w:p>
      <w:pPr>
        <w:jc w:val="both"/>
        <w:ind w:firstLine="1505"/>
        <w:spacing w:after="0" w:line="243" w:lineRule="auto"/>
        <w:tabs>
          <w:tab w:leader="none" w:pos="2011"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has notified the Administrative Agent that it is incapable of receiving, or is unwilling to receive, notices under such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9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68" w:lineRule="exact"/>
        <w:rPr>
          <w:sz w:val="20"/>
          <w:szCs w:val="20"/>
          <w:color w:val="auto"/>
        </w:rPr>
      </w:pPr>
    </w:p>
    <w:p>
      <w:pPr>
        <w:jc w:val="both"/>
        <w:ind w:firstLine="1505"/>
        <w:spacing w:after="0" w:line="270" w:lineRule="auto"/>
        <w:tabs>
          <w:tab w:leader="none" w:pos="2004"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Holdings, the Borrower, any Lender or any other Person for losses, claims, damages, liabilities or expenses of any kind (whether in tort, contract or otherwise) arising out of the Borrower’s or the Administrative Agent’s transmission of the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Agent-Related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Agent-Related Person have any liability to Holdings, the Borrower, any Lender or any other Person for indirect, special, incidental, consequential or punitive damages (as opposed to direct or actual damages).</w:t>
      </w:r>
    </w:p>
    <w:p>
      <w:pPr>
        <w:spacing w:after="0" w:line="172" w:lineRule="exact"/>
        <w:rPr>
          <w:rFonts w:ascii="Arial" w:cs="Arial" w:eastAsia="Arial" w:hAnsi="Arial"/>
          <w:sz w:val="18"/>
          <w:szCs w:val="18"/>
          <w:color w:val="auto"/>
        </w:rPr>
      </w:pPr>
    </w:p>
    <w:p>
      <w:pPr>
        <w:jc w:val="both"/>
        <w:ind w:firstLine="1505"/>
        <w:spacing w:after="0" w:line="250" w:lineRule="auto"/>
        <w:tabs>
          <w:tab w:leader="none" w:pos="2001"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Each of Holdings, the Borrower and the Administrative Agent may change its address, telecopier or telephone number for notices and other communications hereunder by notice to the other parties hereto. Each other Lender may change its address, telecopier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8" w:name="page229"/>
    <w:bookmarkEnd w:id="228"/>
    <w:p>
      <w:pPr>
        <w:jc w:val="both"/>
        <w:spacing w:after="0" w:line="272" w:lineRule="auto"/>
        <w:rPr>
          <w:sz w:val="20"/>
          <w:szCs w:val="20"/>
          <w:color w:val="auto"/>
        </w:rPr>
      </w:pPr>
      <w:r>
        <w:rPr>
          <w:rFonts w:ascii="Arial" w:cs="Arial" w:eastAsia="Arial" w:hAnsi="Arial"/>
          <w:sz w:val="18"/>
          <w:szCs w:val="18"/>
          <w:color w:val="auto"/>
        </w:rPr>
        <w:t>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the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0" w:lineRule="exact"/>
        <w:rPr>
          <w:sz w:val="20"/>
          <w:szCs w:val="20"/>
          <w:color w:val="auto"/>
        </w:rPr>
      </w:pPr>
    </w:p>
    <w:p>
      <w:pPr>
        <w:jc w:val="both"/>
        <w:ind w:firstLine="1505"/>
        <w:spacing w:after="0" w:line="242" w:lineRule="auto"/>
        <w:tabs>
          <w:tab w:leader="none" w:pos="1988"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auto"/>
        </w:rPr>
        <w:t>Reliance by Administrative Agent and Lenders</w:t>
      </w:r>
      <w:r>
        <w:rPr>
          <w:rFonts w:ascii="Arial" w:cs="Arial" w:eastAsia="Arial" w:hAnsi="Arial"/>
          <w:sz w:val="20"/>
          <w:szCs w:val="20"/>
          <w:color w:val="auto"/>
        </w:rPr>
        <w: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9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10.03 No Waiver; Cumulative Remedies; Enforcement.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(c)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clauses (a), (b) and (c)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10.04 Expenses and Taxes. The Borrower agrees (a) to pay or reimburse the Administrative Agent and the other Agents for all reasonable and documented out-of-pocket costs and expenses incurred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29" w:name="page230"/>
    <w:bookmarkEnd w:id="229"/>
    <w:p>
      <w:pPr>
        <w:jc w:val="both"/>
        <w:spacing w:after="0" w:line="268" w:lineRule="auto"/>
        <w:rPr>
          <w:sz w:val="20"/>
          <w:szCs w:val="20"/>
          <w:color w:val="auto"/>
        </w:rPr>
      </w:pPr>
      <w:r>
        <w:rPr>
          <w:rFonts w:ascii="Arial" w:cs="Arial" w:eastAsia="Arial" w:hAnsi="Arial"/>
          <w:sz w:val="18"/>
          <w:szCs w:val="18"/>
          <w:color w:val="auto"/>
        </w:rPr>
        <w:t xml:space="preserve">in connection with the preparation, negotiation, syndication and execution of this Agreement and the other Loan Documents (including reasonable expenses incurred in connection with due diligence and travel, courier, reproduction, printing and delivery expenses), and any amendment, waiver, consent or other modification of the provisions hereof and thereof (whether or not the transactions contemplated thereby are consummated), and the consummation and administration of the transactions contemplated hereby and thereby, including the reasonable fees, disbursements and other charges of counsel (limited to the reasonable fees, disbursements and other charges of one counsel to the Administrative Agent and, if necessary, of one local counsel in each relevant jurisdiction plus, in the event of any actual or potential conflict of interest, one additional counsel in each relevant jurisdiction for each Agent subject to such conflict), and (b) to pay or reimburse the Administrative Agent, the other Agents and each Lender for all reasonable documented out-of-pocket costs and expenses incurred in connection with the enforcement of any rights or remedies under this Agreement or the other Loan Documents (including all such costs and expenses incurred during any legal proceeding, including any proceeding under any Debtor Relief Law or in connection with any workout or restructuring and all documentary taxes associated with the Facilities), including the fees, disbursements and other charges of counsel (limited to the fees, disbursements and other charges of one counsel to the Administrative Agent and the Lenders taken as a whole, and, if necessary, of one local counsel in each relevant jurisdiction and of special counsel for each relevant specialty and, in the event of any actual or potential conflict of interest, one additional counsel in each relevant jurisdiction for each Lender or group of Lenders or Agent subject to such conflict), in each case without duplication for any amounts paid (or indemnified)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foregoing costs and expenses shall include all reasonable search, filing, recording, title insurance and appraisal charges and fees and taxes related thereto, and other out-of-pocket expenses incurred by any Agent. All amounts due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paid within thirty (30) days after invoiced or demand therefor (with a reasonably detailed invoice with respect thereto) (except for any such costs and expenses incurred prior to the Closing Date, which shall be paid on the Closing Date). The agreements in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survive the termination of the Aggregate Commitments and repayment of all other Obligations. If any Loan Party fails to pay when due any costs, expenses or other amounts payable by it hereunder or under any Loan Document, such amount may be paid on behalf of such Loan Party by the Administrative Agent or any Lender, in its sole discretion.</w:t>
      </w:r>
    </w:p>
    <w:p>
      <w:pPr>
        <w:spacing w:after="0" w:line="180"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10.05 Indemnification by the Borrower. The Borrower and the Guarantors, jointly and severally, shall indemnify and hold harmless the Arrangers, each Agent-Related Person, each Lender and their respective Affiliates, partners, directors, officers, employees, counsel, agents and, in the case of any funds, trustees and advisors and attorneys-in-fact (collectively the “</w:t>
      </w:r>
      <w:r>
        <w:rPr>
          <w:rFonts w:ascii="Arial" w:cs="Arial" w:eastAsia="Arial" w:hAnsi="Arial"/>
          <w:sz w:val="18"/>
          <w:szCs w:val="18"/>
          <w:b w:val="1"/>
          <w:bCs w:val="1"/>
          <w:i w:val="1"/>
          <w:iCs w:val="1"/>
          <w:color w:val="auto"/>
        </w:rPr>
        <w:t>Indemnitees</w:t>
      </w:r>
      <w:r>
        <w:rPr>
          <w:rFonts w:ascii="Arial" w:cs="Arial" w:eastAsia="Arial" w:hAnsi="Arial"/>
          <w:sz w:val="18"/>
          <w:szCs w:val="18"/>
          <w:color w:val="auto"/>
        </w:rPr>
        <w:t xml:space="preserve">”) from and against (and will reimburse each Indemnitee as the same are incurred for) any and all liabilities, obligations, losses, damages, penalties, claims, demands, actions, judgments, suits, costs (including settlement costs), expenses and disbursements (including the fees, disbursements and other charges of (i) one counsel to the Indemnitees taken as a whole, (ii) in the case of any actual or perceived conflict of interest, additional counsel to the affected Lender or group of Lenders, limited to one such additional counsel for each affected Lender or group of Lenders so long as representation of each such party by a single counsel is consistent with and permitted by professional responsibility rules, and (iii) if necessary, one local counsel in each relevant jurisdiction and special counsel for each relevant specialty) of any kind or nature whatsoever which may at any time be imposed on, incurred by or asserted or awarded against any such Indemnitee in any way relating to or arising out of or in connection with or by reason of (x)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(a) the execution, delivery, enforcement, performance or administration of any Loan Document or any other agreement, letter or instrument delivered in connection with the transactions contemplated thereby or the consummation of the transactions contemplated thereby or (b) any Commitment or Loan or the use or proposed use of the proceeds therefrom;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indemnity shall not, as to any Indemnitee,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0" w:name="page231"/>
    <w:bookmarkEnd w:id="230"/>
    <w:p>
      <w:pPr>
        <w:jc w:val="both"/>
        <w:spacing w:after="0" w:line="268" w:lineRule="auto"/>
        <w:rPr>
          <w:sz w:val="20"/>
          <w:szCs w:val="20"/>
          <w:color w:val="auto"/>
        </w:rPr>
      </w:pPr>
      <w:r>
        <w:rPr>
          <w:rFonts w:ascii="Arial" w:cs="Arial" w:eastAsia="Arial" w:hAnsi="Arial"/>
          <w:sz w:val="18"/>
          <w:szCs w:val="18"/>
          <w:color w:val="auto"/>
        </w:rPr>
        <w:t>available to the extent that such liabilities, obligations, losses, damages, penalties, claims, demands, actions, judgments, suits, costs, expenses or disbursements are determined by a court of competent jurisdiction by final and nonappealable judgment to have resulted from the bad faith, gross negligence or willful misconduct of such Indemnitee or material breach of its express obligations under the Loan Documents by such Indemnitee or its Related Parties or (y) any actual or alleged presence or Release of Hazardous Materials on, at, under or from any property currently or formerly owned or operated by the Borrower, any Subsidiary or any other Loan Party, or any Environmental Liability related in any way to the Borrower, any Subsidiary or any other Loan Party, ((x) and (y), collectively, the “</w:t>
      </w:r>
      <w:r>
        <w:rPr>
          <w:rFonts w:ascii="Arial" w:cs="Arial" w:eastAsia="Arial" w:hAnsi="Arial"/>
          <w:sz w:val="18"/>
          <w:szCs w:val="18"/>
          <w:b w:val="1"/>
          <w:bCs w:val="1"/>
          <w:i w:val="1"/>
          <w:iCs w:val="1"/>
          <w:color w:val="auto"/>
        </w:rPr>
        <w:t>Indemnified Liabilities</w:t>
      </w:r>
      <w:r>
        <w:rPr>
          <w:rFonts w:ascii="Arial" w:cs="Arial" w:eastAsia="Arial" w:hAnsi="Arial"/>
          <w:sz w:val="18"/>
          <w:szCs w:val="18"/>
          <w:color w:val="auto"/>
        </w:rPr>
        <w:t xml:space="preserve">”) in all cases, whether or not caused by or arising, in whole or in part, out of the negligence of the Indemnitee and regardless of whether any Indemnitee is a party thereto. No Indemnitee shall be liable for any damages arising from the use by others of any information or other materials obtained through IntraLinks or other information transmission systems (including electronic telecommunications) in connection with this Agreement unless determined by a court of competent jurisdiction by final and nonappealable judgment to have resulted from the gross negligence, bad faith or willful misconduct of such Indemnitee, nor shall any Indemnitee or any Loan Party (without limitation to the Loan Parties’ indemnification obligations hereunder) have any liability for any special, punitive, indirect or consequential damages relating to this Agreement or any other Loan Document or arising out of its activities in connection herewith or therewith (whether before or after the Closing Date). In the case of an investigation, litigation or other proceeding to which the indemnity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applies, such indemnity shall be effective whether or not such investigation, litigation or proceeding is brought by any Loan Party, its directors, shareholders or creditors or an Indemnitee or any other Person, whether or not any Indemnitee is otherwise a party thereto. Should any investigation, litigation or proceeding be settled, or if there is a judgment against an Indemnitee in any such investigation, litigation or proceeding, the Borrower shall indemnify and hold harmless each Indemnitee in the manner set forth above. All amounts due under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payable within thirty (30) days after demand therefor. The agreements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182"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10.06 Payments Set Aside. To the extent that any payment by or on behalf of the Borrower is made to any Agent, to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any Agent, plus interest thereon from the date of such demand to the date such payment is made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Federal Funds Rate from time to time in effect. The obligations of the Lenders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preceding sentence shall survive the payment in full of the Obligations and the termination of this Agreement.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10.07 Successors and Assigns.</w:t>
      </w:r>
    </w:p>
    <w:p>
      <w:pPr>
        <w:spacing w:after="0" w:line="216" w:lineRule="exact"/>
        <w:rPr>
          <w:sz w:val="20"/>
          <w:szCs w:val="20"/>
          <w:color w:val="auto"/>
        </w:rPr>
      </w:pPr>
    </w:p>
    <w:p>
      <w:pPr>
        <w:jc w:val="both"/>
        <w:ind w:firstLine="1505"/>
        <w:spacing w:after="0" w:line="243" w:lineRule="auto"/>
        <w:tabs>
          <w:tab w:leader="none" w:pos="2008"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Eligible Assignee (other than to any Disqualified Institution) in accordance with the provisions of </w:t>
      </w:r>
      <w:r>
        <w:rPr>
          <w:rFonts w:ascii="Arial" w:cs="Arial" w:eastAsia="Arial" w:hAnsi="Arial"/>
          <w:sz w:val="20"/>
          <w:szCs w:val="20"/>
          <w:u w:val="single" w:color="auto"/>
          <w:color w:val="auto"/>
        </w:rPr>
        <w:t>Section 10.07(b)</w:t>
      </w:r>
      <w:r>
        <w:rPr>
          <w:rFonts w:ascii="Arial" w:cs="Arial" w:eastAsia="Arial" w:hAnsi="Arial"/>
          <w:sz w:val="20"/>
          <w:szCs w:val="20"/>
          <w:color w:val="auto"/>
        </w:rPr>
        <w:t xml:space="preserve">, (ii) by way of participation in accordance with the provisions of </w:t>
      </w:r>
      <w:r>
        <w:rPr>
          <w:rFonts w:ascii="Arial" w:cs="Arial" w:eastAsia="Arial" w:hAnsi="Arial"/>
          <w:sz w:val="20"/>
          <w:szCs w:val="20"/>
          <w:u w:val="single" w:color="auto"/>
          <w:color w:val="auto"/>
        </w:rPr>
        <w:t>Section 10.07(d)</w:t>
      </w:r>
      <w:r>
        <w:rPr>
          <w:rFonts w:ascii="Arial" w:cs="Arial" w:eastAsia="Arial" w:hAnsi="Arial"/>
          <w:sz w:val="20"/>
          <w:szCs w:val="20"/>
          <w:color w:val="auto"/>
        </w:rPr>
        <w:t>, (iii) by way of pledge or assignment of a security interest subject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1" w:name="page232"/>
    <w:bookmarkEnd w:id="231"/>
    <w:p>
      <w:pPr>
        <w:jc w:val="both"/>
        <w:spacing w:after="0" w:line="244" w:lineRule="auto"/>
        <w:rPr>
          <w:sz w:val="20"/>
          <w:szCs w:val="20"/>
          <w:color w:val="auto"/>
        </w:rPr>
      </w:pPr>
      <w:r>
        <w:rPr>
          <w:rFonts w:ascii="Arial" w:cs="Arial" w:eastAsia="Arial" w:hAnsi="Arial"/>
          <w:sz w:val="20"/>
          <w:szCs w:val="20"/>
          <w:color w:val="auto"/>
        </w:rPr>
        <w:t xml:space="preserve">to the restrictions of </w:t>
      </w:r>
      <w:r>
        <w:rPr>
          <w:rFonts w:ascii="Arial" w:cs="Arial" w:eastAsia="Arial" w:hAnsi="Arial"/>
          <w:sz w:val="20"/>
          <w:szCs w:val="20"/>
          <w:u w:val="single" w:color="auto"/>
          <w:color w:val="auto"/>
        </w:rPr>
        <w:t>Section 10.07(f)</w:t>
      </w:r>
      <w:r>
        <w:rPr>
          <w:rFonts w:ascii="Arial" w:cs="Arial" w:eastAsia="Arial" w:hAnsi="Arial"/>
          <w:sz w:val="20"/>
          <w:szCs w:val="20"/>
          <w:color w:val="auto"/>
        </w:rPr>
        <w:t xml:space="preserve"> or (iv) to an SPC in accordance with the provisions of </w:t>
      </w:r>
      <w:r>
        <w:rPr>
          <w:rFonts w:ascii="Arial" w:cs="Arial" w:eastAsia="Arial" w:hAnsi="Arial"/>
          <w:sz w:val="20"/>
          <w:szCs w:val="20"/>
          <w:u w:val="single" w:color="auto"/>
          <w:color w:val="auto"/>
        </w:rPr>
        <w:t>Section 10.07(g)</w:t>
      </w:r>
      <w:r>
        <w:rPr>
          <w:rFonts w:ascii="Arial" w:cs="Arial" w:eastAsia="Arial" w:hAnsi="Arial"/>
          <w:sz w:val="20"/>
          <w:szCs w:val="20"/>
          <w:color w:val="auto"/>
        </w:rPr>
        <w:t xml:space="preserve"> (and any other attempted assignment or transfer by any party hereto shall be prohibited).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0"/>
          <w:szCs w:val="20"/>
          <w:u w:val="single" w:color="auto"/>
          <w:color w:val="auto"/>
        </w:rPr>
        <w:t>Section 10.07(d)</w:t>
      </w:r>
      <w:r>
        <w:rPr>
          <w:rFonts w:ascii="Arial" w:cs="Arial" w:eastAsia="Arial" w:hAnsi="Arial"/>
          <w:sz w:val="20"/>
          <w:szCs w:val="20"/>
          <w:color w:val="auto"/>
        </w:rPr>
        <w:t xml:space="preserve"> and, to the extent expressly contemplated hereby, the Indemnitees) any legal or equitable right, remedy or claim under or by reason of this Agreement.</w:t>
      </w:r>
    </w:p>
    <w:p>
      <w:pPr>
        <w:spacing w:after="0" w:line="194" w:lineRule="exact"/>
        <w:rPr>
          <w:sz w:val="20"/>
          <w:szCs w:val="20"/>
          <w:color w:val="auto"/>
        </w:rPr>
      </w:pPr>
    </w:p>
    <w:p>
      <w:pPr>
        <w:ind w:firstLine="1505"/>
        <w:spacing w:after="0" w:line="260" w:lineRule="auto"/>
        <w:tabs>
          <w:tab w:leader="none" w:pos="1986" w:val="left"/>
        </w:tabs>
        <w:numPr>
          <w:ilvl w:val="1"/>
          <w:numId w:val="265"/>
        </w:numPr>
        <w:rPr>
          <w:rFonts w:ascii="Arial" w:cs="Arial" w:eastAsia="Arial" w:hAnsi="Arial"/>
          <w:sz w:val="20"/>
          <w:szCs w:val="20"/>
          <w:color w:val="auto"/>
        </w:rPr>
      </w:pPr>
      <w:r>
        <w:rPr>
          <w:rFonts w:ascii="Arial" w:cs="Arial" w:eastAsia="Arial" w:hAnsi="Arial"/>
          <w:sz w:val="20"/>
          <w:szCs w:val="20"/>
          <w:color w:val="auto"/>
        </w:rPr>
        <w:t xml:space="preserve">Any Lender may at any time assign to one or more assignees all or a portion of its rights and obligations under this Agreement (including all or a portion of its Commitment(s)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176" w:lineRule="exact"/>
        <w:rPr>
          <w:rFonts w:ascii="Arial" w:cs="Arial" w:eastAsia="Arial" w:hAnsi="Arial"/>
          <w:sz w:val="20"/>
          <w:szCs w:val="20"/>
          <w:color w:val="auto"/>
        </w:rPr>
      </w:pPr>
    </w:p>
    <w:p>
      <w:pPr>
        <w:jc w:val="both"/>
        <w:ind w:left="760" w:firstLine="1494"/>
        <w:spacing w:after="0" w:line="270" w:lineRule="auto"/>
        <w:tabs>
          <w:tab w:leader="none" w:pos="2817" w:val="left"/>
        </w:tabs>
        <w:numPr>
          <w:ilvl w:val="2"/>
          <w:numId w:val="265"/>
        </w:numPr>
        <w:rPr>
          <w:rFonts w:ascii="Arial" w:cs="Arial" w:eastAsia="Arial" w:hAnsi="Arial"/>
          <w:sz w:val="18"/>
          <w:szCs w:val="18"/>
          <w:color w:val="auto"/>
        </w:rPr>
      </w:pPr>
      <w:r>
        <w:rPr>
          <w:rFonts w:ascii="Arial" w:cs="Arial" w:eastAsia="Arial" w:hAnsi="Arial"/>
          <w:sz w:val="18"/>
          <w:szCs w:val="18"/>
          <w:color w:val="auto"/>
        </w:rPr>
        <w:t xml:space="preserve">(A) in the case of an assignment of the entire remaining amount of the assigning Lender’s Commitment under any Facility and the Loans at the time owing to it under such Facility or in the case of an assignment to a Lender or an Affiliate of a Lender or an Approved Fund with respect to a Lender, no minimum amount shall need be assigned, and (B) in any case not described in </w:t>
      </w:r>
      <w:r>
        <w:rPr>
          <w:rFonts w:ascii="Arial" w:cs="Arial" w:eastAsia="Arial" w:hAnsi="Arial"/>
          <w:sz w:val="18"/>
          <w:szCs w:val="18"/>
          <w:u w:val="single" w:color="auto"/>
          <w:color w:val="auto"/>
        </w:rPr>
        <w:t>clause (b)(i)(A)</w:t>
      </w:r>
      <w:r>
        <w:rPr>
          <w:rFonts w:ascii="Arial" w:cs="Arial" w:eastAsia="Arial" w:hAnsi="Arial"/>
          <w:sz w:val="18"/>
          <w:szCs w:val="18"/>
          <w:color w:val="auto"/>
        </w:rPr>
        <w:t xml:space="preserve"> of this Section, the aggregate amount of the Commitment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a “Trade Date” is specified in the Assignment and Assumption, as of the Trade Date, shall not be less than $500,000, unless each of the Administrative Agent and, so long as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the Borrower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75" w:lineRule="exact"/>
        <w:rPr>
          <w:rFonts w:ascii="Arial" w:cs="Arial" w:eastAsia="Arial" w:hAnsi="Arial"/>
          <w:sz w:val="18"/>
          <w:szCs w:val="18"/>
          <w:color w:val="auto"/>
        </w:rPr>
      </w:pPr>
    </w:p>
    <w:p>
      <w:pPr>
        <w:jc w:val="both"/>
        <w:ind w:left="760" w:firstLine="1494"/>
        <w:spacing w:after="0" w:line="309" w:lineRule="auto"/>
        <w:tabs>
          <w:tab w:leader="none" w:pos="2783" w:val="left"/>
        </w:tabs>
        <w:numPr>
          <w:ilvl w:val="2"/>
          <w:numId w:val="265"/>
        </w:numPr>
        <w:rPr>
          <w:rFonts w:ascii="Arial" w:cs="Arial" w:eastAsia="Arial" w:hAnsi="Arial"/>
          <w:sz w:val="16"/>
          <w:szCs w:val="16"/>
          <w:color w:val="auto"/>
        </w:rPr>
      </w:pPr>
      <w:r>
        <w:rPr>
          <w:rFonts w:ascii="Arial" w:cs="Arial" w:eastAsia="Arial" w:hAnsi="Arial"/>
          <w:sz w:val="16"/>
          <w:szCs w:val="16"/>
          <w:color w:val="auto"/>
        </w:rPr>
        <w:t xml:space="preserve">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760" w:hanging="3"/>
        <w:spacing w:after="0" w:line="244" w:lineRule="auto"/>
        <w:tabs>
          <w:tab w:leader="none" w:pos="1056" w:val="left"/>
        </w:tabs>
        <w:numPr>
          <w:ilvl w:val="0"/>
          <w:numId w:val="266"/>
        </w:numPr>
        <w:rPr>
          <w:rFonts w:ascii="Arial" w:cs="Arial" w:eastAsia="Arial" w:hAnsi="Arial"/>
          <w:sz w:val="20"/>
          <w:szCs w:val="20"/>
          <w:u w:val="single" w:color="auto"/>
          <w:color w:val="auto"/>
        </w:rPr>
      </w:pPr>
      <w:r>
        <w:rPr>
          <w:rFonts w:ascii="Arial" w:cs="Arial" w:eastAsia="Arial" w:hAnsi="Arial"/>
          <w:sz w:val="20"/>
          <w:szCs w:val="20"/>
          <w:color w:val="auto"/>
        </w:rPr>
        <w:t>shall not prohibit any Lender from assigning all or a portion of its rights and obligations among separate Facilities on a non-</w:t>
      </w:r>
      <w:r>
        <w:rPr>
          <w:rFonts w:ascii="Arial" w:cs="Arial" w:eastAsia="Arial" w:hAnsi="Arial"/>
          <w:sz w:val="20"/>
          <w:szCs w:val="20"/>
          <w:i w:val="1"/>
          <w:iCs w:val="1"/>
          <w:color w:val="auto"/>
        </w:rPr>
        <w:t>pro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rata </w:t>
      </w:r>
      <w:r>
        <w:rPr>
          <w:rFonts w:ascii="Arial" w:cs="Arial" w:eastAsia="Arial" w:hAnsi="Arial"/>
          <w:sz w:val="20"/>
          <w:szCs w:val="20"/>
          <w:color w:val="auto"/>
        </w:rPr>
        <w:t>basis;</w:t>
      </w:r>
    </w:p>
    <w:p>
      <w:pPr>
        <w:spacing w:after="0" w:line="191" w:lineRule="exact"/>
        <w:rPr>
          <w:rFonts w:ascii="Arial" w:cs="Arial" w:eastAsia="Arial" w:hAnsi="Arial"/>
          <w:sz w:val="20"/>
          <w:szCs w:val="20"/>
          <w:u w:val="single" w:color="auto"/>
          <w:color w:val="auto"/>
        </w:rPr>
      </w:pPr>
    </w:p>
    <w:p>
      <w:pPr>
        <w:jc w:val="both"/>
        <w:ind w:left="760" w:firstLine="1494"/>
        <w:spacing w:after="0" w:line="275" w:lineRule="auto"/>
        <w:tabs>
          <w:tab w:leader="none" w:pos="2612" w:val="left"/>
        </w:tabs>
        <w:numPr>
          <w:ilvl w:val="2"/>
          <w:numId w:val="266"/>
        </w:numPr>
        <w:rPr>
          <w:rFonts w:ascii="Arial" w:cs="Arial" w:eastAsia="Arial" w:hAnsi="Arial"/>
          <w:sz w:val="18"/>
          <w:szCs w:val="18"/>
          <w:color w:val="auto"/>
        </w:rPr>
      </w:pPr>
      <w:r>
        <w:rPr>
          <w:rFonts w:ascii="Arial" w:cs="Arial" w:eastAsia="Arial" w:hAnsi="Arial"/>
          <w:sz w:val="18"/>
          <w:szCs w:val="18"/>
          <w:color w:val="auto"/>
        </w:rPr>
        <w:t xml:space="preserve">no consent shall be required for any assignment except to the extent required by subsection (b)(i)(B) of this Section and, in addition (A) the consent of the Borrower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jc w:val="both"/>
        <w:ind w:left="760" w:hanging="3"/>
        <w:spacing w:after="0" w:line="254" w:lineRule="auto"/>
        <w:tabs>
          <w:tab w:leader="none" w:pos="107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Borrower shall have absolute consent rights with regard to any proposed assignment to a Disqualified Institution and (y) investment objectives and/or history of any proposed lender or its affiliates, shall be a reasonable basis for the Borrower to withhold consent) shall be required unless (1)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has occurred and is continuing at the time of such assignment or (2) such assignment is to a Lender, an Affiliate of a Lender or an Approved Fund (other than any Disqualified Institution);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ten (10) Business Days after having received notice thereof and (B) the consent of the Administrative Agent (such consent not to be unreasonably withheld or delayed) shall be required unless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acknowledge any such assignment);</w:t>
      </w:r>
    </w:p>
    <w:p>
      <w:pPr>
        <w:spacing w:after="0" w:line="184" w:lineRule="exact"/>
        <w:rPr>
          <w:rFonts w:ascii="Arial" w:cs="Arial" w:eastAsia="Arial" w:hAnsi="Arial"/>
          <w:sz w:val="19"/>
          <w:szCs w:val="19"/>
          <w:color w:val="auto"/>
        </w:rPr>
      </w:pPr>
    </w:p>
    <w:p>
      <w:pPr>
        <w:ind w:left="760" w:firstLine="1494"/>
        <w:spacing w:after="0" w:line="260" w:lineRule="auto"/>
        <w:tabs>
          <w:tab w:leader="none" w:pos="2622" w:val="left"/>
        </w:tabs>
        <w:numPr>
          <w:ilvl w:val="2"/>
          <w:numId w:val="267"/>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 Assumption, together with a processing and recordation fee of $3,500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2" w:name="page233"/>
    <w:bookmarkEnd w:id="232"/>
    <w:p>
      <w:pPr>
        <w:jc w:val="both"/>
        <w:ind w:left="760"/>
        <w:spacing w:after="0" w:line="250" w:lineRule="auto"/>
        <w:rPr>
          <w:sz w:val="20"/>
          <w:szCs w:val="20"/>
          <w:color w:val="auto"/>
        </w:rPr>
      </w:pPr>
      <w:r>
        <w:rPr>
          <w:rFonts w:ascii="Arial" w:cs="Arial" w:eastAsia="Arial" w:hAnsi="Arial"/>
          <w:sz w:val="20"/>
          <w:szCs w:val="20"/>
          <w:color w:val="auto"/>
        </w:rPr>
        <w:t>(except, (x) in the case of contemporaneous assignments by any Lender to one or more Approved Funds, only a single processing and recording fee shall be payable for such assignments and (y) the Administrative Agent, in its sole discretion, may elect to waive such processing and recording fee in the case of any assignment);</w:t>
      </w:r>
    </w:p>
    <w:p>
      <w:pPr>
        <w:spacing w:after="0" w:line="186" w:lineRule="exact"/>
        <w:rPr>
          <w:sz w:val="20"/>
          <w:szCs w:val="20"/>
          <w:color w:val="auto"/>
        </w:rPr>
      </w:pPr>
    </w:p>
    <w:p>
      <w:pPr>
        <w:jc w:val="both"/>
        <w:ind w:left="760" w:firstLine="1494"/>
        <w:spacing w:after="0" w:line="250" w:lineRule="auto"/>
        <w:tabs>
          <w:tab w:leader="none" w:pos="275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no such assignment shall be made (A) to any Defaulting Lender or any of its Subsidiaries, or any Person who, upon becoming a Lender hereunder, would constitute a Defaulting Lender or a Subsidiary of a Defaulting Lender, (B) to any natural person, or (C) to any Disqualified Institution;</w:t>
      </w:r>
    </w:p>
    <w:p>
      <w:pPr>
        <w:spacing w:after="0" w:line="185" w:lineRule="exact"/>
        <w:rPr>
          <w:rFonts w:ascii="Arial" w:cs="Arial" w:eastAsia="Arial" w:hAnsi="Arial"/>
          <w:sz w:val="20"/>
          <w:szCs w:val="20"/>
          <w:color w:val="auto"/>
        </w:rPr>
      </w:pPr>
    </w:p>
    <w:p>
      <w:pPr>
        <w:ind w:left="760" w:firstLine="1494"/>
        <w:spacing w:after="0" w:line="260" w:lineRule="auto"/>
        <w:tabs>
          <w:tab w:leader="none" w:pos="2625"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any assignment of any Loans to a Purchasing Borrower Party or Non-Debt Fund Affiliate shall also be subject to the requirements of </w:t>
      </w:r>
      <w:r>
        <w:rPr>
          <w:rFonts w:ascii="Arial" w:cs="Arial" w:eastAsia="Arial" w:hAnsi="Arial"/>
          <w:sz w:val="20"/>
          <w:szCs w:val="20"/>
          <w:u w:val="single" w:color="auto"/>
          <w:color w:val="auto"/>
        </w:rPr>
        <w:t>Section 10.07(k)</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left="760" w:firstLine="1494"/>
        <w:spacing w:after="0" w:line="260" w:lineRule="auto"/>
        <w:tabs>
          <w:tab w:leader="none" w:pos="265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assigning Lender shall deliver any Notes or, in lieu thereof, a lost note affidavit reasonably acceptable to the Borrower evidencing such Loans to the Borrower or the Administrative Agent.</w:t>
      </w:r>
    </w:p>
    <w:p>
      <w:pPr>
        <w:spacing w:after="0" w:line="177"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Section 10.07(c)</w:t>
      </w:r>
      <w:r>
        <w:rPr>
          <w:rFonts w:ascii="Arial" w:cs="Arial" w:eastAsia="Arial" w:hAnsi="Arial"/>
          <w:sz w:val="16"/>
          <w:szCs w:val="16"/>
          <w:color w:val="auto"/>
        </w:rPr>
        <w:t xml:space="preserve">,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w:t>
      </w:r>
      <w:r>
        <w:rPr>
          <w:rFonts w:ascii="Arial" w:cs="Arial" w:eastAsia="Arial" w:hAnsi="Arial"/>
          <w:sz w:val="16"/>
          <w:szCs w:val="16"/>
          <w:color w:val="auto"/>
        </w:rPr>
        <w:t xml:space="preserve"> with respect to facts and circumstances occurring prior to the effective date of such assignment, and subject to the obligations set forth in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Upon request, and the surrender by the assigning Lender of its Note (or, in lieu thereof, a lost note affidavit and indemnity reasonably acceptable to the Borrower), the Borrower (at its expense) shall execute and deliver a Note to the assignee Lender. Any assignment or transfer by a Lender of rights or obligations under this Agreement (other than any purported assignment or transfer to a Disqualified Institution) that does not comply with this clause (b)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10.07(d)</w:t>
      </w:r>
      <w:r>
        <w:rPr>
          <w:rFonts w:ascii="Arial" w:cs="Arial" w:eastAsia="Arial" w:hAnsi="Arial"/>
          <w:sz w:val="16"/>
          <w:szCs w:val="16"/>
          <w:color w:val="auto"/>
        </w:rPr>
        <w:t>. Notwithstanding anything to the contrary herein,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or the restrictions on any exercise of rights or remedies of, any Disqualified Institution.</w:t>
      </w:r>
    </w:p>
    <w:p>
      <w:pPr>
        <w:spacing w:after="0" w:line="385" w:lineRule="exact"/>
        <w:rPr>
          <w:sz w:val="20"/>
          <w:szCs w:val="20"/>
          <w:color w:val="auto"/>
        </w:rPr>
      </w:pPr>
    </w:p>
    <w:p>
      <w:pPr>
        <w:jc w:val="both"/>
        <w:ind w:firstLine="1505"/>
        <w:spacing w:after="0" w:line="271" w:lineRule="auto"/>
        <w:tabs>
          <w:tab w:leader="none" w:pos="198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related interest amounts) of the Loans, owing to, each Lender pursuant to the terms hereof from time to time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any Lender, at any reasonable time and from time to time upon reasonable prior notice. The parties intend that all Loans be treated at all times as being maintained in “registered form” within the meaning of Section 163(f), 871(h)(2) and 881(c)(2) of the Code and any related U.S. Treasury Regulations (including Proposed Treasury Regulations Section 1.163-5(b)) (and any other relevant or successor provisions of the Code or of such U.S. Treasury Regulations).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3" w:name="page234"/>
    <w:bookmarkEnd w:id="233"/>
    <w:p>
      <w:pPr>
        <w:jc w:val="both"/>
        <w:ind w:firstLine="1505"/>
        <w:spacing w:after="0" w:line="269" w:lineRule="auto"/>
        <w:tabs>
          <w:tab w:leader="none" w:pos="199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Lender may at any time, without the consent of, or notice to, the Borrower or the Administrative Agent, sell participations to any Person (other than a natural person, an Affiliate Lender (other than a Debt Fund Affiliate), a Person that the Administrative Agent has identified in a notice to the Lenders as a Defaulting Lender or a Disqualified Institution)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directly affects such Participant. Subject to </w:t>
      </w:r>
      <w:r>
        <w:rPr>
          <w:rFonts w:ascii="Arial" w:cs="Arial" w:eastAsia="Arial" w:hAnsi="Arial"/>
          <w:sz w:val="18"/>
          <w:szCs w:val="18"/>
          <w:u w:val="single" w:color="auto"/>
          <w:color w:val="auto"/>
        </w:rPr>
        <w:t>Section 10.07(e)</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the limitations of such Sections, including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shall be delivered solely to the participating Lender)) to the same extent as if it were a Lender and had acquired its interest by assignment pursuant to </w:t>
      </w:r>
      <w:r>
        <w:rPr>
          <w:rFonts w:ascii="Arial" w:cs="Arial" w:eastAsia="Arial" w:hAnsi="Arial"/>
          <w:sz w:val="18"/>
          <w:szCs w:val="18"/>
          <w:u w:val="single" w:color="auto"/>
          <w:color w:val="auto"/>
        </w:rPr>
        <w:t>Section 10.07(b)</w:t>
      </w:r>
      <w:r>
        <w:rPr>
          <w:rFonts w:ascii="Arial" w:cs="Arial" w:eastAsia="Arial" w:hAnsi="Arial"/>
          <w:sz w:val="18"/>
          <w:szCs w:val="18"/>
          <w:color w:val="auto"/>
        </w:rPr>
        <w:t xml:space="preserve">. To the extent permitted by law, each participant also shall be entitled to the benefits of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w:t>
      </w:r>
    </w:p>
    <w:p>
      <w:pPr>
        <w:spacing w:after="0" w:line="176" w:lineRule="exact"/>
        <w:rPr>
          <w:rFonts w:ascii="Arial" w:cs="Arial" w:eastAsia="Arial" w:hAnsi="Arial"/>
          <w:sz w:val="18"/>
          <w:szCs w:val="18"/>
          <w:color w:val="auto"/>
        </w:rPr>
      </w:pPr>
    </w:p>
    <w:p>
      <w:pPr>
        <w:jc w:val="both"/>
        <w:ind w:firstLine="1505"/>
        <w:spacing w:after="0" w:line="250" w:lineRule="auto"/>
        <w:tabs>
          <w:tab w:leader="none" w:pos="2023"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A Participant shall not be entitled to receive any greater payment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than the applicable Lender would have been entitled to receive with respect to the participation sold to such Participant, unless such entitlement to a greater payment results from a change in any Law after the sale of the participation takes place.</w:t>
      </w:r>
    </w:p>
    <w:p>
      <w:pPr>
        <w:spacing w:after="0" w:line="185" w:lineRule="exact"/>
        <w:rPr>
          <w:rFonts w:ascii="Arial" w:cs="Arial" w:eastAsia="Arial" w:hAnsi="Arial"/>
          <w:sz w:val="20"/>
          <w:szCs w:val="20"/>
          <w:color w:val="auto"/>
        </w:rPr>
      </w:pPr>
    </w:p>
    <w:p>
      <w:pPr>
        <w:jc w:val="both"/>
        <w:ind w:firstLine="1505"/>
        <w:spacing w:after="0" w:line="244" w:lineRule="auto"/>
        <w:tabs>
          <w:tab w:leader="none" w:pos="2015"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(including under its Note, if any) (other than to a Disqualified Institution) to secure obligations of such Lender, including any pledge or assignment to secure obligations to a Federal Reserve Bank or any central bank having jurisdiction over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pledge or assignment shall release such Lender from any of its obligations hereunder or substitute any such pledgee or assignee for such Lender as a party hereto.</w:t>
      </w:r>
    </w:p>
    <w:p>
      <w:pPr>
        <w:spacing w:after="0" w:line="194" w:lineRule="exact"/>
        <w:rPr>
          <w:rFonts w:ascii="Arial" w:cs="Arial" w:eastAsia="Arial" w:hAnsi="Arial"/>
          <w:sz w:val="20"/>
          <w:szCs w:val="20"/>
          <w:color w:val="auto"/>
        </w:rPr>
      </w:pPr>
    </w:p>
    <w:p>
      <w:pPr>
        <w:jc w:val="both"/>
        <w:ind w:firstLine="1505"/>
        <w:spacing w:after="0" w:line="270" w:lineRule="auto"/>
        <w:tabs>
          <w:tab w:leader="none" w:pos="201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any Lender (a “</w:t>
      </w:r>
      <w:r>
        <w:rPr>
          <w:rFonts w:ascii="Arial" w:cs="Arial" w:eastAsia="Arial" w:hAnsi="Arial"/>
          <w:sz w:val="18"/>
          <w:szCs w:val="18"/>
          <w:b w:val="1"/>
          <w:bCs w:val="1"/>
          <w:i w:val="1"/>
          <w:iCs w:val="1"/>
          <w:color w:val="auto"/>
        </w:rPr>
        <w:t>Granting Lender</w:t>
      </w:r>
      <w:r>
        <w:rPr>
          <w:rFonts w:ascii="Arial" w:cs="Arial" w:eastAsia="Arial" w:hAnsi="Arial"/>
          <w:sz w:val="18"/>
          <w:szCs w:val="18"/>
          <w:color w:val="auto"/>
        </w:rPr>
        <w:t xml:space="preserve">”) may grant to a special purpose funding vehicle identified as such in writing from time to time by the Granting Lender to the Administrative Agent and the Borrower (an “SPC”) the option to provide all or any part of any Loan that such Granting Lender would otherwise be obligated to make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2.12(b)</w:t>
      </w:r>
      <w:r>
        <w:rPr>
          <w:rFonts w:ascii="Arial" w:cs="Arial" w:eastAsia="Arial" w:hAnsi="Arial"/>
          <w:sz w:val="18"/>
          <w:szCs w:val="18"/>
          <w:color w:val="auto"/>
        </w:rPr>
        <w:t xml:space="preserve">. Each party hereto hereby agrees that an SPC shall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the limitations of such Sections, including the obligations to provide the forms and certifications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3.01(c)</w:t>
      </w:r>
      <w:r>
        <w:rPr>
          <w:rFonts w:ascii="Arial" w:cs="Arial" w:eastAsia="Arial" w:hAnsi="Arial"/>
          <w:sz w:val="18"/>
          <w:szCs w:val="18"/>
          <w:color w:val="auto"/>
        </w:rPr>
        <w:t xml:space="preserve"> as if it were a Lender (it being understood that the documentation required under Section 3.01(c) shall be delivered solely to the granting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3.05</w:t>
      </w:r>
      <w:r>
        <w:rPr>
          <w:rFonts w:ascii="Arial" w:cs="Arial" w:eastAsia="Arial" w:hAnsi="Arial"/>
          <w:sz w:val="18"/>
          <w:szCs w:val="18"/>
          <w:color w:val="auto"/>
        </w:rPr>
        <w:t>) unless such increase or change results from a change in any Law after the grant was made. Each party hereto further agrees that (i) no SPC shall be liable for any indemnity or similar payment obligation under this Agreement for which a Lender would be liable, and (ii)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4" w:name="page235"/>
    <w:bookmarkEnd w:id="234"/>
    <w:p>
      <w:pPr>
        <w:jc w:val="both"/>
        <w:spacing w:after="0" w:line="271" w:lineRule="auto"/>
        <w:rPr>
          <w:sz w:val="20"/>
          <w:szCs w:val="20"/>
          <w:color w:val="auto"/>
        </w:rPr>
      </w:pPr>
      <w:r>
        <w:rPr>
          <w:rFonts w:ascii="Arial" w:cs="Arial" w:eastAsia="Arial" w:hAnsi="Arial"/>
          <w:sz w:val="18"/>
          <w:szCs w:val="18"/>
          <w:color w:val="auto"/>
        </w:rPr>
        <w:t>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of $3,500, assign all or any portion of its rights hereunder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70" w:lineRule="exact"/>
        <w:rPr>
          <w:sz w:val="20"/>
          <w:szCs w:val="20"/>
          <w:color w:val="auto"/>
        </w:rPr>
      </w:pPr>
    </w:p>
    <w:p>
      <w:pPr>
        <w:jc w:val="both"/>
        <w:ind w:firstLine="1505"/>
        <w:spacing w:after="0" w:line="276" w:lineRule="auto"/>
        <w:tabs>
          <w:tab w:leader="none" w:pos="198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such trustee actually becomes a Lender in compliance with the other provisions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64" w:lineRule="exact"/>
        <w:rPr>
          <w:rFonts w:ascii="Arial" w:cs="Arial" w:eastAsia="Arial" w:hAnsi="Arial"/>
          <w:sz w:val="18"/>
          <w:szCs w:val="18"/>
          <w:color w:val="auto"/>
        </w:rPr>
      </w:pPr>
    </w:p>
    <w:p>
      <w:pPr>
        <w:jc w:val="both"/>
        <w:ind w:firstLine="1505"/>
        <w:spacing w:after="0" w:line="250" w:lineRule="auto"/>
        <w:tabs>
          <w:tab w:leader="none" w:pos="1999" w:val="left"/>
        </w:tabs>
        <w:numPr>
          <w:ilvl w:val="0"/>
          <w:numId w:val="271"/>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any Lender may assign all or any portion of its Term Loans, Specified Refinancing Term Loans and New Term Loans hereunder to any Affiliate Lender (including any Debt Fund Affiliate), but only if:</w:t>
      </w:r>
    </w:p>
    <w:p>
      <w:pPr>
        <w:spacing w:after="0" w:line="185" w:lineRule="exact"/>
        <w:rPr>
          <w:rFonts w:ascii="Arial" w:cs="Arial" w:eastAsia="Arial" w:hAnsi="Arial"/>
          <w:sz w:val="20"/>
          <w:szCs w:val="20"/>
          <w:color w:val="auto"/>
        </w:rPr>
      </w:pPr>
    </w:p>
    <w:p>
      <w:pPr>
        <w:ind w:left="2740" w:hanging="486"/>
        <w:spacing w:after="0"/>
        <w:tabs>
          <w:tab w:leader="none" w:pos="2740" w:val="left"/>
        </w:tabs>
        <w:numPr>
          <w:ilvl w:val="1"/>
          <w:numId w:val="271"/>
        </w:numPr>
        <w:rPr>
          <w:rFonts w:ascii="Arial" w:cs="Arial" w:eastAsia="Arial" w:hAnsi="Arial"/>
          <w:sz w:val="20"/>
          <w:szCs w:val="20"/>
          <w:color w:val="auto"/>
        </w:rPr>
      </w:pPr>
      <w:r>
        <w:rPr>
          <w:rFonts w:ascii="Arial" w:cs="Arial" w:eastAsia="Arial" w:hAnsi="Arial"/>
          <w:sz w:val="20"/>
          <w:szCs w:val="20"/>
          <w:color w:val="auto"/>
        </w:rPr>
        <w:t>such assignment is made pursuant to an open market purchase;</w:t>
      </w:r>
    </w:p>
    <w:p>
      <w:pPr>
        <w:spacing w:after="0" w:line="215" w:lineRule="exact"/>
        <w:rPr>
          <w:rFonts w:ascii="Arial" w:cs="Arial" w:eastAsia="Arial" w:hAnsi="Arial"/>
          <w:sz w:val="20"/>
          <w:szCs w:val="20"/>
          <w:color w:val="auto"/>
        </w:rPr>
      </w:pPr>
    </w:p>
    <w:p>
      <w:pPr>
        <w:jc w:val="both"/>
        <w:ind w:left="760" w:firstLine="1494"/>
        <w:spacing w:after="0" w:line="246" w:lineRule="auto"/>
        <w:tabs>
          <w:tab w:leader="none" w:pos="2760" w:val="left"/>
        </w:tabs>
        <w:numPr>
          <w:ilvl w:val="1"/>
          <w:numId w:val="271"/>
        </w:numPr>
        <w:rPr>
          <w:rFonts w:ascii="Arial" w:cs="Arial" w:eastAsia="Arial" w:hAnsi="Arial"/>
          <w:sz w:val="20"/>
          <w:szCs w:val="20"/>
          <w:color w:val="auto"/>
        </w:rPr>
      </w:pPr>
      <w:r>
        <w:rPr>
          <w:rFonts w:ascii="Arial" w:cs="Arial" w:eastAsia="Arial" w:hAnsi="Arial"/>
          <w:sz w:val="20"/>
          <w:szCs w:val="20"/>
          <w:color w:val="auto"/>
        </w:rPr>
        <w:t xml:space="preserve">the assigning Lender and Affiliate Lender purchasing such Lender’s Term Loans, Specified Refinancing Term Loans or New Term Loans, as applicable, shall execute and deliver to the Administrative Agent an assignment agreement substantially in the form of </w:t>
      </w:r>
      <w:r>
        <w:rPr>
          <w:rFonts w:ascii="Arial" w:cs="Arial" w:eastAsia="Arial" w:hAnsi="Arial"/>
          <w:sz w:val="20"/>
          <w:szCs w:val="20"/>
          <w:u w:val="single" w:color="auto"/>
          <w:color w:val="auto"/>
        </w:rPr>
        <w:t>Exhibit C-2</w:t>
      </w:r>
      <w:r>
        <w:rPr>
          <w:rFonts w:ascii="Arial" w:cs="Arial" w:eastAsia="Arial" w:hAnsi="Arial"/>
          <w:sz w:val="20"/>
          <w:szCs w:val="20"/>
          <w:color w:val="auto"/>
        </w:rPr>
        <w:t xml:space="preserve"> hereto (an “</w:t>
      </w:r>
      <w:r>
        <w:rPr>
          <w:rFonts w:ascii="Arial" w:cs="Arial" w:eastAsia="Arial" w:hAnsi="Arial"/>
          <w:sz w:val="20"/>
          <w:szCs w:val="20"/>
          <w:b w:val="1"/>
          <w:bCs w:val="1"/>
          <w:i w:val="1"/>
          <w:iCs w:val="1"/>
          <w:color w:val="auto"/>
        </w:rPr>
        <w:t>Affiliate Lender Assignment and Assumption</w:t>
      </w:r>
      <w:r>
        <w:rPr>
          <w:rFonts w:ascii="Arial" w:cs="Arial" w:eastAsia="Arial" w:hAnsi="Arial"/>
          <w:sz w:val="20"/>
          <w:szCs w:val="20"/>
          <w:color w:val="auto"/>
        </w:rPr>
        <w:t>”) in lieu of an Assignment and Assumption;</w:t>
      </w:r>
    </w:p>
    <w:p>
      <w:pPr>
        <w:spacing w:after="0" w:line="191" w:lineRule="exact"/>
        <w:rPr>
          <w:rFonts w:ascii="Arial" w:cs="Arial" w:eastAsia="Arial" w:hAnsi="Arial"/>
          <w:sz w:val="20"/>
          <w:szCs w:val="20"/>
          <w:color w:val="auto"/>
        </w:rPr>
      </w:pPr>
    </w:p>
    <w:p>
      <w:pPr>
        <w:jc w:val="both"/>
        <w:ind w:left="760" w:firstLine="1494"/>
        <w:spacing w:after="0" w:line="250" w:lineRule="auto"/>
        <w:tabs>
          <w:tab w:leader="none" w:pos="2607" w:val="left"/>
        </w:tabs>
        <w:numPr>
          <w:ilvl w:val="1"/>
          <w:numId w:val="271"/>
        </w:numPr>
        <w:rPr>
          <w:rFonts w:ascii="Arial" w:cs="Arial" w:eastAsia="Arial" w:hAnsi="Arial"/>
          <w:sz w:val="20"/>
          <w:szCs w:val="20"/>
          <w:color w:val="auto"/>
        </w:rPr>
      </w:pPr>
      <w:r>
        <w:rPr>
          <w:rFonts w:ascii="Arial" w:cs="Arial" w:eastAsia="Arial" w:hAnsi="Arial"/>
          <w:sz w:val="20"/>
          <w:szCs w:val="20"/>
          <w:color w:val="auto"/>
        </w:rPr>
        <w:t>after giving effect to such assignment, Affiliates (other than Debt Fund Affiliates) shall not, in the aggregate, own or hold Term Loans, Specified Refinancing Term Loans and New Term Loans with an aggregate principal amount in excess of 30% of the principal amount of all Loans then outstanding; and</w:t>
      </w:r>
    </w:p>
    <w:p>
      <w:pPr>
        <w:spacing w:after="0" w:line="185" w:lineRule="exact"/>
        <w:rPr>
          <w:rFonts w:ascii="Arial" w:cs="Arial" w:eastAsia="Arial" w:hAnsi="Arial"/>
          <w:sz w:val="20"/>
          <w:szCs w:val="20"/>
          <w:color w:val="auto"/>
        </w:rPr>
      </w:pPr>
    </w:p>
    <w:p>
      <w:pPr>
        <w:ind w:left="760" w:firstLine="1494"/>
        <w:spacing w:after="0" w:line="260" w:lineRule="auto"/>
        <w:tabs>
          <w:tab w:leader="none" w:pos="2645" w:val="left"/>
        </w:tabs>
        <w:numPr>
          <w:ilvl w:val="1"/>
          <w:numId w:val="271"/>
        </w:numPr>
        <w:rPr>
          <w:rFonts w:ascii="Arial" w:cs="Arial" w:eastAsia="Arial" w:hAnsi="Arial"/>
          <w:sz w:val="20"/>
          <w:szCs w:val="20"/>
          <w:color w:val="auto"/>
        </w:rPr>
      </w:pPr>
      <w:r>
        <w:rPr>
          <w:rFonts w:ascii="Arial" w:cs="Arial" w:eastAsia="Arial" w:hAnsi="Arial"/>
          <w:sz w:val="20"/>
          <w:szCs w:val="20"/>
          <w:color w:val="auto"/>
        </w:rPr>
        <w:t xml:space="preserve">such Affiliate (other than Debt Fund Affiliates) shall at all times thereafter be subject to the voting restrictions specified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505"/>
        <w:spacing w:after="0" w:line="282" w:lineRule="auto"/>
        <w:tabs>
          <w:tab w:leader="none" w:pos="200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Notwithstanding anything in Section 10.01 or the definition of “Required Lenders” or “Majority Lenders” to the contrary, for purposes of determining whether the Required Lenders or the Majority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Administrative Agent, Collateral Agent or any Lender to undertake any action (or refrain from taking any action) with respect to or under 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 Document:</w:t>
      </w:r>
    </w:p>
    <w:p>
      <w:pPr>
        <w:spacing w:after="0" w:line="200" w:lineRule="exact"/>
        <w:rPr>
          <w:sz w:val="20"/>
          <w:szCs w:val="20"/>
          <w:color w:val="auto"/>
        </w:rPr>
      </w:pPr>
    </w:p>
    <w:p>
      <w:pPr>
        <w:ind w:left="380" w:firstLine="2"/>
        <w:spacing w:after="0" w:line="260" w:lineRule="auto"/>
        <w:tabs>
          <w:tab w:leader="none" w:pos="791"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Loans held by any Non-Debt Fund Affiliate shall be deemed to be not outstanding for all purposes of calculating whether the Required Lenders or Majority Lenders have taken any actions; and</w:t>
      </w:r>
    </w:p>
    <w:p>
      <w:pPr>
        <w:spacing w:after="0" w:line="68" w:lineRule="exact"/>
        <w:rPr>
          <w:rFonts w:ascii="Arial" w:cs="Arial" w:eastAsia="Arial" w:hAnsi="Arial"/>
          <w:sz w:val="20"/>
          <w:szCs w:val="20"/>
          <w:color w:val="auto"/>
        </w:rPr>
      </w:pPr>
    </w:p>
    <w:p>
      <w:pPr>
        <w:ind w:left="380" w:firstLine="2"/>
        <w:spacing w:after="0" w:line="287" w:lineRule="auto"/>
        <w:tabs>
          <w:tab w:leader="none" w:pos="803"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all Loans held by Debt Fund Affiliates may not account for more than 49.9% of the Loans of consenting Lenders included in determining whether the Required Lenders or the Majority Lender have consented to any action pursuant to Section 10.01.</w:t>
      </w:r>
    </w:p>
    <w:p>
      <w:pPr>
        <w:spacing w:after="0" w:line="4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Additionally, the Loan Parties and each Non-Debt Fund Affiliate hereby agree that if a case under Title 11 of the United States Code is commenced against any Loan Party, such Loan Party shall seek (and each Non-Debt Fund Affiliate shall consent) to provide that the vote of any Non-Debt Fund Affiliate (in its capacity as a Lender) with respect to any plan of reorganization of such Loan Party shall not be counted except that such Non-Debt Fund Affiliate’s vote (in its capacity as a Lender) may be counted to the extent any such plan of reorganization proposes to treat the Obligations held by such Non-Debt Fund Affiliate in a manner that is less favorable to such Non-Debt Fund Affiliate than the proposed treatment of similar Obligations held by Lenders that are not Affiliates of the Borrower. Each Non-Debt Fund Affiliate hereby irrevocably appoints the Administrative Agent (such appointment being coupled with an interest) as such Non-Debt Fund Affiliate’s attorney-in-fact, with full authority in the place and stead of such Non-Debt Fund Affiliate and in the name of such Non-Debt Fund Affiliate (solely in respect of Loans and participations therein and not in respect of any other claim or status such Non-Debt Fund Affiliate may otherwise have), from time to time in the Administrative Agent’s discretion to take any action and to execute any instrument that the Administrative Agent may deem reasonably necessary to carry out the provisions of this paragraph.</w:t>
      </w:r>
    </w:p>
    <w:p>
      <w:pPr>
        <w:spacing w:after="0" w:line="170" w:lineRule="exact"/>
        <w:rPr>
          <w:sz w:val="20"/>
          <w:szCs w:val="20"/>
          <w:color w:val="auto"/>
        </w:rPr>
      </w:pPr>
    </w:p>
    <w:p>
      <w:pPr>
        <w:ind w:firstLine="1505"/>
        <w:spacing w:after="0" w:line="287" w:lineRule="auto"/>
        <w:tabs>
          <w:tab w:leader="none" w:pos="199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 xml:space="preserve">Notwithstanding anything else to the contrary contained in this Agreement, any Lender may assign all or a portion of its Loans to any Non-Debt Fund Affiliate or Purchasing Borrower Party in accordance with Section 10.07(b);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2" w:lineRule="exact"/>
        <w:rPr>
          <w:rFonts w:ascii="Arial" w:cs="Arial" w:eastAsia="Arial" w:hAnsi="Arial"/>
          <w:sz w:val="19"/>
          <w:szCs w:val="19"/>
          <w:color w:val="auto"/>
        </w:rPr>
      </w:pPr>
    </w:p>
    <w:p>
      <w:pPr>
        <w:jc w:val="both"/>
        <w:ind w:left="380" w:firstLine="2"/>
        <w:spacing w:after="0" w:line="250" w:lineRule="auto"/>
        <w:tabs>
          <w:tab w:leader="none" w:pos="792"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the assigning Lender and Non-Debt Fund Affiliate or Purchasing Borrower Party purchasing such Lender’s Loans, as applicable, shall execute and deliver to the Administrative Agent an Affiliate Lender Assignment and Assumption in lieu of an Assignment and Assumption;</w:t>
      </w:r>
    </w:p>
    <w:p>
      <w:pPr>
        <w:spacing w:after="0" w:line="77" w:lineRule="exact"/>
        <w:rPr>
          <w:rFonts w:ascii="Arial" w:cs="Arial" w:eastAsia="Arial" w:hAnsi="Arial"/>
          <w:sz w:val="20"/>
          <w:szCs w:val="20"/>
          <w:color w:val="auto"/>
        </w:rPr>
      </w:pPr>
    </w:p>
    <w:p>
      <w:pPr>
        <w:ind w:left="380" w:firstLine="2"/>
        <w:spacing w:after="0" w:line="260" w:lineRule="auto"/>
        <w:tabs>
          <w:tab w:leader="none" w:pos="782" w:val="left"/>
        </w:tabs>
        <w:numPr>
          <w:ilvl w:val="0"/>
          <w:numId w:val="274"/>
        </w:numPr>
        <w:rPr>
          <w:rFonts w:ascii="Arial" w:cs="Arial" w:eastAsia="Arial" w:hAnsi="Arial"/>
          <w:sz w:val="20"/>
          <w:szCs w:val="20"/>
          <w:color w:val="auto"/>
        </w:rPr>
      </w:pPr>
      <w:r>
        <w:rPr>
          <w:rFonts w:ascii="Arial" w:cs="Arial" w:eastAsia="Arial" w:hAnsi="Arial"/>
          <w:sz w:val="20"/>
          <w:szCs w:val="20"/>
          <w:color w:val="auto"/>
        </w:rPr>
        <w:t>such assignment, if made to a Purchasing Borrower Party, is made pursuant to a Dutch Auction in accordance with Section 2.05(c) open to all Lenders;</w:t>
      </w:r>
    </w:p>
    <w:p>
      <w:pPr>
        <w:spacing w:after="0" w:line="68" w:lineRule="exact"/>
        <w:rPr>
          <w:rFonts w:ascii="Arial" w:cs="Arial" w:eastAsia="Arial" w:hAnsi="Arial"/>
          <w:sz w:val="20"/>
          <w:szCs w:val="20"/>
          <w:color w:val="auto"/>
        </w:rPr>
      </w:pPr>
    </w:p>
    <w:p>
      <w:pPr>
        <w:ind w:left="380" w:firstLine="2"/>
        <w:spacing w:after="0" w:line="260" w:lineRule="auto"/>
        <w:tabs>
          <w:tab w:leader="none" w:pos="782"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any Loans assigned to any Purchasing Borrower Party shall be automatically and permanently cancelled for upon the effectiveness of such assignment and will thereafter no longer be outstanding for any purpose hereunder;</w:t>
      </w:r>
    </w:p>
    <w:p>
      <w:pPr>
        <w:spacing w:after="0" w:line="68" w:lineRule="exact"/>
        <w:rPr>
          <w:rFonts w:ascii="Arial" w:cs="Arial" w:eastAsia="Arial" w:hAnsi="Arial"/>
          <w:sz w:val="20"/>
          <w:szCs w:val="20"/>
          <w:color w:val="auto"/>
        </w:rPr>
      </w:pPr>
    </w:p>
    <w:p>
      <w:pPr>
        <w:ind w:left="780" w:hanging="398"/>
        <w:spacing w:after="0"/>
        <w:tabs>
          <w:tab w:leader="none" w:pos="78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ind w:left="780" w:hanging="398"/>
        <w:spacing w:after="0"/>
        <w:tabs>
          <w:tab w:leader="none" w:pos="78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107" w:lineRule="exact"/>
        <w:rPr>
          <w:rFonts w:ascii="Arial" w:cs="Arial" w:eastAsia="Arial" w:hAnsi="Arial"/>
          <w:sz w:val="20"/>
          <w:szCs w:val="20"/>
          <w:color w:val="auto"/>
        </w:rPr>
      </w:pPr>
    </w:p>
    <w:p>
      <w:pPr>
        <w:ind w:left="380" w:firstLine="2"/>
        <w:spacing w:after="0" w:line="260" w:lineRule="auto"/>
        <w:tabs>
          <w:tab w:leader="none" w:pos="781" w:val="left"/>
        </w:tabs>
        <w:numPr>
          <w:ilvl w:val="0"/>
          <w:numId w:val="274"/>
        </w:numPr>
        <w:rPr>
          <w:rFonts w:ascii="Arial" w:cs="Arial" w:eastAsia="Arial" w:hAnsi="Arial"/>
          <w:sz w:val="20"/>
          <w:szCs w:val="20"/>
          <w:color w:val="auto"/>
        </w:rPr>
      </w:pPr>
      <w:r>
        <w:rPr>
          <w:rFonts w:ascii="Arial" w:cs="Arial" w:eastAsia="Arial" w:hAnsi="Arial"/>
          <w:sz w:val="20"/>
          <w:szCs w:val="20"/>
          <w:color w:val="auto"/>
        </w:rPr>
        <w:t>no Loan may be assigned to a Non-Debt Fund Affiliates pursuant to this Section 10.07(k), if after giving effect to such assignment, Non-Debt Fund Affiliates in the aggregate would own in excess of 30% of all Loans then outstanding.</w:t>
      </w:r>
    </w:p>
    <w:p>
      <w:pPr>
        <w:spacing w:after="0" w:line="68" w:lineRule="exact"/>
        <w:rPr>
          <w:rFonts w:ascii="Arial" w:cs="Arial" w:eastAsia="Arial" w:hAnsi="Arial"/>
          <w:sz w:val="20"/>
          <w:szCs w:val="20"/>
          <w:color w:val="auto"/>
        </w:rPr>
      </w:pPr>
    </w:p>
    <w:p>
      <w:pPr>
        <w:jc w:val="both"/>
        <w:ind w:firstLine="1505"/>
        <w:spacing w:after="0" w:line="246" w:lineRule="auto"/>
        <w:tabs>
          <w:tab w:leader="none" w:pos="2005" w:val="left"/>
        </w:tabs>
        <w:numPr>
          <w:ilvl w:val="1"/>
          <w:numId w:val="274"/>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no Affiliate Lender shall have any right to (i) attend (including by telephone) any meeting or discussions (or portion thereof) among the Administrative Agent or any Lender to which representatives of the Borrower are not then present, (ii) receive any information or material prepared by the Administrative Agent or any Lender or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6" w:name="page237"/>
    <w:bookmarkEnd w:id="236"/>
    <w:p>
      <w:pPr>
        <w:jc w:val="both"/>
        <w:spacing w:after="0" w:line="243" w:lineRule="auto"/>
        <w:rPr>
          <w:sz w:val="20"/>
          <w:szCs w:val="20"/>
          <w:color w:val="auto"/>
        </w:rPr>
      </w:pPr>
      <w:r>
        <w:rPr>
          <w:rFonts w:ascii="Arial" w:cs="Arial" w:eastAsia="Arial" w:hAnsi="Arial"/>
          <w:sz w:val="20"/>
          <w:szCs w:val="20"/>
          <w:color w:val="auto"/>
        </w:rPr>
        <w:t>communication by or among Administrative Agent and one or more Lenders, except to the extent such information or materials have been made available to the Borrower or its representatives (and in any case, other than the right to receive notices of prepayments and other administrative notices in respect of its Loans required to be delivered to Lenders pursuant to Article II), or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Loan Documents.</w:t>
      </w:r>
    </w:p>
    <w:p>
      <w:pPr>
        <w:spacing w:after="0" w:line="196" w:lineRule="exact"/>
        <w:rPr>
          <w:sz w:val="20"/>
          <w:szCs w:val="20"/>
          <w:color w:val="auto"/>
        </w:rPr>
      </w:pPr>
    </w:p>
    <w:p>
      <w:pPr>
        <w:jc w:val="both"/>
        <w:ind w:firstLine="1505"/>
        <w:spacing w:after="0" w:line="306" w:lineRule="auto"/>
        <w:tabs>
          <w:tab w:leader="none" w:pos="1874"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The applicable Lender, acting solely for this purpose as a non-fiduciary agent of the Borrower (solely for tax purposes), shall maintain a register on which it enters the name and address of (i) each SPC (other than any SPC that is treated as a disregarded entity of the Granting Lender for U.S. federal income tax purposes) that has exercised its option pursuant to </w:t>
      </w:r>
      <w:r>
        <w:rPr>
          <w:rFonts w:ascii="Arial" w:cs="Arial" w:eastAsia="Arial" w:hAnsi="Arial"/>
          <w:sz w:val="16"/>
          <w:szCs w:val="16"/>
          <w:u w:val="single" w:color="auto"/>
          <w:color w:val="auto"/>
        </w:rPr>
        <w:t>Section 10.07(g)</w:t>
      </w:r>
      <w:r>
        <w:rPr>
          <w:rFonts w:ascii="Arial" w:cs="Arial" w:eastAsia="Arial" w:hAnsi="Arial"/>
          <w:sz w:val="16"/>
          <w:szCs w:val="16"/>
          <w:color w:val="auto"/>
        </w:rPr>
        <w:t xml:space="preserve"> and</w:t>
      </w:r>
    </w:p>
    <w:p>
      <w:pPr>
        <w:jc w:val="both"/>
        <w:ind w:firstLine="8"/>
        <w:spacing w:after="0" w:line="241" w:lineRule="auto"/>
        <w:tabs>
          <w:tab w:leader="none" w:pos="321" w:val="left"/>
        </w:tabs>
        <w:numPr>
          <w:ilvl w:val="0"/>
          <w:numId w:val="276"/>
        </w:numPr>
        <w:rPr>
          <w:rFonts w:ascii="Arial" w:cs="Arial" w:eastAsia="Arial" w:hAnsi="Arial"/>
          <w:sz w:val="20"/>
          <w:szCs w:val="20"/>
          <w:color w:val="auto"/>
        </w:rPr>
      </w:pPr>
      <w:r>
        <w:rPr>
          <w:rFonts w:ascii="Arial" w:cs="Arial" w:eastAsia="Arial" w:hAnsi="Arial"/>
          <w:sz w:val="20"/>
          <w:szCs w:val="20"/>
          <w:color w:val="auto"/>
        </w:rPr>
        <w:t>each Participant, and the amount of each such SPC’s and Participant’s interest in such Lender’s rights and/or obligations under this Agreement (the “</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The entries in the Participant Register shall be conclusive absent manifest error, and such Lender shall treat each Person whose name is recorded in the Participant Register as the owner of the applicable rights and/or obligations of such Lender under this Agreement.</w:t>
      </w:r>
    </w:p>
    <w:p>
      <w:pPr>
        <w:spacing w:after="0" w:line="194"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8"/>
          <w:szCs w:val="18"/>
          <w:color w:val="auto"/>
        </w:rPr>
        <w:t xml:space="preserve">10.08 Confidentiality. Each of the Agents and the Lenders agrees to maintain the confidentiality of the Information, except that Information may be disclosed (a) to its directors, officers, employees and agents, including accountants, legal counsel and other advisors, and other Affiliates (it being understood that the Persons to whom such disclosure is made will be informed of the confidential nature of such Information and instructed to keep such Information confidential in accordance with customary practices); (b) to the extent requested by any regulatory authority having jurisdiction over such Agent, Lender or its respective Affiliates or in connection with any pledge or assignment permitted under </w:t>
      </w:r>
      <w:r>
        <w:rPr>
          <w:rFonts w:ascii="Arial" w:cs="Arial" w:eastAsia="Arial" w:hAnsi="Arial"/>
          <w:sz w:val="18"/>
          <w:szCs w:val="18"/>
          <w:u w:val="single" w:color="auto"/>
          <w:color w:val="auto"/>
        </w:rPr>
        <w:t>Section 10.07(f)</w:t>
      </w:r>
      <w:r>
        <w:rPr>
          <w:rFonts w:ascii="Arial" w:cs="Arial" w:eastAsia="Arial" w:hAnsi="Arial"/>
          <w:sz w:val="18"/>
          <w:szCs w:val="18"/>
          <w:color w:val="auto"/>
        </w:rPr>
        <w:t>; (c) in any legal, judicial, administrative proceeding or other compulsory process or otherwise as required by applicable Laws or regulations or by any subpoena or similar legal process; (d) to any other party to this Agreement;</w:t>
      </w:r>
    </w:p>
    <w:p>
      <w:pPr>
        <w:spacing w:after="0" w:line="5" w:lineRule="exact"/>
        <w:rPr>
          <w:sz w:val="20"/>
          <w:szCs w:val="20"/>
          <w:color w:val="auto"/>
        </w:rPr>
      </w:pPr>
    </w:p>
    <w:p>
      <w:pPr>
        <w:jc w:val="both"/>
        <w:ind w:firstLine="8"/>
        <w:spacing w:after="0" w:line="267" w:lineRule="auto"/>
        <w:tabs>
          <w:tab w:leader="none" w:pos="27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(or as may otherwise be reasonably acceptable to the Borrower), to any Eligible Assignee of or Participant in, or any prospective Eligible Assignee of or Participant in, any of its rights or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disclosure shall be made by such Lender or such Agent or any of their respective Affiliates to any such Person that is a Disqualified Institution; (g) with the written consent of the Borrower; (h) to the extent such Information becomes publicly available other than as a result of a breach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(i) to the extent such Information is received by such Agent, Lender or their respective Affiliates from a third party that is not, to such Agent’s, Lender’s, or their respective Affiliates’ knowledge, subject to contractual or fiduciary confidentiality obligations owing to any Loan Party or any Subsidiary thereof; (j) to the extent such Information is independently developed by such Agent, Lender or their respective Affiliates so long as not based on Information obtained in a manner that would otherwise violate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(k) to any state, Federal or foreign authority or examiner (including the National Association of Insurance Commissioners or any other similar organization) regulating any Lender; or (l) to any rating agency when required by it (it being understood that, prior to any such disclosure, such rating agency shall undertake to preserve the confidentiality of any Information relating to the Loan Parties received by it from such Lender).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means all information received from any Loan Party or any Subsidiary thereof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7" w:name="page238"/>
    <w:bookmarkEnd w:id="237"/>
    <w:p>
      <w:pPr>
        <w:jc w:val="both"/>
        <w:spacing w:after="0" w:line="243" w:lineRule="auto"/>
        <w:rPr>
          <w:sz w:val="20"/>
          <w:szCs w:val="20"/>
          <w:color w:val="auto"/>
        </w:rPr>
      </w:pPr>
      <w:r>
        <w:rPr>
          <w:rFonts w:ascii="Arial" w:cs="Arial" w:eastAsia="Arial" w:hAnsi="Arial"/>
          <w:sz w:val="20"/>
          <w:szCs w:val="20"/>
          <w:color w:val="auto"/>
        </w:rPr>
        <w:t xml:space="preserve">relating to any Loan Party or any Subsidiary thereof relating to any Loan Party or its business, other than any such information that is publicly available to any Agent or any Lender prior to disclosure by any Loan Party other than as a result of a breach of this </w:t>
      </w:r>
      <w:r>
        <w:rPr>
          <w:rFonts w:ascii="Arial" w:cs="Arial" w:eastAsia="Arial" w:hAnsi="Arial"/>
          <w:sz w:val="20"/>
          <w:szCs w:val="20"/>
          <w:u w:val="single" w:color="auto"/>
          <w:color w:val="auto"/>
        </w:rPr>
        <w:t>Section 10.08</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a Loan Party after the Closing Date, such information is clearly identified at the time of delivery as confidential or is delivered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hereof and is not publicly available. Any Person required to maintain the confidentiality of Information as provided in this </w:t>
      </w:r>
      <w:r>
        <w:rPr>
          <w:rFonts w:ascii="Arial" w:cs="Arial" w:eastAsia="Arial" w:hAnsi="Arial"/>
          <w:sz w:val="20"/>
          <w:szCs w:val="20"/>
          <w:u w:val="single" w:color="auto"/>
          <w:color w:val="auto"/>
        </w:rPr>
        <w:t>Section 10.08</w:t>
      </w:r>
      <w:r>
        <w:rPr>
          <w:rFonts w:ascii="Arial" w:cs="Arial" w:eastAsia="Arial" w:hAnsi="Arial"/>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9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Each of the Administrative Agent and the Lenders acknowledges that (i) the Information may include material non-public information concerning the Borrower, Holdings or a Subsidiary of either,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91"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18"/>
          <w:szCs w:val="18"/>
          <w:color w:val="auto"/>
        </w:rPr>
        <w:t xml:space="preserve">10.09 Setoff. In addition to any rights and remedies of the Lenders provided by Law, upon the occurrence and during the continuance of any Event of Default, each Secured Party is authorized at any time and from time to time, without prior notice to the Borrower or any other Loan Party, any such notice being waived by the Borrower (on its own behalf and on behalf of each Loan Party) to the fullest extent permitted by Law, to set off and apply any and all deposits (general or special, time or demand, provisional or final), other than deposits in fiduciary accounts as to which a Loan Party is acting as fiduciary for another Person who is not a Loan Party, at any time held by, and other Indebtedness at any time owing by, such Lender to or for the credit or the account of the respective Loan Parties against any and all Obligations owing to such Secured Party hereunder or under any other Loan Document (or other Secured Agreement (as defined in the Security Agreement)), as of the Closing Date or thereafter existing, irrespective of whether or not such Agent or such Lender shall have made demand under this Agreement or any other Loan Document (or other Secured Document (as defined in the Security Agreement)) and although such Obligations may be contingent or unmatured or denominated in a currency different from that of the applicable deposit or Indebtedness. Each Secured Party agrees promptly to notify the Borrower and each of the Agents after any such set-off and application made by such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2.18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Each Secured Party agrees promptly to notify Borrower and the Administrative Agent after any such set-off and application made by such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to give such notice shall not affect the validity of such setoff and application. The rights of any Agent and each Secured Party under this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are in addition to other rights and remedies (including, without limitation, other rights of setoff) that any Agent and such Secured Party may have. Notwithstanding anything herein or in any other Loan Document to the contrary, in no event shall the assets of any Foreign Subsidiary constitute security, or shall the proceeds of such assets be available for, payment of the Obligations of the Borrower or any Domestic Subsidiary, it being understood that (a) the Equity Interests of any Foreign Subsidiary that is directly owned by a Domestic Subsidiary does not constitute such an asset (and may be pledged to the extent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and</w:t>
      </w:r>
    </w:p>
    <w:p>
      <w:pPr>
        <w:spacing w:after="0" w:line="18" w:lineRule="exact"/>
        <w:rPr>
          <w:sz w:val="20"/>
          <w:szCs w:val="20"/>
          <w:color w:val="auto"/>
        </w:rPr>
      </w:pPr>
    </w:p>
    <w:p>
      <w:pPr>
        <w:ind w:firstLine="8"/>
        <w:spacing w:after="0" w:line="244" w:lineRule="auto"/>
        <w:tabs>
          <w:tab w:leader="none" w:pos="305" w:val="left"/>
        </w:tabs>
        <w:numPr>
          <w:ilvl w:val="0"/>
          <w:numId w:val="278"/>
        </w:numPr>
        <w:rPr>
          <w:rFonts w:ascii="Arial" w:cs="Arial" w:eastAsia="Arial" w:hAnsi="Arial"/>
          <w:sz w:val="20"/>
          <w:szCs w:val="20"/>
          <w:color w:val="auto"/>
        </w:rPr>
      </w:pPr>
      <w:r>
        <w:rPr>
          <w:rFonts w:ascii="Arial" w:cs="Arial" w:eastAsia="Arial" w:hAnsi="Arial"/>
          <w:sz w:val="20"/>
          <w:szCs w:val="20"/>
          <w:color w:val="auto"/>
        </w:rPr>
        <w:t xml:space="preserve">the provisions hereof shall not limit, reduce or otherwise diminish in any respect the Borrower’s obligations to make any mandatory prepayment pursuant to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8" w:name="page239"/>
    <w:bookmarkEnd w:id="238"/>
    <w:p>
      <w:pPr>
        <w:jc w:val="both"/>
        <w:ind w:firstLine="1497"/>
        <w:spacing w:after="0" w:line="257" w:lineRule="auto"/>
        <w:rPr>
          <w:sz w:val="20"/>
          <w:szCs w:val="20"/>
          <w:color w:val="auto"/>
        </w:rPr>
      </w:pPr>
      <w:r>
        <w:rPr>
          <w:rFonts w:ascii="Arial" w:cs="Arial" w:eastAsia="Arial" w:hAnsi="Arial"/>
          <w:sz w:val="19"/>
          <w:szCs w:val="19"/>
          <w:color w:val="auto"/>
        </w:rPr>
        <w:t>10.10 Interest Rate Limitation.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0"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10.11 Counterparts.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to request or deliver the same shall not limit the effectiveness of any document or signature delivered by telecopier or other electronic transmission.</w:t>
      </w:r>
    </w:p>
    <w:p>
      <w:pPr>
        <w:spacing w:after="0" w:line="18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10.12 Integration; Effectiveness. This Agreement and the other Loan Documents, and those provisions of the Commitment Letter, dated as of November 8, 2018, among Holdings, the Borrower, and the Arrangers that by their terms survive the termination of such Commitment Letter, constitute the entire contract among the parties relating to the subject matter hereof and supersede any and all previous agreements and understandings, oral or written, relating to the subject matter hereof. In the event of any conflict between the provisions of this Agreement and those of any other Loan Document, the provisions of this Agreement shall control; provided,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68"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10.13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contingent indemnification or other obligations and obligations and liabilities under Secured Cash Management Agreements and Secured Hedge Agreements) hereunder shall remain unpaid or unsatisfied.</w:t>
      </w:r>
    </w:p>
    <w:p>
      <w:pPr>
        <w:spacing w:after="0" w:line="168"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10.14 Severability.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10.15 [Reserved].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10.16 Governing Law; Jurisdiction; Etc.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9" w:name="page240"/>
    <w:bookmarkEnd w:id="239"/>
    <w:p>
      <w:pPr>
        <w:ind w:firstLine="1505"/>
        <w:spacing w:after="0" w:line="260" w:lineRule="auto"/>
        <w:tabs>
          <w:tab w:leader="none" w:pos="1988" w:val="left"/>
        </w:tabs>
        <w:numPr>
          <w:ilvl w:val="0"/>
          <w:numId w:val="27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EACH OTHER LOAN DOCUMENT SHALL BE GOVERNED BY, AND CONSTRUED IN ACCORDANCE WITH, THE LAW OF THE STATE OF NEW YORK.</w:t>
      </w:r>
    </w:p>
    <w:p>
      <w:pPr>
        <w:spacing w:after="0" w:line="176" w:lineRule="exact"/>
        <w:rPr>
          <w:rFonts w:ascii="Arial" w:cs="Arial" w:eastAsia="Arial" w:hAnsi="Arial"/>
          <w:sz w:val="20"/>
          <w:szCs w:val="20"/>
          <w:color w:val="auto"/>
        </w:rPr>
      </w:pPr>
    </w:p>
    <w:p>
      <w:pPr>
        <w:jc w:val="both"/>
        <w:ind w:firstLine="1505"/>
        <w:spacing w:after="0" w:line="254" w:lineRule="auto"/>
        <w:tabs>
          <w:tab w:leader="none" w:pos="2013"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PARTY HERETO IRREVOCABLY AND UNCONDITIONALLY SUBMITS, FOR ITSELF AND ITS PROPERTY, TO THE NON-EXCLUSIVE JURISDICTION OF THE COURTS OF THE STATE OF NEW YORK SITTING IN NEW YORK CITY IN THE BOROUGH OF MANHATTAN AND OF THE UNITED STATES FOR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191" w:lineRule="exact"/>
        <w:rPr>
          <w:rFonts w:ascii="Arial" w:cs="Arial" w:eastAsia="Arial" w:hAnsi="Arial"/>
          <w:sz w:val="19"/>
          <w:szCs w:val="19"/>
          <w:color w:val="auto"/>
        </w:rPr>
      </w:pPr>
    </w:p>
    <w:p>
      <w:pPr>
        <w:jc w:val="both"/>
        <w:ind w:firstLine="1505"/>
        <w:spacing w:after="0" w:line="243" w:lineRule="auto"/>
        <w:tabs>
          <w:tab w:leader="none" w:pos="2005" w:val="left"/>
        </w:tabs>
        <w:numPr>
          <w:ilvl w:val="0"/>
          <w:numId w:val="279"/>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PARTY HERETO IRREVOCABLY AND UNCONDITIONALLY WAIVES, TO THE FULLEST EXTENT PERMITTED BY APPLICABLE LAW, ANY OBJECTION THAT IT MAY HAVE ON THE CLOSING DATE OR THEREAFTER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20"/>
          <w:szCs w:val="20"/>
          <w:color w:val="auto"/>
        </w:rPr>
      </w:pPr>
    </w:p>
    <w:p>
      <w:pPr>
        <w:jc w:val="both"/>
        <w:ind w:firstLine="1505"/>
        <w:spacing w:after="0" w:line="269" w:lineRule="auto"/>
        <w:tabs>
          <w:tab w:leader="none" w:pos="1993"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10.02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10.17 WAIVER OF RIGHT TO TRIAL BY JURY.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EXISTING AS OF THE CLOSING DATE OR THEREAFTER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WITH ANY COURT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40" w:name="page241"/>
    <w:bookmarkEnd w:id="240"/>
    <w:p>
      <w:pPr>
        <w:jc w:val="both"/>
        <w:spacing w:after="0" w:line="260" w:lineRule="auto"/>
        <w:rPr>
          <w:sz w:val="20"/>
          <w:szCs w:val="20"/>
          <w:color w:val="auto"/>
        </w:rPr>
      </w:pPr>
      <w:r>
        <w:rPr>
          <w:rFonts w:ascii="Arial" w:cs="Arial" w:eastAsia="Arial" w:hAnsi="Arial"/>
          <w:sz w:val="20"/>
          <w:szCs w:val="20"/>
          <w:color w:val="auto"/>
        </w:rPr>
        <w:t>WRITTEN EVIDENCE OF THE CONSENT OF THE SIGNATORIES HERETO TO THE WAIVER OF THEIR RIGHT TO TRIAL BY JURY.</w:t>
      </w:r>
    </w:p>
    <w:p>
      <w:pPr>
        <w:spacing w:after="0" w:line="17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10.18 Binding Effect. When this Agreement shall have become effective in accordance with </w:t>
      </w:r>
      <w:r>
        <w:rPr>
          <w:rFonts w:ascii="Arial" w:cs="Arial" w:eastAsia="Arial" w:hAnsi="Arial"/>
          <w:sz w:val="20"/>
          <w:szCs w:val="20"/>
          <w:u w:val="single" w:color="auto"/>
          <w:color w:val="auto"/>
        </w:rPr>
        <w:t>Section 10.12</w:t>
      </w:r>
      <w:r>
        <w:rPr>
          <w:rFonts w:ascii="Arial" w:cs="Arial" w:eastAsia="Arial" w:hAnsi="Arial"/>
          <w:sz w:val="20"/>
          <w:szCs w:val="20"/>
          <w:color w:val="auto"/>
        </w:rPr>
        <w:t xml:space="preserve">, it shall thereafter shall be binding upon and inure to the benefit of the Borrower, each Agent and each Lender and their respective successors and permitted assigns, except that the Borrower shall not have the right to assign its rights hereunder or any interest herein without the prior written consent of the Lenders except as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191"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10.19 No Advisory or Fiduciary Responsibility. In connection with all aspects of each transaction contemplated hereby (including in connection with any amendment, waiver or other modification hereof or of any other Loan Document), each of the Borrower and Holdings acknowledges and agrees, and acknowledges and agrees that it has informed its other Affiliates, that: (i) (A) no fiduciary, advisory or agency relationship between any of the Borrower, Holdings and their respective Subsidiaries and any Agent or Arranger is intended to be or has been created in respect of any of the transactions contemplated hereby and by the other Loan Documents, irrespective of whether any Agent or Arranger has advised or is advising any of the Borrower, Holdings and their respective Subsidiaries on other matters,</w:t>
      </w:r>
    </w:p>
    <w:p>
      <w:pPr>
        <w:spacing w:after="0" w:line="1" w:lineRule="exact"/>
        <w:rPr>
          <w:sz w:val="20"/>
          <w:szCs w:val="20"/>
          <w:color w:val="auto"/>
        </w:rPr>
      </w:pPr>
    </w:p>
    <w:p>
      <w:pPr>
        <w:jc w:val="both"/>
        <w:ind w:firstLine="8"/>
        <w:spacing w:after="0" w:line="266" w:lineRule="auto"/>
        <w:tabs>
          <w:tab w:leader="none" w:pos="35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arranging and other services regarding this Agreement provided by the Agents and the Arrangers are arm’s-length commercial transactions between the Borrower, Holdings and their respective Subsidiaries, on the one hand, and the Agents and the Arrangers, on the other hand, (C) each of the Borrower and Holdings has consulted its own legal, accounting, regulatory and tax advisors to the extent it has deemed appropriate, and (D) each of the Borrower and Holdings is capable of evaluating, and understands and accepts, the terms, risks and conditions of the transactions contemplated hereby and by the other Loan Documents; (ii) (A) the Agents and the Arrangers each is and has been acting solely as a principal and, except as may otherwise be expressly agreed in writing by the relevant parties, has not been, is not, and will not be acting as an advisor, agent or fiduciary for the Borrower, Holdings or any of their respective Affiliates, or any other Person and</w:t>
      </w:r>
    </w:p>
    <w:p>
      <w:pPr>
        <w:jc w:val="both"/>
        <w:ind w:firstLine="8"/>
        <w:spacing w:after="0" w:line="271" w:lineRule="auto"/>
        <w:tabs>
          <w:tab w:leader="none" w:pos="32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neither any Agent nor any Arranger has any obligation to the Borrower, Holdings or any of their respective Affiliates with respect to the transactions contemplated hereby except those obligations expressly set forth herein and in the other Loan Documents; and (iii) the Agents and the Arrangers and their respective Affiliates may be engaged in a broad range of transactions that involve interests that differ from those of the Borrower, Holdings and their respective Affiliates, and neither any Agent nor any Arranger has any obligation to disclose any of such interests and transactions to the Borrower, Holdings or any of their respective Affiliates. To the fullest extent permitted by law, each of the Borrower and Holdings hereby waives and releases any claims that it may have against the Agents and the Arrangers with respect to any breach or alleged breach of agency or fiduciary duty in connection with any aspect of any transaction contemplated hereby.</w:t>
      </w:r>
    </w:p>
    <w:p>
      <w:pPr>
        <w:spacing w:after="0" w:line="170"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10.20 Affiliate Activities. Each of the Borrower and Holdings acknowledge that each Agent and each Arranger (and their respective Affiliates) is a full service securities firm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it may make or hold a broad array of investments and actively trade debt and equity securities (or related derivative securities) and/or financial instruments (including bank loans) for its own account and for the accounts of its customers and may at any time hold long and short positions in such securities and/or instruments. Such investment and other activities may involve securities and instruments of the Borrower, Holdings and their respective affiliates, as well as of other entities and Persons and their Affiliates which may (i) be involved in transactions arising from or relating to the engagement contemplated hereby and by the other Loan documents (ii) be customers or competitors of the Borrower, Holdings and their respective Affiliates, or (iii) have other relationships with the Borrower, Holdings and their respective Affiliates. In addition, it may provide investment banking, underwriting and financial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41" w:name="page242"/>
    <w:bookmarkEnd w:id="241"/>
    <w:p>
      <w:pPr>
        <w:jc w:val="both"/>
        <w:spacing w:after="0" w:line="244" w:lineRule="auto"/>
        <w:rPr>
          <w:sz w:val="20"/>
          <w:szCs w:val="20"/>
          <w:color w:val="auto"/>
        </w:rPr>
      </w:pPr>
      <w:r>
        <w:rPr>
          <w:rFonts w:ascii="Arial" w:cs="Arial" w:eastAsia="Arial" w:hAnsi="Arial"/>
          <w:sz w:val="20"/>
          <w:szCs w:val="20"/>
          <w:color w:val="auto"/>
        </w:rPr>
        <w:t>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the Borrower, Holdings and their respective Affiliates or such other entities. The transactions contemplated hereby and by the other Loan Documents may have a direct or indirect impact on the investments, securities or instruments referred to in this paragraph.</w:t>
      </w:r>
    </w:p>
    <w:p>
      <w:pPr>
        <w:spacing w:after="0" w:line="19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10.21 Electronic Execution of Assignments and Certain Other Documents.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10.22 USA PATRIOT ACT. Each Lender that is subject to the PATRIOT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9"/>
          <w:szCs w:val="19"/>
          <w:b w:val="1"/>
          <w:bCs w:val="1"/>
          <w:i w:val="1"/>
          <w:iCs w:val="1"/>
          <w:color w:val="auto"/>
        </w:rPr>
        <w:t>PATRIOT Act</w:t>
      </w:r>
      <w:r>
        <w:rPr>
          <w:rFonts w:ascii="Arial" w:cs="Arial" w:eastAsia="Arial" w:hAnsi="Arial"/>
          <w:sz w:val="19"/>
          <w:szCs w:val="19"/>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PATRIOT Act.</w:t>
      </w:r>
    </w:p>
    <w:p>
      <w:pPr>
        <w:spacing w:after="0" w:line="180"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10.23 Intercreditor Agreements. Notwithstanding anything herein to the contrary, the Lien and security interest granted to the Administrative Agent pursuant to any Loan Document and the exercise of any right or remedy in respect of the Collateral by the Administrative Agent hereunder or under any other Loan Document are subject to the provisions of any Intercreditor Agreement. In the event of any conflict between the terms of any Intercreditor Agreement, this Agreement and any other Loan Document, the terms of such Intercreditor Agreement shall govern and control with respect to any right or remedy in respect of the Collateral. Without limiting the generality of the foregoing, and notwithstanding anything herein to the contrary, all rights and remedies with respect to the Collateral of the Administrative Agent (and the Secured Parties) shall be subject to the terms of the Intercreditor Agreements. Prior to the Discharge of Revolving Credit Obligations (as defined in the ABL Intercreditor Agreement) the delivery of any ABL Collateral to the collateral agent under the ABL Credit Agreement pursuant to the ABL Credit Agreement shall satisfy any delivery requirement hereunder or under any other Loan Document to the extent that such delivery is consistent with the terms of any Intercreditor Agreement.</w:t>
      </w:r>
    </w:p>
    <w:p>
      <w:pPr>
        <w:spacing w:after="0" w:line="174"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10.24 Acknowledgement and Consent to Bail-In of EEA Financial Institutions</w:t>
      </w:r>
      <w:r>
        <w:rPr>
          <w:rFonts w:ascii="Arial" w:cs="Arial" w:eastAsia="Arial" w:hAnsi="Arial"/>
          <w:sz w:val="18"/>
          <w:szCs w:val="18"/>
          <w:color w:val="4472C4"/>
        </w:rPr>
        <w:t>.</w:t>
      </w:r>
      <w:r>
        <w:rPr>
          <w:rFonts w:ascii="Arial" w:cs="Arial" w:eastAsia="Arial" w:hAnsi="Arial"/>
          <w:sz w:val="18"/>
          <w:szCs w:val="18"/>
          <w:color w:val="auto"/>
        </w:rPr>
        <w:t xml:space="preserve">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 (a) the application of any Write-Down and Conversion Powers by an EEA Resolution Authority to any such liabilities arising hereunder which may be payable to it by any party hereto that is an EEA Financial Institution; and (b) the effects of any Bail-In Action on any such liability, including, if applicable: (i) a reduction in full or in part or cancellation of any such liability;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42" w:name="page243"/>
    <w:bookmarkEnd w:id="242"/>
    <w:p>
      <w:pPr>
        <w:jc w:val="both"/>
        <w:ind w:firstLine="8"/>
        <w:spacing w:after="0" w:line="272" w:lineRule="auto"/>
        <w:tabs>
          <w:tab w:leader="none" w:pos="31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ind w:firstLine="8"/>
        <w:spacing w:after="0" w:line="244" w:lineRule="auto"/>
        <w:tabs>
          <w:tab w:leader="none" w:pos="381"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43" w:name="page244"/>
    <w:bookmarkEnd w:id="2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L. Treadway, certify that:</w:t>
      </w:r>
    </w:p>
    <w:p>
      <w:pPr>
        <w:spacing w:after="0" w:line="225" w:lineRule="exact"/>
        <w:rPr>
          <w:sz w:val="20"/>
          <w:szCs w:val="20"/>
          <w:color w:val="auto"/>
        </w:rPr>
      </w:pPr>
    </w:p>
    <w:p>
      <w:pPr>
        <w:ind w:left="180" w:hanging="172"/>
        <w:spacing w:after="0"/>
        <w:tabs>
          <w:tab w:leader="none" w:pos="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CommScope Holding Company,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7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60" w:hanging="3"/>
        <w:spacing w:after="0" w:line="263" w:lineRule="auto"/>
        <w:tabs>
          <w:tab w:leader="none" w:pos="70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3"/>
        <w:spacing w:after="0" w:line="263" w:lineRule="auto"/>
        <w:tabs>
          <w:tab w:leader="none" w:pos="71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860" w:hanging="3"/>
        <w:spacing w:after="0" w:line="342" w:lineRule="auto"/>
        <w:tabs>
          <w:tab w:leader="none" w:pos="70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20" w:hanging="3"/>
        <w:spacing w:after="0" w:line="263" w:lineRule="auto"/>
        <w:tabs>
          <w:tab w:leader="none" w:pos="71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7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280" w:hanging="3"/>
        <w:spacing w:after="0" w:line="277" w:lineRule="auto"/>
        <w:tabs>
          <w:tab w:leader="none" w:pos="70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40" w:hanging="3"/>
        <w:spacing w:after="0" w:line="277" w:lineRule="auto"/>
        <w:tabs>
          <w:tab w:leader="none" w:pos="71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2, 2023</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Charles L. Treadway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Charles L. Treadway</w:t>
            </w:r>
          </w:p>
        </w:tc>
        <w:tc>
          <w:tcPr>
            <w:tcW w:w="6740" w:type="dxa"/>
            <w:vAlign w:val="bottom"/>
          </w:tcPr>
          <w:p>
            <w:pPr>
              <w:spacing w:after="0"/>
              <w:rPr>
                <w:sz w:val="21"/>
                <w:szCs w:val="21"/>
                <w:color w:val="auto"/>
              </w:rPr>
            </w:pPr>
          </w:p>
        </w:tc>
      </w:tr>
      <w:tr>
        <w:trPr>
          <w:trHeight w:val="228"/>
        </w:trPr>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90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6740" w:type="dxa"/>
            <w:vAlign w:val="bottom"/>
          </w:tcPr>
          <w:p>
            <w:pPr>
              <w:spacing w:after="0"/>
              <w:rPr>
                <w:sz w:val="19"/>
                <w:szCs w:val="19"/>
                <w:color w:val="auto"/>
              </w:rPr>
            </w:pPr>
          </w:p>
        </w:tc>
      </w:tr>
      <w:tr>
        <w:trPr>
          <w:trHeight w:val="230"/>
        </w:trPr>
        <w:tc>
          <w:tcPr>
            <w:tcW w:w="60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6740" w:type="dxa"/>
            <w:vAlign w:val="bottom"/>
          </w:tcPr>
          <w:p>
            <w:pPr>
              <w:spacing w:after="0"/>
              <w:rPr>
                <w:sz w:val="20"/>
                <w:szCs w:val="20"/>
                <w:color w:val="auto"/>
              </w:rPr>
            </w:pPr>
          </w:p>
        </w:tc>
      </w:tr>
      <w:tr>
        <w:trPr>
          <w:trHeight w:val="560"/>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5" w:name="page246"/>
    <w:bookmarkEnd w:id="2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Kyle D. Lorentzen, certify that:</w:t>
      </w:r>
    </w:p>
    <w:p>
      <w:pPr>
        <w:spacing w:after="0" w:line="225" w:lineRule="exact"/>
        <w:rPr>
          <w:sz w:val="20"/>
          <w:szCs w:val="20"/>
          <w:color w:val="auto"/>
        </w:rPr>
      </w:pPr>
    </w:p>
    <w:p>
      <w:pPr>
        <w:ind w:left="180" w:hanging="172"/>
        <w:spacing w:after="0"/>
        <w:tabs>
          <w:tab w:leader="none" w:pos="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CommScope Holding Company,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7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60" w:hanging="3"/>
        <w:spacing w:after="0" w:line="263" w:lineRule="auto"/>
        <w:tabs>
          <w:tab w:leader="none" w:pos="70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3"/>
        <w:spacing w:after="0" w:line="263" w:lineRule="auto"/>
        <w:tabs>
          <w:tab w:leader="none" w:pos="71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860" w:hanging="3"/>
        <w:spacing w:after="0" w:line="342" w:lineRule="auto"/>
        <w:tabs>
          <w:tab w:leader="none" w:pos="705"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20" w:hanging="3"/>
        <w:spacing w:after="0" w:line="263" w:lineRule="auto"/>
        <w:tabs>
          <w:tab w:leader="none" w:pos="71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7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280" w:hanging="3"/>
        <w:spacing w:after="0" w:line="277" w:lineRule="auto"/>
        <w:tabs>
          <w:tab w:leader="none" w:pos="70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40" w:hanging="3"/>
        <w:spacing w:after="0" w:line="277" w:lineRule="auto"/>
        <w:tabs>
          <w:tab w:leader="none" w:pos="71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2, 2023</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Kyle D. Lorentzen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Kyle D. Lorentzen</w:t>
            </w:r>
          </w:p>
        </w:tc>
        <w:tc>
          <w:tcPr>
            <w:tcW w:w="6740" w:type="dxa"/>
            <w:vAlign w:val="bottom"/>
          </w:tcPr>
          <w:p>
            <w:pPr>
              <w:spacing w:after="0"/>
              <w:rPr>
                <w:sz w:val="21"/>
                <w:szCs w:val="21"/>
                <w:color w:val="auto"/>
              </w:rPr>
            </w:pPr>
          </w:p>
        </w:tc>
      </w:tr>
      <w:tr>
        <w:trPr>
          <w:trHeight w:val="228"/>
        </w:trPr>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90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w:t>
            </w:r>
          </w:p>
        </w:tc>
        <w:tc>
          <w:tcPr>
            <w:tcW w:w="6740" w:type="dxa"/>
            <w:vAlign w:val="bottom"/>
          </w:tcPr>
          <w:p>
            <w:pPr>
              <w:spacing w:after="0"/>
              <w:rPr>
                <w:sz w:val="19"/>
                <w:szCs w:val="19"/>
                <w:color w:val="auto"/>
              </w:rPr>
            </w:pPr>
          </w:p>
        </w:tc>
      </w:tr>
      <w:tr>
        <w:trPr>
          <w:trHeight w:val="230"/>
        </w:trPr>
        <w:tc>
          <w:tcPr>
            <w:tcW w:w="60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Officer (Principal Financial Officer)</w:t>
            </w:r>
          </w:p>
        </w:tc>
        <w:tc>
          <w:tcPr>
            <w:tcW w:w="6740" w:type="dxa"/>
            <w:vAlign w:val="bottom"/>
          </w:tcPr>
          <w:p>
            <w:pPr>
              <w:spacing w:after="0"/>
              <w:rPr>
                <w:sz w:val="20"/>
                <w:szCs w:val="20"/>
                <w:color w:val="auto"/>
              </w:rPr>
            </w:pPr>
          </w:p>
        </w:tc>
      </w:tr>
      <w:tr>
        <w:trPr>
          <w:trHeight w:val="560"/>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7" w:name="page248"/>
    <w:bookmarkEnd w:id="2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of CommScope Holding Company, Inc. (the “Company”) on Form 10-Q for the quarter ended June 30, 2023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Securities and Exchange Commission on the date hereof (the “Report”), we, Charles L. Treadway, President,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of the Company, and Kyle D. Lorentzen, Executive Vice President and Chief Financial Officer of the Company, certify, pursuant to 18 U.S.C.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1350 as adopted pursuant to § 906 of the Sarbanes-Oxley Act of 2002, that:</w:t>
      </w:r>
    </w:p>
    <w:p>
      <w:pPr>
        <w:spacing w:after="0" w:line="211" w:lineRule="exact"/>
        <w:rPr>
          <w:sz w:val="20"/>
          <w:szCs w:val="20"/>
          <w:color w:val="auto"/>
        </w:rPr>
      </w:pPr>
    </w:p>
    <w:p>
      <w:pPr>
        <w:ind w:left="180" w:hanging="172"/>
        <w:spacing w:after="0"/>
        <w:tabs>
          <w:tab w:leader="none" w:pos="1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0" w:right="620" w:hanging="12"/>
        <w:spacing w:after="0" w:line="555" w:lineRule="auto"/>
        <w:tabs>
          <w:tab w:leader="none" w:pos="18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2,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061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Charles L. Treadway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061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Kyle D. Lorentzen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9" w:name="page250"/>
    <w:bookmarkEnd w:id="2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DF2233"/>
    <w:multiLevelType w:val="hybridMultilevel"/>
    <w:lvl w:ilvl="0">
      <w:lvlJc w:val="left"/>
      <w:lvlText w:val="☒"/>
      <w:numFmt w:val="bullet"/>
      <w:start w:val="1"/>
    </w:lvl>
  </w:abstractNum>
  <w:abstractNum w:abstractNumId="1">
    <w:nsid w:val="7AB49DAF"/>
    <w:multiLevelType w:val="hybridMultilevel"/>
    <w:lvl w:ilvl="0">
      <w:lvlJc w:val="left"/>
      <w:lvlText w:val="☐"/>
      <w:numFmt w:val="bullet"/>
      <w:start w:val="1"/>
    </w:lvl>
  </w:abstractNum>
  <w:abstractNum w:abstractNumId="2">
    <w:nsid w:val="759F82CD"/>
    <w:multiLevelType w:val="hybridMultilevel"/>
    <w:lvl w:ilvl="0">
      <w:lvlJc w:val="left"/>
      <w:lvlText w:val="%1."/>
      <w:numFmt w:val="decimal"/>
      <w:start w:val="1"/>
    </w:lvl>
  </w:abstractNum>
  <w:abstractNum w:abstractNumId="3">
    <w:nsid w:val="61E74EA3"/>
    <w:multiLevelType w:val="hybridMultilevel"/>
    <w:lvl w:ilvl="0">
      <w:lvlJc w:val="left"/>
      <w:lvlText w:val="%1."/>
      <w:numFmt w:val="decimal"/>
      <w:start w:val="3"/>
    </w:lvl>
  </w:abstractNum>
  <w:abstractNum w:abstractNumId="4">
    <w:nsid w:val="597B4D84"/>
    <w:multiLevelType w:val="hybridMultilevel"/>
    <w:lvl w:ilvl="0">
      <w:lvlJc w:val="left"/>
      <w:lvlText w:val="%1."/>
      <w:numFmt w:val="decimal"/>
      <w:start w:val="4"/>
    </w:lvl>
  </w:abstractNum>
  <w:abstractNum w:abstractNumId="5">
    <w:nsid w:val="F819E7F"/>
    <w:multiLevelType w:val="hybridMultilevel"/>
    <w:lvl w:ilvl="0">
      <w:lvlJc w:val="left"/>
      <w:lvlText w:val="%1."/>
      <w:numFmt w:val="decimal"/>
      <w:start w:val="10"/>
    </w:lvl>
  </w:abstractNum>
  <w:abstractNum w:abstractNumId="6">
    <w:nsid w:val="57C7D42D"/>
    <w:multiLevelType w:val="hybridMultilevel"/>
    <w:lvl w:ilvl="0">
      <w:lvlJc w:val="left"/>
      <w:lvlText w:val="(%1)"/>
      <w:numFmt w:val="decimal"/>
      <w:start w:val="1"/>
    </w:lvl>
  </w:abstractNum>
  <w:abstractNum w:abstractNumId="7">
    <w:nsid w:val="312167AD"/>
    <w:multiLevelType w:val="hybridMultilevel"/>
    <w:lvl w:ilvl="0">
      <w:lvlJc w:val="left"/>
      <w:lvlText w:val="(%1)"/>
      <w:numFmt w:val="decimal"/>
      <w:start w:val="1"/>
    </w:lvl>
  </w:abstractNum>
  <w:abstractNum w:abstractNumId="8">
    <w:nsid w:val="631B64D4"/>
    <w:multiLevelType w:val="hybridMultilevel"/>
    <w:lvl w:ilvl="0">
      <w:lvlJc w:val="left"/>
      <w:lvlText w:val="(%1)"/>
      <w:numFmt w:val="decimal"/>
      <w:start w:val="1"/>
    </w:lvl>
  </w:abstractNum>
  <w:abstractNum w:abstractNumId="9">
    <w:nsid w:val="78B5E776"/>
    <w:multiLevelType w:val="hybridMultilevel"/>
    <w:lvl w:ilvl="0">
      <w:lvlJc w:val="left"/>
      <w:lvlText w:val="(%1)"/>
      <w:numFmt w:val="decimal"/>
      <w:start w:val="1"/>
    </w:lvl>
  </w:abstractNum>
  <w:abstractNum w:abstractNumId="10">
    <w:nsid w:val="75486E47"/>
    <w:multiLevelType w:val="hybridMultilevel"/>
    <w:lvl w:ilvl="0">
      <w:lvlJc w:val="left"/>
      <w:lvlText w:val="(%1)"/>
      <w:numFmt w:val="decimal"/>
      <w:start w:val="1"/>
    </w:lvl>
  </w:abstractNum>
  <w:abstractNum w:abstractNumId="11">
    <w:nsid w:val="6E534CDE"/>
    <w:multiLevelType w:val="hybridMultilevel"/>
    <w:lvl w:ilvl="0">
      <w:lvlJc w:val="left"/>
      <w:lvlText w:val="%1"/>
      <w:numFmt w:val="decimal"/>
      <w:start w:val="104"/>
    </w:lvl>
    <w:lvl w:ilvl="1">
      <w:lvlJc w:val="left"/>
      <w:lvlText w:val="**"/>
      <w:numFmt w:val="bullet"/>
      <w:start w:val="1"/>
    </w:lvl>
  </w:abstractNum>
  <w:abstractNum w:abstractNumId="12">
    <w:nsid w:val="1A0DDE32"/>
    <w:multiLevelType w:val="hybridMultilevel"/>
    <w:lvl w:ilvl="0">
      <w:lvlJc w:val="left"/>
      <w:lvlText w:val="(%1)"/>
      <w:numFmt w:val="lowerLetter"/>
      <w:start w:val="1"/>
    </w:lvl>
  </w:abstractNum>
  <w:abstractNum w:abstractNumId="13">
    <w:nsid w:val="65968C1C"/>
    <w:multiLevelType w:val="hybridMultilevel"/>
    <w:lvl w:ilvl="0">
      <w:lvlJc w:val="left"/>
      <w:lvlText w:val="(%1)"/>
      <w:numFmt w:val="lowerLetter"/>
      <w:start w:val="1"/>
    </w:lvl>
  </w:abstractNum>
  <w:abstractNum w:abstractNumId="14">
    <w:nsid w:val="46263DEC"/>
    <w:multiLevelType w:val="hybridMultilevel"/>
    <w:lvl w:ilvl="0">
      <w:lvlJc w:val="left"/>
      <w:lvlText w:val="(%1)"/>
      <w:numFmt w:val="lowerLetter"/>
      <w:start w:val="1"/>
    </w:lvl>
  </w:abstractNum>
  <w:abstractNum w:abstractNumId="15">
    <w:nsid w:val="260D8C4A"/>
    <w:multiLevelType w:val="hybridMultilevel"/>
    <w:lvl w:ilvl="0">
      <w:lvlJc w:val="left"/>
      <w:lvlText w:val="(%1)"/>
      <w:numFmt w:val="lowerLetter"/>
      <w:start w:val="1"/>
    </w:lvl>
  </w:abstractNum>
  <w:abstractNum w:abstractNumId="16">
    <w:nsid w:val="73D4D3C4"/>
    <w:multiLevelType w:val="hybridMultilevel"/>
    <w:lvl w:ilvl="0">
      <w:lvlJc w:val="left"/>
      <w:lvlText w:val="(%1)"/>
      <w:numFmt w:val="lowerLetter"/>
      <w:start w:val="2"/>
    </w:lvl>
  </w:abstractNum>
  <w:abstractNum w:abstractNumId="17">
    <w:nsid w:val="746F2E30"/>
    <w:multiLevelType w:val="hybridMultilevel"/>
    <w:lvl w:ilvl="0">
      <w:lvlJc w:val="left"/>
      <w:lvlText w:val="(%1)"/>
      <w:numFmt w:val="lowerLetter"/>
      <w:start w:val="1"/>
    </w:lvl>
  </w:abstractNum>
  <w:abstractNum w:abstractNumId="18">
    <w:nsid w:val="6FDE8AF6"/>
    <w:multiLevelType w:val="hybridMultilevel"/>
    <w:lvl w:ilvl="0">
      <w:lvlJc w:val="left"/>
      <w:lvlText w:val="(%1)"/>
      <w:numFmt w:val="lowerLetter"/>
      <w:start w:val="61"/>
    </w:lvl>
    <w:lvl w:ilvl="1">
      <w:lvlJc w:val="left"/>
      <w:lvlText w:val="(%2)"/>
      <w:numFmt w:val="lowerLetter"/>
      <w:start w:val="2"/>
    </w:lvl>
  </w:abstractNum>
  <w:abstractNum w:abstractNumId="19">
    <w:nsid w:val="3FC32E20"/>
    <w:multiLevelType w:val="hybridMultilevel"/>
    <w:lvl w:ilvl="0">
      <w:lvlJc w:val="left"/>
      <w:lvlText w:val="I"/>
      <w:numFmt w:val="bullet"/>
      <w:start w:val="1"/>
    </w:lvl>
  </w:abstractNum>
  <w:abstractNum w:abstractNumId="20">
    <w:nsid w:val="49C0E823"/>
    <w:multiLevelType w:val="hybridMultilevel"/>
    <w:lvl w:ilvl="0">
      <w:lvlJc w:val="left"/>
      <w:lvlText w:val="A"/>
      <w:numFmt w:val="bullet"/>
      <w:start w:val="1"/>
    </w:lvl>
  </w:abstractNum>
  <w:abstractNum w:abstractNumId="21">
    <w:nsid w:val="14D53685"/>
    <w:multiLevelType w:val="hybridMultilevel"/>
    <w:lvl w:ilvl="0">
      <w:lvlJc w:val="left"/>
      <w:lvlText w:val="B"/>
      <w:numFmt w:val="bullet"/>
      <w:start w:val="1"/>
    </w:lvl>
  </w:abstractNum>
  <w:abstractNum w:abstractNumId="22">
    <w:nsid w:val="230F856C"/>
    <w:multiLevelType w:val="hybridMultilevel"/>
    <w:lvl w:ilvl="0">
      <w:lvlJc w:val="left"/>
      <w:lvlText w:val="E"/>
      <w:numFmt w:val="bullet"/>
      <w:start w:val="1"/>
    </w:lvl>
  </w:abstractNum>
  <w:abstractNum w:abstractNumId="23">
    <w:nsid w:val="6EAA85FB"/>
    <w:multiLevelType w:val="hybridMultilevel"/>
    <w:lvl w:ilvl="0">
      <w:lvlJc w:val="left"/>
      <w:lvlText w:val="F"/>
      <w:numFmt w:val="bullet"/>
      <w:start w:val="1"/>
    </w:lvl>
  </w:abstractNum>
  <w:abstractNum w:abstractNumId="24">
    <w:nsid w:val="3F06ECB2"/>
    <w:multiLevelType w:val="hybridMultilevel"/>
    <w:lvl w:ilvl="0">
      <w:lvlJc w:val="left"/>
      <w:lvlText w:val="G"/>
      <w:numFmt w:val="bullet"/>
      <w:start w:val="1"/>
    </w:lvl>
  </w:abstractNum>
  <w:abstractNum w:abstractNumId="25">
    <w:nsid w:val="3B594807"/>
    <w:multiLevelType w:val="hybridMultilevel"/>
    <w:lvl w:ilvl="0">
      <w:lvlJc w:val="left"/>
      <w:lvlText w:val="I"/>
      <w:numFmt w:val="bullet"/>
      <w:start w:val="1"/>
    </w:lvl>
  </w:abstractNum>
  <w:abstractNum w:abstractNumId="26">
    <w:nsid w:val="6CAA2304"/>
    <w:multiLevelType w:val="hybridMultilevel"/>
    <w:lvl w:ilvl="0">
      <w:lvlJc w:val="left"/>
      <w:lvlText w:val="J"/>
      <w:numFmt w:val="bullet"/>
      <w:start w:val="1"/>
    </w:lvl>
  </w:abstractNum>
  <w:abstractNum w:abstractNumId="27">
    <w:nsid w:val="3F7C2FF4"/>
    <w:multiLevelType w:val="hybridMultilevel"/>
    <w:lvl w:ilvl="0">
      <w:lvlJc w:val="left"/>
      <w:lvlText w:val="(%1)"/>
      <w:numFmt w:val="decimal"/>
      <w:start w:val="1"/>
    </w:lvl>
  </w:abstractNum>
  <w:abstractNum w:abstractNumId="28">
    <w:nsid w:val="25413BEC"/>
    <w:multiLevelType w:val="hybridMultilevel"/>
    <w:lvl w:ilvl="0">
      <w:lvlJc w:val="left"/>
      <w:lvlText w:val="(%1)"/>
      <w:numFmt w:val="decimal"/>
      <w:start w:val="1"/>
    </w:lvl>
  </w:abstractNum>
  <w:abstractNum w:abstractNumId="29">
    <w:nsid w:val="17180B0B"/>
    <w:multiLevelType w:val="hybridMultilevel"/>
    <w:lvl w:ilvl="0">
      <w:lvlJc w:val="left"/>
      <w:lvlText w:val="(%1)"/>
      <w:numFmt w:val="lowerLetter"/>
      <w:start w:val="1"/>
    </w:lvl>
  </w:abstractNum>
  <w:abstractNum w:abstractNumId="30">
    <w:nsid w:val="579328B9"/>
    <w:multiLevelType w:val="hybridMultilevel"/>
    <w:lvl w:ilvl="0">
      <w:lvlJc w:val="left"/>
      <w:lvlText w:val="(%1)"/>
      <w:numFmt w:val="lowerLetter"/>
      <w:start w:val="14"/>
    </w:lvl>
  </w:abstractNum>
  <w:abstractNum w:abstractNumId="31">
    <w:nsid w:val="5D205E20"/>
    <w:multiLevelType w:val="hybridMultilevel"/>
    <w:lvl w:ilvl="0">
      <w:lvlJc w:val="left"/>
      <w:lvlText w:val="(%1)"/>
      <w:numFmt w:val="decimal"/>
      <w:start w:val="1"/>
    </w:lvl>
  </w:abstractNum>
  <w:abstractNum w:abstractNumId="32">
    <w:nsid w:val="11CCA8BA"/>
    <w:multiLevelType w:val="hybridMultilevel"/>
    <w:lvl w:ilvl="0">
      <w:lvlJc w:val="left"/>
      <w:lvlText w:val="(%1)"/>
      <w:numFmt w:val="decimal"/>
      <w:start w:val="1"/>
    </w:lvl>
  </w:abstractNum>
  <w:abstractNum w:abstractNumId="33">
    <w:nsid w:val="4D32AB86"/>
    <w:multiLevelType w:val="hybridMultilevel"/>
    <w:lvl w:ilvl="0">
      <w:lvlJc w:val="left"/>
      <w:lvlText w:val="(%1)"/>
      <w:numFmt w:val="decimal"/>
      <w:start w:val="1"/>
    </w:lvl>
  </w:abstractNum>
  <w:abstractNum w:abstractNumId="34">
    <w:nsid w:val="3F07ACC3"/>
    <w:multiLevelType w:val="hybridMultilevel"/>
    <w:lvl w:ilvl="0">
      <w:lvlJc w:val="left"/>
      <w:lvlText w:val="(%1)"/>
      <w:numFmt w:val="decimal"/>
      <w:start w:val="3"/>
    </w:lvl>
  </w:abstractNum>
  <w:abstractNum w:abstractNumId="35">
    <w:nsid w:val="6B47F63E"/>
    <w:multiLevelType w:val="hybridMultilevel"/>
    <w:lvl w:ilvl="0">
      <w:lvlJc w:val="left"/>
      <w:lvlText w:val="(%1)"/>
      <w:numFmt w:val="decimal"/>
      <w:start w:val="1"/>
    </w:lvl>
  </w:abstractNum>
  <w:abstractNum w:abstractNumId="36">
    <w:nsid w:val="5CB44A05"/>
    <w:multiLevelType w:val="hybridMultilevel"/>
    <w:lvl w:ilvl="0">
      <w:lvlJc w:val="left"/>
      <w:lvlText w:val="(%1)"/>
      <w:numFmt w:val="decimal"/>
      <w:start w:val="1"/>
    </w:lvl>
  </w:abstractNum>
  <w:abstractNum w:abstractNumId="37">
    <w:nsid w:val="16CF80F1"/>
    <w:multiLevelType w:val="hybridMultilevel"/>
    <w:lvl w:ilvl="0">
      <w:lvlJc w:val="left"/>
      <w:lvlText w:val="(%1)"/>
      <w:numFmt w:val="decimal"/>
      <w:start w:val="9"/>
    </w:lvl>
  </w:abstractNum>
  <w:abstractNum w:abstractNumId="38">
    <w:nsid w:val="1C695DEC"/>
    <w:multiLevelType w:val="hybridMultilevel"/>
    <w:lvl w:ilvl="0">
      <w:lvlJc w:val="left"/>
      <w:lvlText w:val="(%1)"/>
      <w:numFmt w:val="decimal"/>
      <w:start w:val="1"/>
    </w:lvl>
  </w:abstractNum>
  <w:abstractNum w:abstractNumId="39">
    <w:nsid w:val="3FCFAED9"/>
    <w:multiLevelType w:val="hybridMultilevel"/>
    <w:lvl w:ilvl="0">
      <w:lvlJc w:val="left"/>
      <w:lvlText w:val="(%1)"/>
      <w:numFmt w:val="lowerLetter"/>
      <w:start w:val="2"/>
    </w:lvl>
  </w:abstractNum>
  <w:abstractNum w:abstractNumId="40">
    <w:nsid w:val="F856867"/>
    <w:multiLevelType w:val="hybridMultilevel"/>
    <w:lvl w:ilvl="0">
      <w:lvlJc w:val="left"/>
      <w:lvlText w:val="(%1)"/>
      <w:numFmt w:val="lowerRoman"/>
      <w:start w:val="1"/>
    </w:lvl>
  </w:abstractNum>
  <w:abstractNum w:abstractNumId="41">
    <w:nsid w:val="11B1CC33"/>
    <w:multiLevelType w:val="hybridMultilevel"/>
    <w:lvl w:ilvl="0">
      <w:lvlJc w:val="left"/>
      <w:lvlText w:val="(%1)"/>
      <w:numFmt w:val="lowerRoman"/>
      <w:start w:val="5"/>
    </w:lvl>
  </w:abstractNum>
  <w:abstractNum w:abstractNumId="42">
    <w:nsid w:val="2E22FBB7"/>
    <w:multiLevelType w:val="hybridMultilevel"/>
    <w:lvl w:ilvl="0">
      <w:lvlJc w:val="left"/>
      <w:lvlText w:val="(%1)"/>
      <w:numFmt w:val="lowerLetter"/>
      <w:start w:val="25"/>
    </w:lvl>
  </w:abstractNum>
  <w:abstractNum w:abstractNumId="43">
    <w:nsid w:val="29934699"/>
    <w:multiLevelType w:val="hybridMultilevel"/>
    <w:lvl w:ilvl="0">
      <w:lvlJc w:val="left"/>
      <w:lvlText w:val="(%1)"/>
      <w:numFmt w:val="decimal"/>
      <w:start w:val="1"/>
    </w:lvl>
    <w:lvl w:ilvl="1">
      <w:lvlJc w:val="left"/>
      <w:lvlText w:val="(%2)"/>
      <w:numFmt w:val="lowerLetter"/>
      <w:start w:val="1"/>
    </w:lvl>
  </w:abstractNum>
  <w:abstractNum w:abstractNumId="44">
    <w:nsid w:val="77485850"/>
    <w:multiLevelType w:val="hybridMultilevel"/>
    <w:lvl w:ilvl="0">
      <w:lvlJc w:val="left"/>
      <w:lvlText w:val="(%1)"/>
      <w:numFmt w:val="lowerLetter"/>
      <w:start w:val="8"/>
    </w:lvl>
  </w:abstractNum>
  <w:abstractNum w:abstractNumId="45">
    <w:nsid w:val="744939A3"/>
    <w:multiLevelType w:val="hybridMultilevel"/>
    <w:lvl w:ilvl="0">
      <w:lvlJc w:val="left"/>
      <w:lvlText w:val="(%1)"/>
      <w:numFmt w:val="decimal"/>
      <w:start w:val="2"/>
    </w:lvl>
  </w:abstractNum>
  <w:abstractNum w:abstractNumId="46">
    <w:nsid w:val="4FA0D2E3"/>
    <w:multiLevelType w:val="hybridMultilevel"/>
    <w:lvl w:ilvl="0">
      <w:lvlJc w:val="left"/>
      <w:lvlText w:val="(%1)"/>
      <w:numFmt w:val="decimal"/>
      <w:start w:val="1"/>
    </w:lvl>
    <w:lvl w:ilvl="1">
      <w:lvlJc w:val="left"/>
      <w:lvlText w:val="(%2)"/>
      <w:numFmt w:val="decimal"/>
      <w:start w:val="2"/>
    </w:lvl>
  </w:abstractNum>
  <w:abstractNum w:abstractNumId="47">
    <w:nsid w:val="6B1D2C14"/>
    <w:multiLevelType w:val="hybridMultilevel"/>
    <w:lvl w:ilvl="0">
      <w:lvlJc w:val="left"/>
      <w:lvlText w:val="%1"/>
      <w:numFmt w:val="lowerLetter"/>
      <w:start w:val="1"/>
    </w:lvl>
    <w:lvl w:ilvl="1">
      <w:lvlJc w:val="left"/>
      <w:lvlText w:val="(%2)"/>
      <w:numFmt w:val="lowerLetter"/>
      <w:start w:val="1"/>
    </w:lvl>
  </w:abstractNum>
  <w:abstractNum w:abstractNumId="48">
    <w:nsid w:val="68B867D3"/>
    <w:multiLevelType w:val="hybridMultilevel"/>
    <w:lvl w:ilvl="0">
      <w:lvlJc w:val="left"/>
      <w:lvlText w:val="(%1)"/>
      <w:numFmt w:val="lowerLetter"/>
      <w:start w:val="61"/>
    </w:lvl>
    <w:lvl w:ilvl="1">
      <w:lvlJc w:val="left"/>
      <w:lvlText w:val="(%2)"/>
      <w:numFmt w:val="lowerLetter"/>
      <w:start w:val="3"/>
    </w:lvl>
  </w:abstractNum>
  <w:abstractNum w:abstractNumId="49">
    <w:nsid w:val="3F7F5DD9"/>
    <w:multiLevelType w:val="hybridMultilevel"/>
    <w:lvl w:ilvl="0">
      <w:lvlJc w:val="left"/>
      <w:lvlText w:val="(%1)"/>
      <w:numFmt w:val="lowerLetter"/>
      <w:start w:val="9"/>
    </w:lvl>
  </w:abstractNum>
  <w:abstractNum w:abstractNumId="50">
    <w:nsid w:val="2AE05A34"/>
    <w:multiLevelType w:val="hybridMultilevel"/>
    <w:lvl w:ilvl="0">
      <w:lvlJc w:val="left"/>
      <w:lvlText w:val="(%1)"/>
      <w:numFmt w:val="lowerLetter"/>
      <w:start w:val="19"/>
    </w:lvl>
  </w:abstractNum>
  <w:abstractNum w:abstractNumId="51">
    <w:nsid w:val="32794FF7"/>
    <w:multiLevelType w:val="hybridMultilevel"/>
    <w:lvl w:ilvl="0">
      <w:lvlJc w:val="left"/>
      <w:lvlText w:val="(%1)"/>
      <w:numFmt w:val="decimal"/>
      <w:start w:val="1"/>
    </w:lvl>
    <w:lvl w:ilvl="1">
      <w:lvlJc w:val="left"/>
      <w:lvlText w:val="(%2)"/>
      <w:numFmt w:val="lowerLetter"/>
      <w:start w:val="1"/>
    </w:lvl>
  </w:abstractNum>
  <w:abstractNum w:abstractNumId="52">
    <w:nsid w:val="5454945E"/>
    <w:multiLevelType w:val="hybridMultilevel"/>
    <w:lvl w:ilvl="0">
      <w:lvlJc w:val="left"/>
      <w:lvlText w:val="(%1)"/>
      <w:numFmt w:val="decimal"/>
      <w:start w:val="1"/>
    </w:lvl>
  </w:abstractNum>
  <w:abstractNum w:abstractNumId="53">
    <w:nsid w:val="4DEFDFA0"/>
    <w:multiLevelType w:val="hybridMultilevel"/>
    <w:lvl w:ilvl="0">
      <w:lvlJc w:val="left"/>
      <w:lvlText w:val="(%1)"/>
      <w:numFmt w:val="upperLetter"/>
      <w:start w:val="1"/>
    </w:lvl>
  </w:abstractNum>
  <w:abstractNum w:abstractNumId="54">
    <w:nsid w:val="2123D5F2"/>
    <w:multiLevelType w:val="hybridMultilevel"/>
    <w:lvl w:ilvl="0">
      <w:lvlJc w:val="left"/>
      <w:lvlText w:val="(%1)"/>
      <w:numFmt w:val="upperLetter"/>
      <w:start w:val="4"/>
    </w:lvl>
  </w:abstractNum>
  <w:abstractNum w:abstractNumId="55">
    <w:nsid w:val="135B8110"/>
    <w:multiLevelType w:val="hybridMultilevel"/>
    <w:lvl w:ilvl="0">
      <w:lvlJc w:val="left"/>
      <w:lvlText w:val="(%1)"/>
      <w:numFmt w:val="lowerLetter"/>
      <w:start w:val="3"/>
    </w:lvl>
  </w:abstractNum>
  <w:abstractNum w:abstractNumId="56">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DCDF8F6"/>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3"/>
    </w:lvl>
  </w:abstractNum>
  <w:abstractNum w:abstractNumId="58">
    <w:nsid w:val="52D7B105"/>
    <w:multiLevelType w:val="hybridMultilevel"/>
    <w:lvl w:ilvl="0">
      <w:lvlJc w:val="left"/>
      <w:lvlText w:val="(%1)"/>
      <w:numFmt w:val="lowerRoman"/>
      <w:start w:val="5"/>
    </w:lvl>
  </w:abstractNum>
  <w:abstractNum w:abstractNumId="59">
    <w:nsid w:val="2E8A6394"/>
    <w:multiLevelType w:val="hybridMultilevel"/>
    <w:lvl w:ilvl="0">
      <w:lvlJc w:val="left"/>
      <w:lvlText w:val="(%1)"/>
      <w:numFmt w:val="lowerRoman"/>
      <w:start w:val="12"/>
    </w:lvl>
  </w:abstractNum>
  <w:abstractNum w:abstractNumId="60">
    <w:nsid w:val="24E60401"/>
    <w:multiLevelType w:val="hybridMultilevel"/>
    <w:lvl w:ilvl="0">
      <w:lvlJc w:val="left"/>
      <w:lvlText w:val="(%1)"/>
      <w:numFmt w:val="lowerLetter"/>
      <w:start w:val="1"/>
    </w:lvl>
  </w:abstractNum>
  <w:abstractNum w:abstractNumId="61">
    <w:nsid w:val="2A6AD9BE"/>
    <w:multiLevelType w:val="hybridMultilevel"/>
    <w:lvl w:ilvl="0">
      <w:lvlJc w:val="left"/>
      <w:lvlText w:val="(%1)"/>
      <w:numFmt w:val="lowerLetter"/>
      <w:start w:val="4"/>
    </w:lvl>
  </w:abstractNum>
  <w:abstractNum w:abstractNumId="62">
    <w:nsid w:val="BAAC1B4"/>
    <w:multiLevelType w:val="hybridMultilevel"/>
    <w:lvl w:ilvl="0">
      <w:lvlJc w:val="left"/>
      <w:lvlText w:val="(%1)"/>
      <w:numFmt w:val="decimal"/>
      <w:start w:val="1"/>
    </w:lvl>
  </w:abstractNum>
  <w:abstractNum w:abstractNumId="63">
    <w:nsid w:val="36B2ACBC"/>
    <w:multiLevelType w:val="hybridMultilevel"/>
    <w:lvl w:ilvl="0">
      <w:lvlJc w:val="left"/>
      <w:lvlText w:val="(%1)"/>
      <w:numFmt w:val="lowerLetter"/>
      <w:start w:val="10"/>
    </w:lvl>
  </w:abstractNum>
  <w:abstractNum w:abstractNumId="64">
    <w:nsid w:val="779D8544"/>
    <w:multiLevelType w:val="hybridMultilevel"/>
    <w:lvl w:ilvl="0">
      <w:lvlJc w:val="left"/>
      <w:lvlText w:val="(%1)"/>
      <w:numFmt w:val="decimal"/>
      <w:start w:val="1"/>
    </w:lvl>
  </w:abstractNum>
  <w:abstractNum w:abstractNumId="65">
    <w:nsid w:val="4AB26E78"/>
    <w:multiLevelType w:val="hybridMultilevel"/>
    <w:lvl w:ilvl="0">
      <w:lvlJc w:val="left"/>
      <w:lvlText w:val="(%1)"/>
      <w:numFmt w:val="lowerLetter"/>
      <w:start w:val="1"/>
    </w:lvl>
  </w:abstractNum>
  <w:abstractNum w:abstractNumId="66">
    <w:nsid w:val="21FAA2FA"/>
    <w:multiLevelType w:val="hybridMultilevel"/>
    <w:lvl w:ilvl="0">
      <w:lvlJc w:val="left"/>
      <w:lvlText w:val="(%1)"/>
      <w:numFmt w:val="lowerLetter"/>
      <w:start w:val="2"/>
    </w:lvl>
  </w:abstractNum>
  <w:abstractNum w:abstractNumId="67">
    <w:nsid w:val="5451CF49"/>
    <w:multiLevelType w:val="hybridMultilevel"/>
    <w:lvl w:ilvl="0">
      <w:lvlJc w:val="left"/>
      <w:lvlText w:val="(%1)"/>
      <w:numFmt w:val="lowerRoman"/>
      <w:start w:val="1"/>
    </w:lvl>
  </w:abstractNum>
  <w:abstractNum w:abstractNumId="68">
    <w:nsid w:val="6181EF69"/>
    <w:multiLevelType w:val="hybridMultilevel"/>
    <w:lvl w:ilvl="0">
      <w:lvlJc w:val="left"/>
      <w:lvlText w:val="(%1)"/>
      <w:numFmt w:val="lowerRoman"/>
      <w:start w:val="11"/>
    </w:lvl>
  </w:abstractNum>
  <w:abstractNum w:abstractNumId="69">
    <w:nsid w:val="3E6400E6"/>
    <w:multiLevelType w:val="hybridMultilevel"/>
    <w:lvl w:ilvl="0">
      <w:lvlJc w:val="left"/>
      <w:lvlText w:val="(%1)"/>
      <w:numFmt w:val="lowerLetter"/>
      <w:start w:val="1"/>
    </w:lvl>
  </w:abstractNum>
  <w:abstractNum w:abstractNumId="70">
    <w:nsid w:val="14217E23"/>
    <w:multiLevelType w:val="hybridMultilevel"/>
    <w:lvl w:ilvl="0">
      <w:lvlJc w:val="left"/>
      <w:lvlText w:val="(%1)"/>
      <w:numFmt w:val="decimal"/>
      <w:start w:val="1"/>
    </w:lvl>
  </w:abstractNum>
  <w:abstractNum w:abstractNumId="71">
    <w:nsid w:val="710757D0"/>
    <w:multiLevelType w:val="hybridMultilevel"/>
    <w:lvl w:ilvl="0">
      <w:lvlJc w:val="left"/>
      <w:lvlText w:val="(%1)"/>
      <w:numFmt w:val="decimal"/>
      <w:start w:val="1"/>
    </w:lvl>
  </w:abstractNum>
  <w:abstractNum w:abstractNumId="72">
    <w:nsid w:val="5015CD1A"/>
    <w:multiLevelType w:val="hybridMultilevel"/>
    <w:lvl w:ilvl="0">
      <w:lvlJc w:val="left"/>
      <w:lvlText w:val="(%1)"/>
      <w:numFmt w:val="lowerLetter"/>
      <w:start w:val="1"/>
    </w:lvl>
  </w:abstractNum>
  <w:abstractNum w:abstractNumId="73">
    <w:nsid w:val="424479DA"/>
    <w:multiLevelType w:val="hybridMultilevel"/>
    <w:lvl w:ilvl="0">
      <w:lvlJc w:val="left"/>
      <w:lvlText w:val="(%1)"/>
      <w:numFmt w:val="decimal"/>
      <w:start w:val="2"/>
    </w:lvl>
  </w:abstractNum>
  <w:abstractNum w:abstractNumId="74">
    <w:nsid w:val="1A9A9E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5">
    <w:nsid w:val="475E256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6">
    <w:nsid w:val="368DB37E"/>
    <w:multiLevelType w:val="hybridMultilevel"/>
    <w:lvl w:ilvl="0">
      <w:lvlJc w:val="left"/>
      <w:lvlText w:val="%1"/>
      <w:numFmt w:val="lowerLetter"/>
      <w:start w:val="1"/>
    </w:lvl>
    <w:lvl w:ilvl="1">
      <w:lvlJc w:val="left"/>
      <w:lvlText w:val="(%2)"/>
      <w:numFmt w:val="lowerRoman"/>
      <w:start w:val="6"/>
    </w:lvl>
  </w:abstractNum>
  <w:abstractNum w:abstractNumId="77">
    <w:nsid w:val="6A3B714C"/>
    <w:multiLevelType w:val="hybridMultilevel"/>
    <w:lvl w:ilvl="0">
      <w:lvlJc w:val="left"/>
      <w:lvlText w:val="(%1)"/>
      <w:numFmt w:val="lowerLetter"/>
      <w:start w:val="2"/>
    </w:lvl>
    <w:lvl w:ilvl="1">
      <w:lvlJc w:val="left"/>
      <w:lvlText w:val="%2"/>
      <w:numFmt w:val="lowerRoman"/>
      <w:start w:val="1"/>
    </w:lvl>
  </w:abstractNum>
  <w:abstractNum w:abstractNumId="78">
    <w:nsid w:val="327B517E"/>
    <w:multiLevelType w:val="hybridMultilevel"/>
    <w:lvl w:ilvl="0">
      <w:lvlJc w:val="left"/>
      <w:lvlText w:val="(%1)"/>
      <w:numFmt w:val="lowerLetter"/>
      <w:start w:val="1"/>
    </w:lvl>
  </w:abstractNum>
  <w:abstractNum w:abstractNumId="79">
    <w:nsid w:val="1F461B51"/>
    <w:multiLevelType w:val="hybridMultilevel"/>
    <w:lvl w:ilvl="0">
      <w:lvlJc w:val="left"/>
      <w:lvlText w:val="(%1)"/>
      <w:numFmt w:val="lowerLetter"/>
      <w:start w:val="3"/>
    </w:lvl>
  </w:abstractNum>
  <w:abstractNum w:abstractNumId="80">
    <w:nsid w:val="29BACF25"/>
    <w:multiLevelType w:val="hybridMultilevel"/>
    <w:lvl w:ilvl="0">
      <w:lvlJc w:val="left"/>
      <w:lvlText w:val="(%1)"/>
      <w:numFmt w:val="decimal"/>
      <w:start w:val="1"/>
    </w:lvl>
  </w:abstractNum>
  <w:abstractNum w:abstractNumId="81">
    <w:nsid w:val="5D5BABB3"/>
    <w:multiLevelType w:val="hybridMultilevel"/>
    <w:lvl w:ilvl="0">
      <w:lvlJc w:val="left"/>
      <w:lvlText w:val="(%1)"/>
      <w:numFmt w:val="decimal"/>
      <w:start w:val="5"/>
    </w:lvl>
  </w:abstractNum>
  <w:abstractNum w:abstractNumId="82">
    <w:nsid w:val="51BF6B48"/>
    <w:multiLevelType w:val="hybridMultilevel"/>
    <w:lvl w:ilvl="0">
      <w:lvlJc w:val="left"/>
      <w:lvlText w:val="(%1)"/>
      <w:numFmt w:val="decimal"/>
      <w:start w:val="13"/>
    </w:lvl>
  </w:abstractNum>
  <w:abstractNum w:abstractNumId="83">
    <w:nsid w:val="7E0F6384"/>
    <w:multiLevelType w:val="hybridMultilevel"/>
    <w:lvl w:ilvl="0">
      <w:lvlJc w:val="left"/>
      <w:lvlText w:val="(%1)"/>
      <w:numFmt w:val="decimal"/>
      <w:start w:val="26"/>
    </w:lvl>
  </w:abstractNum>
  <w:abstractNum w:abstractNumId="84">
    <w:nsid w:val="2B4B8B53"/>
    <w:multiLevelType w:val="hybridMultilevel"/>
    <w:lvl w:ilvl="0">
      <w:lvlJc w:val="left"/>
      <w:lvlText w:val="(%1)"/>
      <w:numFmt w:val="decimal"/>
      <w:start w:val="1"/>
    </w:lvl>
  </w:abstractNum>
  <w:abstractNum w:abstractNumId="85">
    <w:nsid w:val="72E3413A"/>
    <w:multiLevelType w:val="hybridMultilevel"/>
    <w:lvl w:ilvl="0">
      <w:lvlJc w:val="left"/>
      <w:lvlText w:val="(%1)"/>
      <w:numFmt w:val="decimal"/>
      <w:start w:val="3"/>
    </w:lvl>
  </w:abstractNum>
  <w:abstractNum w:abstractNumId="86">
    <w:nsid w:val="116AE494"/>
    <w:multiLevelType w:val="hybridMultilevel"/>
    <w:lvl w:ilvl="0">
      <w:lvlJc w:val="left"/>
      <w:lvlText w:val="(%1)"/>
      <w:numFmt w:val="decimal"/>
      <w:start w:val="9"/>
    </w:lvl>
  </w:abstractNum>
  <w:abstractNum w:abstractNumId="87">
    <w:nsid w:val="3494B2FB"/>
    <w:multiLevelType w:val="hybridMultilevel"/>
    <w:lvl w:ilvl="0">
      <w:lvlJc w:val="left"/>
      <w:lvlText w:val="(%1)"/>
      <w:numFmt w:val="decimal"/>
      <w:start w:val="21"/>
    </w:lvl>
  </w:abstractNum>
  <w:abstractNum w:abstractNumId="88">
    <w:nsid w:val="B13A31"/>
    <w:multiLevelType w:val="hybridMultilevel"/>
    <w:lvl w:ilvl="0">
      <w:lvlJc w:val="left"/>
      <w:lvlText w:val="(%1)"/>
      <w:numFmt w:val="decimal"/>
      <w:start w:val="24"/>
    </w:lvl>
  </w:abstractNum>
  <w:abstractNum w:abstractNumId="89">
    <w:nsid w:val="64429599"/>
    <w:multiLevelType w:val="hybridMultilevel"/>
    <w:lvl w:ilvl="0">
      <w:lvlJc w:val="left"/>
      <w:lvlText w:val="(%1)"/>
      <w:numFmt w:val="decimal"/>
      <w:start w:val="21"/>
    </w:lvl>
  </w:abstractNum>
  <w:abstractNum w:abstractNumId="90">
    <w:nsid w:val="631F1690"/>
    <w:multiLevelType w:val="hybridMultilevel"/>
    <w:lvl w:ilvl="0">
      <w:lvlJc w:val="left"/>
      <w:lvlText w:val="(%1)"/>
      <w:numFmt w:val="decimal"/>
      <w:start w:val="27"/>
    </w:lvl>
  </w:abstractNum>
  <w:abstractNum w:abstractNumId="91">
    <w:nsid w:val="25973E32"/>
    <w:multiLevelType w:val="hybridMultilevel"/>
    <w:lvl w:ilvl="0">
      <w:lvlJc w:val="left"/>
      <w:lvlText w:val="(%1)"/>
      <w:numFmt w:val="decimal"/>
      <w:start w:val="30"/>
    </w:lvl>
  </w:abstractNum>
  <w:abstractNum w:abstractNumId="92">
    <w:nsid w:val="EAD6F57"/>
    <w:multiLevelType w:val="hybridMultilevel"/>
    <w:lvl w:ilvl="0">
      <w:lvlJc w:val="left"/>
      <w:lvlText w:val="(%1)"/>
      <w:numFmt w:val="decimal"/>
      <w:start w:val="42"/>
    </w:lvl>
  </w:abstractNum>
  <w:abstractNum w:abstractNumId="93">
    <w:nsid w:val="6EC9D844"/>
    <w:multiLevelType w:val="hybridMultilevel"/>
    <w:lvl w:ilvl="0">
      <w:lvlJc w:val="left"/>
      <w:lvlText w:val="(%1)"/>
      <w:numFmt w:val="lowerLetter"/>
      <w:start w:val="2"/>
    </w:lvl>
  </w:abstractNum>
  <w:abstractNum w:abstractNumId="94">
    <w:nsid w:val="5C49EAEE"/>
    <w:multiLevelType w:val="hybridMultilevel"/>
    <w:lvl w:ilvl="0">
      <w:lvlJc w:val="left"/>
      <w:lvlText w:val="(%1)"/>
      <w:numFmt w:val="lowerRoman"/>
      <w:start w:val="2"/>
    </w:lvl>
  </w:abstractNum>
  <w:abstractNum w:abstractNumId="95">
    <w:nsid w:val="64AF49B"/>
    <w:multiLevelType w:val="hybridMultilevel"/>
    <w:lvl w:ilvl="0">
      <w:lvlJc w:val="left"/>
      <w:lvlText w:val="(%1)"/>
      <w:numFmt w:val="lowerRoman"/>
      <w:start w:val="1"/>
    </w:lvl>
  </w:abstractNum>
  <w:abstractNum w:abstractNumId="96">
    <w:nsid w:val="397C46BC"/>
    <w:multiLevelType w:val="hybridMultilevel"/>
    <w:lvl w:ilvl="0">
      <w:lvlJc w:val="left"/>
      <w:lvlText w:val="(%1)"/>
      <w:numFmt w:val="decimal"/>
      <w:start w:val="1"/>
    </w:lvl>
  </w:abstractNum>
  <w:abstractNum w:abstractNumId="97">
    <w:nsid w:val="7E448DE9"/>
    <w:multiLevelType w:val="hybridMultilevel"/>
    <w:lvl w:ilvl="0">
      <w:lvlJc w:val="left"/>
      <w:lvlText w:val="(%1)"/>
      <w:numFmt w:val="decimal"/>
      <w:start w:val="1"/>
    </w:lvl>
  </w:abstractNum>
  <w:abstractNum w:abstractNumId="98">
    <w:nsid w:val="5A9CC3E5"/>
    <w:multiLevelType w:val="hybridMultilevel"/>
    <w:lvl w:ilvl="0">
      <w:lvlJc w:val="left"/>
      <w:lvlText w:val="(%1)"/>
      <w:numFmt w:val="decimal"/>
      <w:start w:val="1"/>
    </w:lvl>
  </w:abstractNum>
  <w:abstractNum w:abstractNumId="99">
    <w:nsid w:val="1AFE3625"/>
    <w:multiLevelType w:val="hybridMultilevel"/>
    <w:lvl w:ilvl="0">
      <w:lvlJc w:val="left"/>
      <w:lvlText w:val="(%1)"/>
      <w:numFmt w:val="decimal"/>
      <w:start w:val="1"/>
    </w:lvl>
  </w:abstractNum>
  <w:abstractNum w:abstractNumId="100">
    <w:nsid w:val="3CA88ECF"/>
    <w:multiLevelType w:val="hybridMultilevel"/>
    <w:lvl w:ilvl="0">
      <w:lvlJc w:val="left"/>
      <w:lvlText w:val="(%1)"/>
      <w:numFmt w:val="lowerLetter"/>
      <w:start w:val="1"/>
    </w:lvl>
  </w:abstractNum>
  <w:abstractNum w:abstractNumId="101">
    <w:nsid w:val="6EBE4208"/>
    <w:multiLevelType w:val="hybridMultilevel"/>
    <w:lvl w:ilvl="0">
      <w:lvlJc w:val="left"/>
      <w:lvlText w:val="(%1)"/>
      <w:numFmt w:val="decimal"/>
      <w:start w:val="16"/>
    </w:lvl>
  </w:abstractNum>
  <w:abstractNum w:abstractNumId="102">
    <w:nsid w:val="C058DF5"/>
    <w:multiLevelType w:val="hybridMultilevel"/>
    <w:lvl w:ilvl="0">
      <w:lvlJc w:val="left"/>
      <w:lvlText w:val="(%1)"/>
      <w:numFmt w:val="decimal"/>
      <w:start w:val="1"/>
    </w:lvl>
  </w:abstractNum>
  <w:abstractNum w:abstractNumId="103">
    <w:nsid w:val="CBE5BE9"/>
    <w:multiLevelType w:val="hybridMultilevel"/>
    <w:lvl w:ilvl="0">
      <w:lvlJc w:val="left"/>
      <w:lvlText w:val="(%1)"/>
      <w:numFmt w:val="lowerLetter"/>
      <w:start w:val="1"/>
    </w:lvl>
  </w:abstractNum>
  <w:abstractNum w:abstractNumId="104">
    <w:nsid w:val="3102BBE2"/>
    <w:multiLevelType w:val="hybridMultilevel"/>
    <w:lvl w:ilvl="0">
      <w:lvlJc w:val="left"/>
      <w:lvlText w:val="(%1)"/>
      <w:numFmt w:val="lowerLetter"/>
      <w:start w:val="1"/>
    </w:lvl>
    <w:lvl w:ilvl="1">
      <w:lvlJc w:val="left"/>
      <w:lvlText w:val="(%2)"/>
      <w:numFmt w:val="lowerRoman"/>
      <w:start w:val="2"/>
    </w:lvl>
  </w:abstractNum>
  <w:abstractNum w:abstractNumId="105">
    <w:nsid w:val="26A02C5E"/>
    <w:multiLevelType w:val="hybridMultilevel"/>
    <w:lvl w:ilvl="0">
      <w:lvlJc w:val="left"/>
      <w:lvlText w:val="%1"/>
      <w:numFmt w:val="lowerLetter"/>
      <w:start w:val="1"/>
    </w:lvl>
    <w:lvl w:ilvl="1">
      <w:lvlJc w:val="left"/>
      <w:lvlText w:val="(%2)"/>
      <w:numFmt w:val="lowerLetter"/>
      <w:start w:val="22"/>
    </w:lvl>
  </w:abstractNum>
  <w:abstractNum w:abstractNumId="106">
    <w:nsid w:val="541C8153"/>
    <w:multiLevelType w:val="hybridMultilevel"/>
    <w:lvl w:ilvl="0">
      <w:lvlJc w:val="left"/>
      <w:lvlText w:val="(%1)"/>
      <w:numFmt w:val="lowerLetter"/>
      <w:start w:val="3"/>
    </w:lvl>
    <w:lvl w:ilvl="1">
      <w:lvlJc w:val="left"/>
      <w:lvlText w:val="(%2)"/>
      <w:numFmt w:val="lowerLetter"/>
      <w:start w:val="9"/>
    </w:lvl>
  </w:abstractNum>
  <w:abstractNum w:abstractNumId="107">
    <w:nsid w:val="67906F60"/>
    <w:multiLevelType w:val="hybridMultilevel"/>
    <w:lvl w:ilvl="0">
      <w:lvlJc w:val="left"/>
      <w:lvlText w:val="(%1)"/>
      <w:numFmt w:val="lowerRoman"/>
      <w:start w:val="2"/>
    </w:lvl>
  </w:abstractNum>
  <w:abstractNum w:abstractNumId="108">
    <w:nsid w:val="10DB9DAA"/>
    <w:multiLevelType w:val="hybridMultilevel"/>
    <w:lvl w:ilvl="0">
      <w:lvlJc w:val="left"/>
      <w:lvlText w:val="(%1)"/>
      <w:numFmt w:val="lowerLetter"/>
      <w:start w:val="6"/>
    </w:lvl>
  </w:abstractNum>
  <w:abstractNum w:abstractNumId="109">
    <w:nsid w:val="697D2D2"/>
    <w:multiLevelType w:val="hybridMultilevel"/>
    <w:lvl w:ilvl="0">
      <w:lvlJc w:val="left"/>
      <w:lvlText w:val="(%1)"/>
      <w:numFmt w:val="lowerLetter"/>
      <w:start w:val="1"/>
    </w:lvl>
  </w:abstractNum>
  <w:abstractNum w:abstractNumId="110">
    <w:nsid w:val="6D68AB2"/>
    <w:multiLevelType w:val="hybridMultilevel"/>
    <w:lvl w:ilvl="0">
      <w:lvlJc w:val="left"/>
      <w:lvlText w:val="(%1)"/>
      <w:numFmt w:val="lowerLetter"/>
      <w:start w:val="3"/>
    </w:lvl>
  </w:abstractNum>
  <w:abstractNum w:abstractNumId="111">
    <w:nsid w:val="3A966CD0"/>
    <w:multiLevelType w:val="hybridMultilevel"/>
    <w:lvl w:ilvl="0">
      <w:lvlJc w:val="left"/>
      <w:lvlText w:val="(%1)"/>
      <w:numFmt w:val="lowerLetter"/>
      <w:start w:val="1"/>
    </w:lvl>
  </w:abstractNum>
  <w:abstractNum w:abstractNumId="112">
    <w:nsid w:val="63F37E85"/>
    <w:multiLevelType w:val="hybridMultilevel"/>
    <w:lvl w:ilvl="0">
      <w:lvlJc w:val="left"/>
      <w:lvlText w:val="(%1)"/>
      <w:numFmt w:val="lowerLetter"/>
      <w:start w:val="2"/>
    </w:lvl>
  </w:abstractNum>
  <w:abstractNum w:abstractNumId="113">
    <w:nsid w:val="5895F5FA"/>
    <w:multiLevelType w:val="hybridMultilevel"/>
    <w:lvl w:ilvl="0">
      <w:lvlJc w:val="left"/>
      <w:lvlText w:val="(%1)"/>
      <w:numFmt w:val="lowerLetter"/>
      <w:start w:val="1"/>
    </w:lvl>
  </w:abstractNum>
  <w:abstractNum w:abstractNumId="114">
    <w:nsid w:val="38A5D054"/>
    <w:multiLevelType w:val="hybridMultilevel"/>
    <w:lvl w:ilvl="0">
      <w:lvlJc w:val="left"/>
      <w:lvlText w:val="(%1)"/>
      <w:numFmt w:val="lowerLetter"/>
      <w:start w:val="4"/>
    </w:lvl>
  </w:abstractNum>
  <w:abstractNum w:abstractNumId="115">
    <w:nsid w:val="F3F09D8"/>
    <w:multiLevelType w:val="hybridMultilevel"/>
    <w:lvl w:ilvl="0">
      <w:lvlJc w:val="left"/>
      <w:lvlText w:val="(%1)"/>
      <w:numFmt w:val="lowerLetter"/>
      <w:start w:val="1"/>
    </w:lvl>
    <w:lvl w:ilvl="1">
      <w:lvlJc w:val="left"/>
      <w:lvlText w:val="(%2)"/>
      <w:numFmt w:val="lowerLetter"/>
      <w:start w:val="9"/>
    </w:lvl>
  </w:abstractNum>
  <w:abstractNum w:abstractNumId="116">
    <w:nsid w:val="4B793735"/>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17">
    <w:nsid w:val="4A10B4E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8">
    <w:nsid w:val="43D3BCD4"/>
    <w:multiLevelType w:val="hybridMultilevel"/>
    <w:lvl w:ilvl="0">
      <w:lvlJc w:val="left"/>
      <w:lvlText w:val="(%1)"/>
      <w:numFmt w:val="decimal"/>
      <w:start w:val="4"/>
    </w:lvl>
  </w:abstractNum>
  <w:abstractNum w:abstractNumId="119">
    <w:nsid w:val="4C2A7166"/>
    <w:multiLevelType w:val="hybridMultilevel"/>
    <w:lvl w:ilvl="0">
      <w:lvlJc w:val="left"/>
      <w:lvlText w:val="(%1)"/>
      <w:numFmt w:val="lowerRoman"/>
      <w:start w:val="2"/>
    </w:lvl>
  </w:abstractNum>
  <w:abstractNum w:abstractNumId="120">
    <w:nsid w:val="2E534A82"/>
    <w:multiLevelType w:val="hybridMultilevel"/>
    <w:lvl w:ilvl="0">
      <w:lvlJc w:val="left"/>
      <w:lvlText w:val="(%1)"/>
      <w:numFmt w:val="lowerRoman"/>
      <w:start w:val="5"/>
    </w:lvl>
  </w:abstractNum>
  <w:abstractNum w:abstractNumId="121">
    <w:nsid w:val="26F2D364"/>
    <w:multiLevelType w:val="hybridMultilevel"/>
    <w:lvl w:ilvl="0">
      <w:lvlJc w:val="left"/>
      <w:lvlText w:val="%1"/>
      <w:numFmt w:val="lowerLetter"/>
      <w:start w:val="1"/>
    </w:lvl>
    <w:lvl w:ilvl="1">
      <w:lvlJc w:val="left"/>
      <w:lvlText w:val="(%2)"/>
      <w:numFmt w:val="lowerRoman"/>
      <w:start w:val="8"/>
    </w:lvl>
  </w:abstractNum>
  <w:abstractNum w:abstractNumId="122">
    <w:nsid w:val="71C1AF98"/>
    <w:multiLevelType w:val="hybridMultilevel"/>
    <w:lvl w:ilvl="0">
      <w:lvlJc w:val="left"/>
      <w:lvlText w:val="(%1)"/>
      <w:numFmt w:val="lowerLetter"/>
      <w:start w:val="3"/>
    </w:lvl>
    <w:lvl w:ilvl="1">
      <w:lvlJc w:val="left"/>
      <w:lvlText w:val="%2"/>
      <w:numFmt w:val="lowerRoman"/>
      <w:start w:val="1"/>
    </w:lvl>
  </w:abstractNum>
  <w:abstractNum w:abstractNumId="123">
    <w:nsid w:val="3D00B9D9"/>
    <w:multiLevelType w:val="hybridMultilevel"/>
    <w:lvl w:ilvl="0">
      <w:lvlJc w:val="left"/>
      <w:lvlText w:val="(%1)"/>
      <w:numFmt w:val="lowerLetter"/>
      <w:start w:val="1"/>
    </w:lvl>
  </w:abstractNum>
  <w:abstractNum w:abstractNumId="124">
    <w:nsid w:val="15BCABA8"/>
    <w:multiLevelType w:val="hybridMultilevel"/>
    <w:lvl w:ilvl="0">
      <w:lvlJc w:val="left"/>
      <w:lvlText w:val="(%1)"/>
      <w:numFmt w:val="lowerLetter"/>
      <w:start w:val="1"/>
    </w:lvl>
  </w:abstractNum>
  <w:abstractNum w:abstractNumId="125">
    <w:nsid w:val="4E0B9A87"/>
    <w:multiLevelType w:val="hybridMultilevel"/>
    <w:lvl w:ilvl="0">
      <w:lvlJc w:val="left"/>
      <w:lvlText w:val="(%1)"/>
      <w:numFmt w:val="lowerLetter"/>
      <w:start w:val="1"/>
    </w:lvl>
  </w:abstractNum>
  <w:abstractNum w:abstractNumId="126">
    <w:nsid w:val="434BAE75"/>
    <w:multiLevelType w:val="hybridMultilevel"/>
    <w:lvl w:ilvl="0">
      <w:lvlJc w:val="left"/>
      <w:lvlText w:val="(%1)"/>
      <w:numFmt w:val="lowerLetter"/>
      <w:start w:val="1"/>
    </w:lvl>
  </w:abstractNum>
  <w:abstractNum w:abstractNumId="127">
    <w:nsid w:val="4F38F265"/>
    <w:multiLevelType w:val="hybridMultilevel"/>
    <w:lvl w:ilvl="0">
      <w:lvlJc w:val="left"/>
      <w:lvlText w:val="(%1)"/>
      <w:numFmt w:val="lowerLetter"/>
      <w:start w:val="2"/>
    </w:lvl>
  </w:abstractNum>
  <w:abstractNum w:abstractNumId="128">
    <w:nsid w:val="4C502870"/>
    <w:multiLevelType w:val="hybridMultilevel"/>
    <w:lvl w:ilvl="0">
      <w:lvlJc w:val="left"/>
      <w:lvlText w:val="(%1)"/>
      <w:numFmt w:val="lowerLetter"/>
      <w:start w:val="3"/>
    </w:lvl>
  </w:abstractNum>
  <w:abstractNum w:abstractNumId="129">
    <w:nsid w:val="1DE8725A"/>
    <w:multiLevelType w:val="hybridMultilevel"/>
    <w:lvl w:ilvl="0">
      <w:lvlJc w:val="left"/>
      <w:lvlText w:val="(%1)"/>
      <w:numFmt w:val="lowerLetter"/>
      <w:start w:val="1"/>
    </w:lvl>
  </w:abstractNum>
  <w:abstractNum w:abstractNumId="130">
    <w:nsid w:val="6A37288A"/>
    <w:multiLevelType w:val="hybridMultilevel"/>
    <w:lvl w:ilvl="0">
      <w:lvlJc w:val="left"/>
      <w:lvlText w:val="(%1)"/>
      <w:numFmt w:val="lowerLetter"/>
      <w:start w:val="2"/>
    </w:lvl>
  </w:abstractNum>
  <w:abstractNum w:abstractNumId="131">
    <w:nsid w:val="8F8B73F"/>
    <w:multiLevelType w:val="hybridMultilevel"/>
    <w:lvl w:ilvl="0">
      <w:lvlJc w:val="left"/>
      <w:lvlText w:val="(%1)"/>
      <w:numFmt w:val="lowerLetter"/>
      <w:start w:val="5"/>
    </w:lvl>
  </w:abstractNum>
  <w:abstractNum w:abstractNumId="132">
    <w:nsid w:val="CA6B462"/>
    <w:multiLevelType w:val="hybridMultilevel"/>
    <w:lvl w:ilvl="0">
      <w:lvlJc w:val="left"/>
      <w:lvlText w:val="%1"/>
      <w:numFmt w:val="lowerLetter"/>
      <w:start w:val="1"/>
    </w:lvl>
    <w:lvl w:ilvl="1">
      <w:lvlJc w:val="left"/>
      <w:lvlText w:val="(%2)"/>
      <w:numFmt w:val="lowerLetter"/>
      <w:start w:val="1"/>
    </w:lvl>
  </w:abstractNum>
  <w:abstractNum w:abstractNumId="133">
    <w:nsid w:val="763CB680"/>
    <w:multiLevelType w:val="hybridMultilevel"/>
    <w:lvl w:ilvl="0">
      <w:lvlJc w:val="left"/>
      <w:lvlText w:val="(%1)"/>
      <w:numFmt w:val="lowerLetter"/>
      <w:start w:val="35"/>
    </w:lvl>
    <w:lvl w:ilvl="1">
      <w:lvlJc w:val="left"/>
      <w:lvlText w:val="%2"/>
      <w:numFmt w:val="lowerLetter"/>
      <w:start w:val="1"/>
    </w:lvl>
  </w:abstractNum>
  <w:abstractNum w:abstractNumId="134">
    <w:nsid w:val="15B71329"/>
    <w:multiLevelType w:val="hybridMultilevel"/>
    <w:lvl w:ilvl="0">
      <w:lvlJc w:val="left"/>
      <w:lvlText w:val="(%1)"/>
      <w:numFmt w:val="lowerRoman"/>
      <w:start w:val="1"/>
    </w:lvl>
  </w:abstractNum>
  <w:abstractNum w:abstractNumId="135">
    <w:nsid w:val="3DA97044"/>
    <w:multiLevelType w:val="hybridMultilevel"/>
    <w:lvl w:ilvl="0">
      <w:lvlJc w:val="left"/>
      <w:lvlText w:val="(%1)"/>
      <w:numFmt w:val="lowerLetter"/>
      <w:start w:val="2"/>
    </w:lvl>
  </w:abstractNum>
  <w:abstractNum w:abstractNumId="136">
    <w:nsid w:val="1CDCE2DE"/>
    <w:multiLevelType w:val="hybridMultilevel"/>
    <w:lvl w:ilvl="0">
      <w:lvlJc w:val="left"/>
      <w:lvlText w:val="(%1)"/>
      <w:numFmt w:val="lowerLetter"/>
      <w:start w:val="5"/>
    </w:lvl>
  </w:abstractNum>
  <w:abstractNum w:abstractNumId="137">
    <w:nsid w:val="69D3947C"/>
    <w:multiLevelType w:val="hybridMultilevel"/>
    <w:lvl w:ilvl="0">
      <w:lvlJc w:val="left"/>
      <w:lvlText w:val="(%1)"/>
      <w:numFmt w:val="lowerLetter"/>
      <w:start w:val="7"/>
    </w:lvl>
  </w:abstractNum>
  <w:abstractNum w:abstractNumId="138">
    <w:nsid w:val="2539DFA5"/>
    <w:multiLevelType w:val="hybridMultilevel"/>
    <w:lvl w:ilvl="0">
      <w:lvlJc w:val="left"/>
      <w:lvlText w:val="(%1)"/>
      <w:numFmt w:val="lowerLetter"/>
      <w:start w:val="1"/>
    </w:lvl>
  </w:abstractNum>
  <w:abstractNum w:abstractNumId="139">
    <w:nsid w:val="2DB88089"/>
    <w:multiLevelType w:val="hybridMultilevel"/>
    <w:lvl w:ilvl="0">
      <w:lvlJc w:val="left"/>
      <w:lvlText w:val="%1"/>
      <w:numFmt w:val="upperLetter"/>
      <w:start w:val="1"/>
    </w:lvl>
    <w:lvl w:ilvl="1">
      <w:lvlJc w:val="left"/>
      <w:lvlText w:val="(%2)"/>
      <w:numFmt w:val="lowerLetter"/>
      <w:start w:val="2"/>
    </w:lvl>
  </w:abstractNum>
  <w:abstractNum w:abstractNumId="140">
    <w:nsid w:val="706B674E"/>
    <w:multiLevelType w:val="hybridMultilevel"/>
    <w:lvl w:ilvl="0">
      <w:lvlJc w:val="left"/>
      <w:lvlText w:val="(%1)"/>
      <w:numFmt w:val="upperLetter"/>
      <w:start w:val="1"/>
    </w:lvl>
    <w:lvl w:ilvl="1">
      <w:lvlJc w:val="left"/>
      <w:lvlText w:val="%2"/>
      <w:numFmt w:val="lowerLetter"/>
      <w:start w:val="1"/>
    </w:lvl>
  </w:abstractNum>
  <w:abstractNum w:abstractNumId="141">
    <w:nsid w:val="2C106A57"/>
    <w:multiLevelType w:val="hybridMultilevel"/>
    <w:lvl w:ilvl="0">
      <w:lvlJc w:val="left"/>
      <w:lvlText w:val="(%1)"/>
      <w:numFmt w:val="lowerLetter"/>
      <w:start w:val="3"/>
    </w:lvl>
  </w:abstractNum>
  <w:abstractNum w:abstractNumId="142">
    <w:nsid w:val="684EED59"/>
    <w:multiLevelType w:val="hybridMultilevel"/>
    <w:lvl w:ilvl="0">
      <w:lvlJc w:val="left"/>
      <w:lvlText w:val="(%1)"/>
      <w:numFmt w:val="lowerLetter"/>
      <w:start w:val="1"/>
    </w:lvl>
    <w:lvl w:ilvl="1">
      <w:lvlJc w:val="left"/>
      <w:lvlText w:val="(%2)"/>
      <w:numFmt w:val="lowerRoman"/>
      <w:start w:val="1"/>
    </w:lvl>
  </w:abstractNum>
  <w:abstractNum w:abstractNumId="143">
    <w:nsid w:val="545EE5D3"/>
    <w:multiLevelType w:val="hybridMultilevel"/>
    <w:lvl w:ilvl="0">
      <w:lvlJc w:val="left"/>
      <w:lvlText w:val="(%1)"/>
      <w:numFmt w:val="lowerLetter"/>
      <w:start w:val="2"/>
    </w:lvl>
  </w:abstractNum>
  <w:abstractNum w:abstractNumId="144">
    <w:nsid w:val="4A66051"/>
    <w:multiLevelType w:val="hybridMultilevel"/>
    <w:lvl w:ilvl="0">
      <w:lvlJc w:val="left"/>
      <w:lvlText w:val="(%1)"/>
      <w:numFmt w:val="lowerLetter"/>
      <w:start w:val="1"/>
    </w:lvl>
  </w:abstractNum>
  <w:abstractNum w:abstractNumId="145">
    <w:nsid w:val="20F4BDAD"/>
    <w:multiLevelType w:val="hybridMultilevel"/>
    <w:lvl w:ilvl="0">
      <w:lvlJc w:val="left"/>
      <w:lvlText w:val="(%1)"/>
      <w:numFmt w:val="lowerLetter"/>
      <w:start w:val="2"/>
    </w:lvl>
  </w:abstractNum>
  <w:abstractNum w:abstractNumId="146">
    <w:nsid w:val="639DEFAC"/>
    <w:multiLevelType w:val="hybridMultilevel"/>
    <w:lvl w:ilvl="0">
      <w:lvlJc w:val="left"/>
      <w:lvlText w:val="(%1)"/>
      <w:numFmt w:val="lowerLetter"/>
      <w:start w:val="3"/>
    </w:lvl>
  </w:abstractNum>
  <w:abstractNum w:abstractNumId="147">
    <w:nsid w:val="501F9786"/>
    <w:multiLevelType w:val="hybridMultilevel"/>
    <w:lvl w:ilvl="0">
      <w:lvlJc w:val="left"/>
      <w:lvlText w:val="(%1)"/>
      <w:numFmt w:val="lowerLetter"/>
      <w:start w:val="1"/>
    </w:lvl>
  </w:abstractNum>
  <w:abstractNum w:abstractNumId="148">
    <w:nsid w:val="6B057295"/>
    <w:multiLevelType w:val="hybridMultilevel"/>
    <w:lvl w:ilvl="0">
      <w:lvlJc w:val="left"/>
      <w:lvlText w:val="(%1)"/>
      <w:numFmt w:val="decimal"/>
      <w:start w:val="1"/>
    </w:lvl>
    <w:lvl w:ilvl="1">
      <w:lvlJc w:val="left"/>
      <w:lvlText w:val="(%2)"/>
      <w:numFmt w:val="upperLetter"/>
      <w:start w:val="1"/>
    </w:lvl>
  </w:abstractNum>
  <w:abstractNum w:abstractNumId="149">
    <w:nsid w:val="2771AC80"/>
    <w:multiLevelType w:val="hybridMultilevel"/>
    <w:lvl w:ilvl="0">
      <w:lvlJc w:val="left"/>
      <w:lvlText w:val="(%1)"/>
      <w:numFmt w:val="decimal"/>
      <w:start w:val="3"/>
    </w:lvl>
    <w:lvl w:ilvl="1">
      <w:lvlJc w:val="left"/>
      <w:lvlText w:val="(%2)"/>
      <w:numFmt w:val="lowerLetter"/>
      <w:start w:val="4"/>
    </w:lvl>
  </w:abstractNum>
  <w:abstractNum w:abstractNumId="150">
    <w:nsid w:val="1C4A08EC"/>
    <w:multiLevelType w:val="hybridMultilevel"/>
    <w:lvl w:ilvl="0">
      <w:lvlJc w:val="left"/>
      <w:lvlText w:val="(%1)"/>
      <w:numFmt w:val="lowerLetter"/>
      <w:start w:val="8"/>
    </w:lvl>
  </w:abstractNum>
  <w:abstractNum w:abstractNumId="151">
    <w:nsid w:val="1958BD17"/>
    <w:multiLevelType w:val="hybridMultilevel"/>
    <w:lvl w:ilvl="0">
      <w:lvlJc w:val="left"/>
      <w:lvlText w:val="(%1)"/>
      <w:numFmt w:val="lowerLetter"/>
      <w:start w:val="1"/>
    </w:lvl>
    <w:lvl w:ilvl="1">
      <w:lvlJc w:val="left"/>
      <w:lvlText w:val="(%2)"/>
      <w:numFmt w:val="lowerRoman"/>
      <w:start w:val="1"/>
    </w:lvl>
  </w:abstractNum>
  <w:abstractNum w:abstractNumId="152">
    <w:nsid w:val="4E647FE4"/>
    <w:multiLevelType w:val="hybridMultilevel"/>
    <w:lvl w:ilvl="0">
      <w:lvlJc w:val="left"/>
      <w:lvlText w:val="(%1)"/>
      <w:numFmt w:val="lowerLetter"/>
      <w:start w:val="2"/>
    </w:lvl>
  </w:abstractNum>
  <w:abstractNum w:abstractNumId="153">
    <w:nsid w:val="E0BB885"/>
    <w:multiLevelType w:val="hybridMultilevel"/>
    <w:lvl w:ilvl="0">
      <w:lvlJc w:val="left"/>
      <w:lvlText w:val="(%1)"/>
      <w:numFmt w:val="lowerLetter"/>
      <w:start w:val="6"/>
    </w:lvl>
  </w:abstractNum>
  <w:abstractNum w:abstractNumId="154">
    <w:nsid w:val="565976F1"/>
    <w:multiLevelType w:val="hybridMultilevel"/>
    <w:lvl w:ilvl="0">
      <w:lvlJc w:val="left"/>
      <w:lvlText w:val="(%1)"/>
      <w:numFmt w:val="lowerLetter"/>
      <w:start w:val="1"/>
    </w:lvl>
  </w:abstractNum>
  <w:abstractNum w:abstractNumId="155">
    <w:nsid w:val="64212B8C"/>
    <w:multiLevelType w:val="hybridMultilevel"/>
    <w:lvl w:ilvl="0">
      <w:lvlJc w:val="left"/>
      <w:lvlText w:val="(%1)"/>
      <w:numFmt w:val="lowerLetter"/>
      <w:start w:val="3"/>
    </w:lvl>
  </w:abstractNum>
  <w:abstractNum w:abstractNumId="156">
    <w:nsid w:val="5C17530C"/>
    <w:multiLevelType w:val="hybridMultilevel"/>
    <w:lvl w:ilvl="0">
      <w:lvlJc w:val="left"/>
      <w:lvlText w:val="(%1)"/>
      <w:numFmt w:val="lowerLetter"/>
      <w:start w:val="1"/>
    </w:lvl>
  </w:abstractNum>
  <w:abstractNum w:abstractNumId="157">
    <w:nsid w:val="19A52566"/>
    <w:multiLevelType w:val="hybridMultilevel"/>
    <w:lvl w:ilvl="0">
      <w:lvlJc w:val="left"/>
      <w:lvlText w:val="(%1)"/>
      <w:numFmt w:val="lowerLetter"/>
      <w:start w:val="1"/>
    </w:lvl>
  </w:abstractNum>
  <w:abstractNum w:abstractNumId="158">
    <w:nsid w:val="335A1DF1"/>
    <w:multiLevelType w:val="hybridMultilevel"/>
    <w:lvl w:ilvl="0">
      <w:lvlJc w:val="left"/>
      <w:lvlText w:val="(%1)"/>
      <w:numFmt w:val="lowerLetter"/>
      <w:start w:val="2"/>
    </w:lvl>
    <w:lvl w:ilvl="1">
      <w:lvlJc w:val="left"/>
      <w:lvlText w:val="(%2)"/>
      <w:numFmt w:val="lowerRoman"/>
      <w:start w:val="1"/>
    </w:lvl>
  </w:abstractNum>
  <w:abstractNum w:abstractNumId="159">
    <w:nsid w:val="28677B7C"/>
    <w:multiLevelType w:val="hybridMultilevel"/>
    <w:lvl w:ilvl="0">
      <w:lvlJc w:val="left"/>
      <w:lvlText w:val="(%1)"/>
      <w:numFmt w:val="lowerLetter"/>
      <w:start w:val="1"/>
    </w:lvl>
  </w:abstractNum>
  <w:abstractNum w:abstractNumId="160">
    <w:nsid w:val="378D97C0"/>
    <w:multiLevelType w:val="hybridMultilevel"/>
    <w:lvl w:ilvl="0">
      <w:lvlJc w:val="left"/>
      <w:lvlText w:val="(%1)"/>
      <w:numFmt w:val="lowerLetter"/>
      <w:start w:val="2"/>
    </w:lvl>
  </w:abstractNum>
  <w:abstractNum w:abstractNumId="161">
    <w:nsid w:val="1D91467C"/>
    <w:multiLevelType w:val="hybridMultilevel"/>
    <w:lvl w:ilvl="0">
      <w:lvlJc w:val="left"/>
      <w:lvlText w:val="(%1)"/>
      <w:numFmt w:val="lowerLetter"/>
      <w:start w:val="1"/>
    </w:lvl>
    <w:lvl w:ilvl="1">
      <w:lvlJc w:val="left"/>
      <w:lvlText w:val="(%2)"/>
      <w:numFmt w:val="lowerRoman"/>
      <w:start w:val="1"/>
    </w:lvl>
  </w:abstractNum>
  <w:abstractNum w:abstractNumId="162">
    <w:nsid w:val="316032BB"/>
    <w:multiLevelType w:val="hybridMultilevel"/>
    <w:lvl w:ilvl="0">
      <w:lvlJc w:val="left"/>
      <w:lvlText w:val="(%1)"/>
      <w:numFmt w:val="lowerRoman"/>
      <w:start w:val="10"/>
    </w:lvl>
  </w:abstractNum>
  <w:abstractNum w:abstractNumId="163">
    <w:nsid w:val="44344C22"/>
    <w:multiLevelType w:val="hybridMultilevel"/>
    <w:lvl w:ilvl="0">
      <w:lvlJc w:val="left"/>
      <w:lvlText w:val="(%1)"/>
      <w:numFmt w:val="lowerLetter"/>
      <w:start w:val="2"/>
    </w:lvl>
  </w:abstractNum>
  <w:abstractNum w:abstractNumId="164">
    <w:nsid w:val="13CDFCFC"/>
    <w:multiLevelType w:val="hybridMultilevel"/>
    <w:lvl w:ilvl="0">
      <w:lvlJc w:val="left"/>
      <w:lvlText w:val="%1"/>
      <w:numFmt w:val="lowerLetter"/>
      <w:start w:val="1"/>
    </w:lvl>
    <w:lvl w:ilvl="1">
      <w:lvlJc w:val="left"/>
      <w:lvlText w:val="(%2)"/>
      <w:numFmt w:val="lowerLetter"/>
      <w:start w:val="5"/>
    </w:lvl>
  </w:abstractNum>
  <w:abstractNum w:abstractNumId="165">
    <w:nsid w:val="471745E4"/>
    <w:multiLevelType w:val="hybridMultilevel"/>
    <w:lvl w:ilvl="0">
      <w:lvlJc w:val="left"/>
      <w:lvlText w:val="(%1)"/>
      <w:numFmt w:val="lowerLetter"/>
      <w:start w:val="3"/>
    </w:lvl>
    <w:lvl w:ilvl="1">
      <w:lvlJc w:val="left"/>
      <w:lvlText w:val="(%2)"/>
      <w:numFmt w:val="lowerLetter"/>
      <w:start w:val="7"/>
    </w:lvl>
  </w:abstractNum>
  <w:abstractNum w:abstractNumId="166">
    <w:nsid w:val="1DDBC66"/>
    <w:multiLevelType w:val="hybridMultilevel"/>
    <w:lvl w:ilvl="0">
      <w:lvlJc w:val="left"/>
      <w:lvlText w:val="(%1)"/>
      <w:numFmt w:val="lowerLetter"/>
      <w:start w:val="1"/>
    </w:lvl>
  </w:abstractNum>
  <w:abstractNum w:abstractNumId="167">
    <w:nsid w:val="30AADFDA"/>
    <w:multiLevelType w:val="hybridMultilevel"/>
    <w:lvl w:ilvl="0">
      <w:lvlJc w:val="left"/>
      <w:lvlText w:val="(%1)"/>
      <w:numFmt w:val="lowerLetter"/>
      <w:start w:val="1"/>
    </w:lvl>
  </w:abstractNum>
  <w:abstractNum w:abstractNumId="168">
    <w:nsid w:val="30EADA61"/>
    <w:multiLevelType w:val="hybridMultilevel"/>
    <w:lvl w:ilvl="0">
      <w:lvlJc w:val="left"/>
      <w:lvlText w:val="(%1)"/>
      <w:numFmt w:val="lowerLetter"/>
      <w:start w:val="3"/>
    </w:lvl>
  </w:abstractNum>
  <w:abstractNum w:abstractNumId="169">
    <w:nsid w:val="27179C0B"/>
    <w:multiLevelType w:val="hybridMultilevel"/>
    <w:lvl w:ilvl="0">
      <w:lvlJc w:val="left"/>
      <w:lvlText w:val="(%1)"/>
      <w:numFmt w:val="lowerLetter"/>
      <w:start w:val="1"/>
    </w:lvl>
  </w:abstractNum>
  <w:abstractNum w:abstractNumId="170">
    <w:nsid w:val="5E636063"/>
    <w:multiLevelType w:val="hybridMultilevel"/>
    <w:lvl w:ilvl="0">
      <w:lvlJc w:val="left"/>
      <w:lvlText w:val="(%1)"/>
      <w:numFmt w:val="lowerLetter"/>
      <w:start w:val="1"/>
    </w:lvl>
  </w:abstractNum>
  <w:abstractNum w:abstractNumId="171">
    <w:nsid w:val="215641AF"/>
    <w:multiLevelType w:val="hybridMultilevel"/>
    <w:lvl w:ilvl="0">
      <w:lvlJc w:val="left"/>
      <w:lvlText w:val="(%1)"/>
      <w:numFmt w:val="lowerLetter"/>
      <w:start w:val="2"/>
    </w:lvl>
  </w:abstractNum>
  <w:abstractNum w:abstractNumId="172">
    <w:nsid w:val="53280662"/>
    <w:multiLevelType w:val="hybridMultilevel"/>
    <w:lvl w:ilvl="0">
      <w:lvlJc w:val="left"/>
      <w:lvlText w:val="%1"/>
      <w:numFmt w:val="lowerLetter"/>
      <w:start w:val="1"/>
    </w:lvl>
    <w:lvl w:ilvl="1">
      <w:lvlJc w:val="left"/>
      <w:lvlText w:val="(%2)"/>
      <w:numFmt w:val="lowerLetter"/>
      <w:start w:val="1"/>
    </w:lvl>
  </w:abstractNum>
  <w:abstractNum w:abstractNumId="173">
    <w:nsid w:val="46B24DBC"/>
    <w:multiLevelType w:val="hybridMultilevel"/>
    <w:lvl w:ilvl="0">
      <w:lvlJc w:val="left"/>
      <w:lvlText w:val="(%1)"/>
      <w:numFmt w:val="lowerLetter"/>
      <w:start w:val="9"/>
    </w:lvl>
    <w:lvl w:ilvl="1">
      <w:lvlJc w:val="left"/>
      <w:lvlText w:val="%2"/>
      <w:numFmt w:val="lowerLetter"/>
      <w:start w:val="1"/>
    </w:lvl>
  </w:abstractNum>
  <w:abstractNum w:abstractNumId="174">
    <w:nsid w:val="75B52783"/>
    <w:multiLevelType w:val="hybridMultilevel"/>
    <w:lvl w:ilvl="0">
      <w:lvlJc w:val="left"/>
      <w:lvlText w:val="(%1)"/>
      <w:numFmt w:val="lowerLetter"/>
      <w:start w:val="2"/>
    </w:lvl>
    <w:lvl w:ilvl="1">
      <w:lvlJc w:val="left"/>
      <w:lvlText w:val="(%2)"/>
      <w:numFmt w:val="lowerRoman"/>
      <w:start w:val="1"/>
    </w:lvl>
  </w:abstractNum>
  <w:abstractNum w:abstractNumId="175">
    <w:nsid w:val="57CE66B4"/>
    <w:multiLevelType w:val="hybridMultilevel"/>
    <w:lvl w:ilvl="0">
      <w:lvlJc w:val="left"/>
      <w:lvlText w:val="(%1)"/>
      <w:numFmt w:val="lowerRoman"/>
      <w:start w:val="3"/>
    </w:lvl>
  </w:abstractNum>
  <w:abstractNum w:abstractNumId="176">
    <w:nsid w:val="67A70B69"/>
    <w:multiLevelType w:val="hybridMultilevel"/>
    <w:lvl w:ilvl="0">
      <w:lvlJc w:val="left"/>
      <w:lvlText w:val="(%1)"/>
      <w:numFmt w:val="lowerLetter"/>
      <w:start w:val="1"/>
    </w:lvl>
  </w:abstractNum>
  <w:abstractNum w:abstractNumId="177">
    <w:nsid w:val="5953172F"/>
    <w:multiLevelType w:val="hybridMultilevel"/>
    <w:lvl w:ilvl="0">
      <w:lvlJc w:val="left"/>
      <w:lvlText w:val="(%1)"/>
      <w:numFmt w:val="lowerLetter"/>
      <w:start w:val="1"/>
    </w:lvl>
  </w:abstractNum>
  <w:abstractNum w:abstractNumId="178">
    <w:nsid w:val="27EDFE3A"/>
    <w:multiLevelType w:val="hybridMultilevel"/>
    <w:lvl w:ilvl="0">
      <w:lvlJc w:val="left"/>
      <w:lvlText w:val="(%1)"/>
      <w:numFmt w:val="lowerLetter"/>
      <w:start w:val="4"/>
    </w:lvl>
  </w:abstractNum>
  <w:abstractNum w:abstractNumId="179">
    <w:nsid w:val="52AC7DFF"/>
    <w:multiLevelType w:val="hybridMultilevel"/>
    <w:lvl w:ilvl="0">
      <w:lvlJc w:val="left"/>
      <w:lvlText w:val="(%1)"/>
      <w:numFmt w:val="lowerLetter"/>
      <w:start w:val="1"/>
    </w:lvl>
  </w:abstractNum>
  <w:abstractNum w:abstractNumId="180">
    <w:nsid w:val="C4C3AF"/>
    <w:multiLevelType w:val="hybridMultilevel"/>
    <w:lvl w:ilvl="0">
      <w:lvlJc w:val="left"/>
      <w:lvlText w:val="(%1)"/>
      <w:numFmt w:val="lowerLetter"/>
      <w:start w:val="2"/>
    </w:lvl>
  </w:abstractNum>
  <w:abstractNum w:abstractNumId="181">
    <w:nsid w:val="44380727"/>
    <w:multiLevelType w:val="hybridMultilevel"/>
    <w:lvl w:ilvl="0">
      <w:lvlJc w:val="left"/>
      <w:lvlText w:val="(%1)"/>
      <w:numFmt w:val="lowerLetter"/>
      <w:start w:val="1"/>
    </w:lvl>
  </w:abstractNum>
  <w:abstractNum w:abstractNumId="182">
    <w:nsid w:val="6C053B16"/>
    <w:multiLevelType w:val="hybridMultilevel"/>
    <w:lvl w:ilvl="0">
      <w:lvlJc w:val="left"/>
      <w:lvlText w:val="(%1)"/>
      <w:numFmt w:val="lowerLetter"/>
      <w:start w:val="1"/>
    </w:lvl>
  </w:abstractNum>
  <w:abstractNum w:abstractNumId="183">
    <w:nsid w:val="4F294393"/>
    <w:multiLevelType w:val="hybridMultilevel"/>
    <w:lvl w:ilvl="0">
      <w:lvlJc w:val="left"/>
      <w:lvlText w:val="(%1)"/>
      <w:numFmt w:val="lowerLetter"/>
      <w:start w:val="3"/>
    </w:lvl>
  </w:abstractNum>
  <w:abstractNum w:abstractNumId="184">
    <w:nsid w:val="5243BFAC"/>
    <w:multiLevelType w:val="hybridMultilevel"/>
    <w:lvl w:ilvl="0">
      <w:lvlJc w:val="left"/>
      <w:lvlText w:val="(%1)"/>
      <w:numFmt w:val="lowerLetter"/>
      <w:start w:val="1"/>
    </w:lvl>
  </w:abstractNum>
  <w:abstractNum w:abstractNumId="185">
    <w:nsid w:val="425EB207"/>
    <w:multiLevelType w:val="hybridMultilevel"/>
    <w:lvl w:ilvl="0">
      <w:lvlJc w:val="left"/>
      <w:lvlText w:val="(%1)"/>
      <w:numFmt w:val="lowerLetter"/>
      <w:start w:val="1"/>
    </w:lvl>
  </w:abstractNum>
  <w:abstractNum w:abstractNumId="186">
    <w:nsid w:val="334A6F1F"/>
    <w:multiLevelType w:val="hybridMultilevel"/>
    <w:lvl w:ilvl="0">
      <w:lvlJc w:val="left"/>
      <w:lvlText w:val="(%1)"/>
      <w:numFmt w:val="lowerRoman"/>
      <w:start w:val="1"/>
    </w:lvl>
  </w:abstractNum>
  <w:abstractNum w:abstractNumId="187">
    <w:nsid w:val="2E5B12B8"/>
    <w:multiLevelType w:val="hybridMultilevel"/>
    <w:lvl w:ilvl="0">
      <w:lvlJc w:val="left"/>
      <w:lvlText w:val="%1"/>
      <w:numFmt w:val="lowerLetter"/>
      <w:start w:val="1"/>
    </w:lvl>
    <w:lvl w:ilvl="1">
      <w:lvlJc w:val="left"/>
      <w:lvlText w:val="(%2)"/>
      <w:numFmt w:val="lowerRoman"/>
      <w:start w:val="5"/>
    </w:lvl>
  </w:abstractNum>
  <w:abstractNum w:abstractNumId="188">
    <w:nsid w:val="5C03D76D"/>
    <w:multiLevelType w:val="hybridMultilevel"/>
    <w:lvl w:ilvl="0">
      <w:lvlJc w:val="left"/>
      <w:lvlText w:val="(%1)"/>
      <w:numFmt w:val="lowerLetter"/>
      <w:start w:val="2"/>
    </w:lvl>
    <w:lvl w:ilvl="1">
      <w:lvlJc w:val="left"/>
      <w:lvlText w:val="%2"/>
      <w:numFmt w:val="lowerRoman"/>
      <w:start w:val="1"/>
    </w:lvl>
  </w:abstractNum>
  <w:abstractNum w:abstractNumId="189">
    <w:nsid w:val="66A48D11"/>
    <w:multiLevelType w:val="hybridMultilevel"/>
    <w:lvl w:ilvl="0">
      <w:lvlJc w:val="left"/>
      <w:lvlText w:val="(%1)"/>
      <w:numFmt w:val="lowerRoman"/>
      <w:start w:val="2"/>
    </w:lvl>
  </w:abstractNum>
  <w:abstractNum w:abstractNumId="190">
    <w:nsid w:val="56C28E34"/>
    <w:multiLevelType w:val="hybridMultilevel"/>
    <w:lvl w:ilvl="0">
      <w:lvlJc w:val="left"/>
      <w:lvlText w:val="(%1)"/>
      <w:numFmt w:val="lowerLetter"/>
      <w:start w:val="1"/>
    </w:lvl>
    <w:lvl w:ilvl="1">
      <w:lvlJc w:val="left"/>
      <w:lvlText w:val="(%2)"/>
      <w:numFmt w:val="lowerRoman"/>
      <w:start w:val="1"/>
    </w:lvl>
  </w:abstractNum>
  <w:abstractNum w:abstractNumId="191">
    <w:nsid w:val="13916F2D"/>
    <w:multiLevelType w:val="hybridMultilevel"/>
    <w:lvl w:ilvl="0">
      <w:lvlJc w:val="left"/>
      <w:lvlText w:val="(%1)"/>
      <w:numFmt w:val="lowerRoman"/>
      <w:start w:val="7"/>
    </w:lvl>
  </w:abstractNum>
  <w:abstractNum w:abstractNumId="192">
    <w:nsid w:val="435D38D"/>
    <w:multiLevelType w:val="hybridMultilevel"/>
    <w:lvl w:ilvl="0">
      <w:lvlJc w:val="left"/>
      <w:lvlText w:val="(%1)"/>
      <w:numFmt w:val="lowerRoman"/>
      <w:start w:val="16"/>
    </w:lvl>
  </w:abstractNum>
  <w:abstractNum w:abstractNumId="193">
    <w:nsid w:val="822C0EF"/>
    <w:multiLevelType w:val="hybridMultilevel"/>
    <w:lvl w:ilvl="0">
      <w:lvlJc w:val="left"/>
      <w:lvlText w:val="(%1)"/>
      <w:numFmt w:val="lowerRoman"/>
      <w:start w:val="23"/>
    </w:lvl>
  </w:abstractNum>
  <w:abstractNum w:abstractNumId="194">
    <w:nsid w:val="57C5BB4F"/>
    <w:multiLevelType w:val="hybridMultilevel"/>
    <w:lvl w:ilvl="0">
      <w:lvlJc w:val="left"/>
      <w:lvlText w:val="%1"/>
      <w:numFmt w:val="decimal"/>
      <w:start w:val="1"/>
    </w:lvl>
    <w:lvl w:ilvl="1">
      <w:lvlJc w:val="left"/>
      <w:lvlText w:val="(%2)"/>
      <w:numFmt w:val="lowerLetter"/>
      <w:start w:val="1"/>
    </w:lvl>
  </w:abstractNum>
  <w:abstractNum w:abstractNumId="195">
    <w:nsid w:val="1803D089"/>
    <w:multiLevelType w:val="hybridMultilevel"/>
    <w:lvl w:ilvl="0">
      <w:lvlJc w:val="left"/>
      <w:lvlText w:val="(%1)"/>
      <w:numFmt w:val="decimal"/>
      <w:start w:val="1"/>
    </w:lvl>
    <w:lvl w:ilvl="1">
      <w:lvlJc w:val="left"/>
      <w:lvlText w:val="(%2)"/>
      <w:numFmt w:val="lowerLetter"/>
      <w:start w:val="2"/>
    </w:lvl>
  </w:abstractNum>
  <w:abstractNum w:abstractNumId="196">
    <w:nsid w:val="4F3A06D4"/>
    <w:multiLevelType w:val="hybridMultilevel"/>
    <w:lvl w:ilvl="0">
      <w:lvlJc w:val="left"/>
      <w:lvlText w:val="%1"/>
      <w:numFmt w:val="decimal"/>
      <w:start w:val="1"/>
    </w:lvl>
    <w:lvl w:ilvl="1">
      <w:lvlJc w:val="left"/>
      <w:lvlText w:val="(%2)"/>
      <w:numFmt w:val="lowerLetter"/>
      <w:start w:val="1"/>
    </w:lvl>
  </w:abstractNum>
  <w:abstractNum w:abstractNumId="197">
    <w:nsid w:val="59A377B6"/>
    <w:multiLevelType w:val="hybridMultilevel"/>
    <w:lvl w:ilvl="0">
      <w:lvlJc w:val="left"/>
      <w:lvlText w:val="(%1)"/>
      <w:numFmt w:val="decimal"/>
      <w:start w:val="1"/>
    </w:lvl>
    <w:lvl w:ilvl="1">
      <w:lvlJc w:val="left"/>
      <w:lvlText w:val="%2"/>
      <w:numFmt w:val="lowerLetter"/>
      <w:start w:val="1"/>
    </w:lvl>
  </w:abstractNum>
  <w:abstractNum w:abstractNumId="198">
    <w:nsid w:val="48AEB063"/>
    <w:multiLevelType w:val="hybridMultilevel"/>
    <w:lvl w:ilvl="0">
      <w:lvlJc w:val="left"/>
      <w:lvlText w:val="(%1)"/>
      <w:numFmt w:val="decimal"/>
      <w:start w:val="5"/>
    </w:lvl>
  </w:abstractNum>
  <w:abstractNum w:abstractNumId="199">
    <w:nsid w:val="24E135"/>
    <w:multiLevelType w:val="hybridMultilevel"/>
    <w:lvl w:ilvl="0">
      <w:lvlJc w:val="left"/>
      <w:lvlText w:val="(%1)"/>
      <w:numFmt w:val="decimal"/>
      <w:start w:val="8"/>
    </w:lvl>
  </w:abstractNum>
  <w:abstractNum w:abstractNumId="200">
    <w:nsid w:val="BB13C1"/>
    <w:multiLevelType w:val="hybridMultilevel"/>
    <w:lvl w:ilvl="0">
      <w:lvlJc w:val="left"/>
      <w:lvlText w:val="(%1)"/>
      <w:numFmt w:val="lowerRoman"/>
      <w:start w:val="1"/>
    </w:lvl>
  </w:abstractNum>
  <w:abstractNum w:abstractNumId="201">
    <w:nsid w:val="271210C7"/>
    <w:multiLevelType w:val="hybridMultilevel"/>
    <w:lvl w:ilvl="0">
      <w:lvlJc w:val="left"/>
      <w:lvlText w:val="(%1)"/>
      <w:numFmt w:val="decimal"/>
      <w:start w:val="15"/>
    </w:lvl>
  </w:abstractNum>
  <w:abstractNum w:abstractNumId="202">
    <w:nsid w:val="217B22E4"/>
    <w:multiLevelType w:val="hybridMultilevel"/>
    <w:lvl w:ilvl="0">
      <w:lvlJc w:val="left"/>
      <w:lvlText w:val="(%1)"/>
      <w:numFmt w:val="lowerRoman"/>
      <w:start w:val="10"/>
    </w:lvl>
  </w:abstractNum>
  <w:abstractNum w:abstractNumId="203">
    <w:nsid w:val="53E31A24"/>
    <w:multiLevelType w:val="hybridMultilevel"/>
    <w:lvl w:ilvl="0">
      <w:lvlJc w:val="left"/>
      <w:lvlText w:val="(%1)"/>
      <w:numFmt w:val="lowerLetter"/>
      <w:start w:val="25"/>
    </w:lvl>
  </w:abstractNum>
  <w:abstractNum w:abstractNumId="204">
    <w:nsid w:val="6DC45E83"/>
    <w:multiLevelType w:val="hybridMultilevel"/>
    <w:lvl w:ilvl="0">
      <w:lvlJc w:val="left"/>
      <w:lvlText w:val="(%1)"/>
      <w:numFmt w:val="decimal"/>
      <w:start w:val="16"/>
    </w:lvl>
  </w:abstractNum>
  <w:abstractNum w:abstractNumId="205">
    <w:nsid w:val="17304A67"/>
    <w:multiLevelType w:val="hybridMultilevel"/>
    <w:lvl w:ilvl="0">
      <w:lvlJc w:val="left"/>
      <w:lvlText w:val="(%1)"/>
      <w:numFmt w:val="decimal"/>
      <w:start w:val="21"/>
    </w:lvl>
  </w:abstractNum>
  <w:abstractNum w:abstractNumId="206">
    <w:nsid w:val="2BB180D8"/>
    <w:multiLevelType w:val="hybridMultilevel"/>
    <w:lvl w:ilvl="0">
      <w:lvlJc w:val="left"/>
      <w:lvlText w:val="(%1)"/>
      <w:numFmt w:val="decimal"/>
      <w:start w:val="28"/>
    </w:lvl>
    <w:lvl w:ilvl="1">
      <w:lvlJc w:val="left"/>
      <w:lvlText w:val="(%2)"/>
      <w:numFmt w:val="lowerLetter"/>
      <w:start w:val="3"/>
    </w:lvl>
  </w:abstractNum>
  <w:abstractNum w:abstractNumId="207">
    <w:nsid w:val="556B69ED"/>
    <w:multiLevelType w:val="hybridMultilevel"/>
    <w:lvl w:ilvl="0">
      <w:lvlJc w:val="left"/>
      <w:lvlText w:val="(%1)"/>
      <w:numFmt w:val="lowerLetter"/>
      <w:start w:val="4"/>
    </w:lvl>
  </w:abstractNum>
  <w:abstractNum w:abstractNumId="208">
    <w:nsid w:val="70836196"/>
    <w:multiLevelType w:val="hybridMultilevel"/>
    <w:lvl w:ilvl="0">
      <w:lvlJc w:val="left"/>
      <w:lvlText w:val="(%1)"/>
      <w:numFmt w:val="lowerLetter"/>
      <w:start w:val="1"/>
    </w:lvl>
  </w:abstractNum>
  <w:abstractNum w:abstractNumId="209">
    <w:nsid w:val="539F7F12"/>
    <w:multiLevelType w:val="hybridMultilevel"/>
    <w:lvl w:ilvl="0">
      <w:lvlJc w:val="left"/>
      <w:lvlText w:val="(%1)"/>
      <w:numFmt w:val="lowerLetter"/>
      <w:start w:val="5"/>
    </w:lvl>
  </w:abstractNum>
  <w:abstractNum w:abstractNumId="210">
    <w:nsid w:val="2817E7EC"/>
    <w:multiLevelType w:val="hybridMultilevel"/>
    <w:lvl w:ilvl="0">
      <w:lvlJc w:val="left"/>
      <w:lvlText w:val="%1"/>
      <w:numFmt w:val="decimal"/>
      <w:start w:val="1"/>
    </w:lvl>
    <w:lvl w:ilvl="1">
      <w:lvlJc w:val="left"/>
      <w:lvlText w:val="(%2)"/>
      <w:numFmt w:val="lowerLetter"/>
      <w:start w:val="1"/>
    </w:lvl>
  </w:abstractNum>
  <w:abstractNum w:abstractNumId="211">
    <w:nsid w:val="71482545"/>
    <w:multiLevelType w:val="hybridMultilevel"/>
    <w:lvl w:ilvl="0">
      <w:lvlJc w:val="left"/>
      <w:lvlText w:val="(%1)"/>
      <w:numFmt w:val="decimal"/>
      <w:start w:val="1"/>
    </w:lvl>
    <w:lvl w:ilvl="1">
      <w:lvlJc w:val="left"/>
      <w:lvlText w:val="%2"/>
      <w:numFmt w:val="lowerLetter"/>
      <w:start w:val="1"/>
    </w:lvl>
  </w:abstractNum>
  <w:abstractNum w:abstractNumId="212">
    <w:nsid w:val="17D78639"/>
    <w:multiLevelType w:val="hybridMultilevel"/>
    <w:lvl w:ilvl="0">
      <w:lvlJc w:val="left"/>
      <w:lvlText w:val="(%1)"/>
      <w:numFmt w:val="decimal"/>
      <w:start w:val="1"/>
    </w:lvl>
  </w:abstractNum>
  <w:abstractNum w:abstractNumId="213">
    <w:nsid w:val="141D2302"/>
    <w:multiLevelType w:val="hybridMultilevel"/>
    <w:lvl w:ilvl="0">
      <w:lvlJc w:val="left"/>
      <w:lvlText w:val="(%1)"/>
      <w:numFmt w:val="decimal"/>
      <w:start w:val="3"/>
    </w:lvl>
  </w:abstractNum>
  <w:abstractNum w:abstractNumId="214">
    <w:nsid w:val="407168D8"/>
    <w:multiLevelType w:val="hybridMultilevel"/>
    <w:lvl w:ilvl="0">
      <w:lvlJc w:val="left"/>
      <w:lvlText w:val="(%1)"/>
      <w:numFmt w:val="lowerLetter"/>
      <w:start w:val="2"/>
    </w:lvl>
  </w:abstractNum>
  <w:abstractNum w:abstractNumId="215">
    <w:nsid w:val="6A1B45E5"/>
    <w:multiLevelType w:val="hybridMultilevel"/>
    <w:lvl w:ilvl="0">
      <w:lvlJc w:val="left"/>
      <w:lvlText w:val="(%1)"/>
      <w:numFmt w:val="decimal"/>
      <w:start w:val="1"/>
    </w:lvl>
  </w:abstractNum>
  <w:abstractNum w:abstractNumId="216">
    <w:nsid w:val="567BD50A"/>
    <w:multiLevelType w:val="hybridMultilevel"/>
    <w:lvl w:ilvl="0">
      <w:lvlJc w:val="left"/>
      <w:lvlText w:val="(%1)"/>
      <w:numFmt w:val="decimal"/>
      <w:start w:val="1"/>
    </w:lvl>
  </w:abstractNum>
  <w:abstractNum w:abstractNumId="217">
    <w:nsid w:val="73BBD7F8"/>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218">
    <w:nsid w:val="1876589D"/>
    <w:multiLevelType w:val="hybridMultilevel"/>
    <w:lvl w:ilvl="0">
      <w:lvlJc w:val="left"/>
      <w:lvlText w:val="(%1)"/>
      <w:numFmt w:val="lowerLetter"/>
      <w:start w:val="1"/>
    </w:lvl>
  </w:abstractNum>
  <w:abstractNum w:abstractNumId="219">
    <w:nsid w:val="327FAC77"/>
    <w:multiLevelType w:val="hybridMultilevel"/>
    <w:lvl w:ilvl="0">
      <w:lvlJc w:val="left"/>
      <w:lvlText w:val="(%1)"/>
      <w:numFmt w:val="decimal"/>
      <w:start w:val="1"/>
    </w:lvl>
  </w:abstractNum>
  <w:abstractNum w:abstractNumId="220">
    <w:nsid w:val="5A606509"/>
    <w:multiLevelType w:val="hybridMultilevel"/>
    <w:lvl w:ilvl="0">
      <w:lvlJc w:val="left"/>
      <w:lvlText w:val="(%1)"/>
      <w:numFmt w:val="lowerRoman"/>
      <w:start w:val="1"/>
    </w:lvl>
  </w:abstractNum>
  <w:abstractNum w:abstractNumId="221">
    <w:nsid w:val="6F38E6D1"/>
    <w:multiLevelType w:val="hybridMultilevel"/>
    <w:lvl w:ilvl="0">
      <w:lvlJc w:val="left"/>
      <w:lvlText w:val="(%1)"/>
      <w:numFmt w:val="upperLetter"/>
      <w:start w:val="1"/>
    </w:lvl>
  </w:abstractNum>
  <w:abstractNum w:abstractNumId="222">
    <w:nsid w:val="46111BA5"/>
    <w:multiLevelType w:val="hybridMultilevel"/>
    <w:lvl w:ilvl="0">
      <w:lvlJc w:val="left"/>
      <w:lvlText w:val="(%1)"/>
      <w:numFmt w:val="lowerLetter"/>
      <w:start w:val="24"/>
    </w:lvl>
  </w:abstractNum>
  <w:abstractNum w:abstractNumId="223">
    <w:nsid w:val="5E963896"/>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6"/>
    </w:lvl>
  </w:abstractNum>
  <w:abstractNum w:abstractNumId="224">
    <w:nsid w:val="775BA7C1"/>
    <w:multiLevelType w:val="hybridMultilevel"/>
    <w:lvl w:ilvl="0">
      <w:lvlJc w:val="left"/>
      <w:lvlText w:val="%1"/>
      <w:numFmt w:val="lowerLetter"/>
      <w:start w:val="1"/>
    </w:lvl>
    <w:lvl w:ilvl="1">
      <w:lvlJc w:val="left"/>
      <w:lvlText w:val="(%2)"/>
      <w:numFmt w:val="upperLetter"/>
      <w:start w:val="7"/>
    </w:lvl>
    <w:lvl w:ilvl="2">
      <w:lvlJc w:val="left"/>
      <w:lvlText w:val="%3"/>
      <w:numFmt w:val="lowerLetter"/>
      <w:start w:val="1"/>
    </w:lvl>
  </w:abstractNum>
  <w:abstractNum w:abstractNumId="225">
    <w:nsid w:val="1DD6D6F4"/>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226">
    <w:nsid w:val="769A091F"/>
    <w:multiLevelType w:val="hybridMultilevel"/>
    <w:lvl w:ilvl="0">
      <w:lvlJc w:val="left"/>
      <w:lvlText w:val="(%1)"/>
      <w:numFmt w:val="decimal"/>
      <w:start w:val="1"/>
    </w:lvl>
    <w:lvl w:ilvl="1">
      <w:lvlJc w:val="left"/>
      <w:lvlText w:val="(%2)"/>
      <w:numFmt w:val="lowerLetter"/>
      <w:start w:val="25"/>
    </w:lvl>
  </w:abstractNum>
  <w:abstractNum w:abstractNumId="227">
    <w:nsid w:val="4695AE95"/>
    <w:multiLevelType w:val="hybridMultilevel"/>
    <w:lvl w:ilvl="0">
      <w:lvlJc w:val="left"/>
      <w:lvlText w:val="(%1)"/>
      <w:numFmt w:val="decimal"/>
      <w:start w:val="3"/>
    </w:lvl>
    <w:lvl w:ilvl="1">
      <w:lvlJc w:val="left"/>
      <w:lvlText w:val="(%2)"/>
      <w:numFmt w:val="lowerRoman"/>
      <w:start w:val="1"/>
    </w:lvl>
  </w:abstractNum>
  <w:abstractNum w:abstractNumId="228">
    <w:nsid w:val="777A4EAA"/>
    <w:multiLevelType w:val="hybridMultilevel"/>
    <w:lvl w:ilvl="0">
      <w:lvlJc w:val="left"/>
      <w:lvlText w:val="(%1)"/>
      <w:numFmt w:val="decimal"/>
      <w:start w:val="5"/>
    </w:lvl>
  </w:abstractNum>
  <w:abstractNum w:abstractNumId="229">
    <w:nsid w:val="3F48B982"/>
    <w:multiLevelType w:val="hybridMultilevel"/>
    <w:lvl w:ilvl="0">
      <w:lvlJc w:val="left"/>
      <w:lvlText w:val="(%1)"/>
      <w:numFmt w:val="decimal"/>
      <w:start w:val="12"/>
    </w:lvl>
    <w:lvl w:ilvl="1">
      <w:lvlJc w:val="left"/>
      <w:lvlText w:val="(%2)"/>
      <w:numFmt w:val="lowerRoman"/>
    </w:lvl>
    <w:lvl w:ilvl="2">
      <w:lvlJc w:val="left"/>
      <w:lvlText w:val="(%3)"/>
      <w:numFmt w:val="lowerRoman"/>
      <w:start w:val="1"/>
    </w:lvl>
  </w:abstractNum>
  <w:abstractNum w:abstractNumId="230">
    <w:nsid w:val="46BA8FCA"/>
    <w:multiLevelType w:val="hybridMultilevel"/>
    <w:lvl w:ilvl="0">
      <w:lvlJc w:val="left"/>
      <w:lvlText w:val="%1"/>
      <w:numFmt w:val="decimal"/>
      <w:start w:val="1"/>
    </w:lvl>
    <w:lvl w:ilvl="1">
      <w:lvlJc w:val="left"/>
      <w:lvlText w:val="(%2)"/>
      <w:numFmt w:val="lowerRoman"/>
      <w:start w:val="4"/>
    </w:lvl>
  </w:abstractNum>
  <w:abstractNum w:abstractNumId="231">
    <w:nsid w:val="7835626C"/>
    <w:multiLevelType w:val="hybridMultilevel"/>
    <w:lvl w:ilvl="0">
      <w:lvlJc w:val="left"/>
      <w:lvlText w:val="(%1)"/>
      <w:numFmt w:val="decimal"/>
      <w:start w:val="14"/>
    </w:lvl>
    <w:lvl w:ilvl="1">
      <w:lvlJc w:val="left"/>
      <w:lvlText w:val="%2"/>
      <w:numFmt w:val="lowerRoman"/>
      <w:start w:val="1"/>
    </w:lvl>
  </w:abstractNum>
  <w:abstractNum w:abstractNumId="232">
    <w:nsid w:val="665ACA49"/>
    <w:multiLevelType w:val="hybridMultilevel"/>
    <w:lvl w:ilvl="0">
      <w:lvlJc w:val="left"/>
      <w:lvlText w:val="(%1)"/>
      <w:numFmt w:val="decimal"/>
      <w:start w:val="18"/>
    </w:lvl>
  </w:abstractNum>
  <w:abstractNum w:abstractNumId="233">
    <w:nsid w:val="6835B2AE"/>
    <w:multiLevelType w:val="hybridMultilevel"/>
    <w:lvl w:ilvl="0">
      <w:lvlJc w:val="left"/>
      <w:lvlText w:val="(%1)"/>
      <w:numFmt w:val="lowerLetter"/>
      <w:start w:val="2"/>
    </w:lvl>
  </w:abstractNum>
  <w:abstractNum w:abstractNumId="234">
    <w:nsid w:val="4C187C90"/>
    <w:multiLevelType w:val="hybridMultilevel"/>
    <w:lvl w:ilvl="0">
      <w:lvlJc w:val="left"/>
      <w:lvlText w:val="(%1)"/>
      <w:numFmt w:val="lowerLetter"/>
      <w:start w:val="1"/>
    </w:lvl>
  </w:abstractNum>
  <w:abstractNum w:abstractNumId="235">
    <w:nsid w:val="541F28CD"/>
    <w:multiLevelType w:val="hybridMultilevel"/>
    <w:lvl w:ilvl="0">
      <w:lvlJc w:val="left"/>
      <w:lvlText w:val="(%1)"/>
      <w:numFmt w:val="decimal"/>
      <w:start w:val="1"/>
    </w:lvl>
  </w:abstractNum>
  <w:abstractNum w:abstractNumId="236">
    <w:nsid w:val="7F65FD16"/>
    <w:multiLevelType w:val="hybridMultilevel"/>
    <w:lvl w:ilvl="0">
      <w:lvlJc w:val="left"/>
      <w:lvlText w:val="(%1)"/>
      <w:numFmt w:val="decimal"/>
      <w:start w:val="5"/>
    </w:lvl>
  </w:abstractNum>
  <w:abstractNum w:abstractNumId="237">
    <w:nsid w:val="77C9FD68"/>
    <w:multiLevelType w:val="hybridMultilevel"/>
    <w:lvl w:ilvl="0">
      <w:lvlJc w:val="left"/>
      <w:lvlText w:val="%1"/>
      <w:numFmt w:val="lowerLetter"/>
      <w:start w:val="1"/>
    </w:lvl>
    <w:lvl w:ilvl="1">
      <w:lvlJc w:val="left"/>
      <w:lvlText w:val="(%2)"/>
      <w:numFmt w:val="lowerLetter"/>
      <w:start w:val="1"/>
    </w:lvl>
  </w:abstractNum>
  <w:abstractNum w:abstractNumId="238">
    <w:nsid w:val="298A92BA"/>
    <w:multiLevelType w:val="hybridMultilevel"/>
    <w:lvl w:ilvl="0">
      <w:lvlJc w:val="left"/>
      <w:lvlText w:val="(%1)"/>
      <w:numFmt w:val="lowerLetter"/>
      <w:start w:val="61"/>
    </w:lvl>
    <w:lvl w:ilvl="1">
      <w:lvlJc w:val="left"/>
      <w:lvlText w:val="(%2)"/>
      <w:numFmt w:val="lowerLetter"/>
      <w:start w:val="2"/>
    </w:lvl>
  </w:abstractNum>
  <w:abstractNum w:abstractNumId="239">
    <w:nsid w:val="6FE95EAC"/>
    <w:multiLevelType w:val="hybridMultilevel"/>
    <w:lvl w:ilvl="0">
      <w:lvlJc w:val="left"/>
      <w:lvlText w:val="(%1)"/>
      <w:numFmt w:val="upperLetter"/>
      <w:start w:val="2"/>
    </w:lvl>
    <w:lvl w:ilvl="1">
      <w:lvlJc w:val="left"/>
      <w:lvlText w:val="(%2)"/>
      <w:numFmt w:val="lowerLetter"/>
      <w:start w:val="6"/>
    </w:lvl>
  </w:abstractNum>
  <w:abstractNum w:abstractNumId="240">
    <w:nsid w:val="4B697C7A"/>
    <w:multiLevelType w:val="hybridMultilevel"/>
    <w:lvl w:ilvl="0">
      <w:lvlJc w:val="left"/>
      <w:lvlText w:val="(%1)"/>
      <w:numFmt w:val="lowerLetter"/>
      <w:start w:val="9"/>
    </w:lvl>
  </w:abstractNum>
  <w:abstractNum w:abstractNumId="241">
    <w:nsid w:val="51A27AA6"/>
    <w:multiLevelType w:val="hybridMultilevel"/>
    <w:lvl w:ilvl="0">
      <w:lvlJc w:val="left"/>
      <w:lvlText w:val="(%1)"/>
      <w:numFmt w:val="lowerLetter"/>
      <w:start w:val="1"/>
    </w:lvl>
  </w:abstractNum>
  <w:abstractNum w:abstractNumId="242">
    <w:nsid w:val="613183F2"/>
    <w:multiLevelType w:val="hybridMultilevel"/>
    <w:lvl w:ilvl="0">
      <w:lvlJc w:val="left"/>
      <w:lvlText w:val="(%1)"/>
      <w:numFmt w:val="lowerLetter"/>
      <w:start w:val="4"/>
    </w:lvl>
  </w:abstractNum>
  <w:abstractNum w:abstractNumId="243">
    <w:nsid w:val="634102B4"/>
    <w:multiLevelType w:val="hybridMultilevel"/>
    <w:lvl w:ilvl="0">
      <w:lvlJc w:val="left"/>
      <w:lvlText w:val="(%1)"/>
      <w:numFmt w:val="lowerLetter"/>
      <w:start w:val="1"/>
    </w:lvl>
  </w:abstractNum>
  <w:abstractNum w:abstractNumId="244">
    <w:nsid w:val="65BF9DA8"/>
    <w:multiLevelType w:val="hybridMultilevel"/>
    <w:lvl w:ilvl="0">
      <w:lvlJc w:val="left"/>
      <w:lvlText w:val="(%1)"/>
      <w:numFmt w:val="lowerLetter"/>
      <w:start w:val="2"/>
    </w:lvl>
  </w:abstractNum>
  <w:abstractNum w:abstractNumId="245">
    <w:nsid w:val="21A2ECCA"/>
    <w:multiLevelType w:val="hybridMultilevel"/>
    <w:lvl w:ilvl="0">
      <w:lvlJc w:val="left"/>
      <w:lvlText w:val="(%1)"/>
      <w:numFmt w:val="lowerLetter"/>
      <w:start w:val="1"/>
    </w:lvl>
  </w:abstractNum>
  <w:abstractNum w:abstractNumId="246">
    <w:nsid w:val="4D5C4899"/>
    <w:multiLevelType w:val="hybridMultilevel"/>
    <w:lvl w:ilvl="0">
      <w:lvlJc w:val="left"/>
      <w:lvlText w:val="(%1)"/>
      <w:numFmt w:val="lowerLetter"/>
      <w:start w:val="1"/>
    </w:lvl>
  </w:abstractNum>
  <w:abstractNum w:abstractNumId="247">
    <w:nsid w:val="3C3B72B2"/>
    <w:multiLevelType w:val="hybridMultilevel"/>
    <w:lvl w:ilvl="0">
      <w:lvlJc w:val="left"/>
      <w:lvlText w:val="(%1)"/>
      <w:numFmt w:val="lowerLetter"/>
      <w:start w:val="1"/>
    </w:lvl>
  </w:abstractNum>
  <w:abstractNum w:abstractNumId="248">
    <w:nsid w:val="155EC4C2"/>
    <w:multiLevelType w:val="hybridMultilevel"/>
    <w:lvl w:ilvl="0">
      <w:lvlJc w:val="left"/>
      <w:lvlText w:val="(%1)"/>
      <w:numFmt w:val="lowerLetter"/>
      <w:start w:val="1"/>
    </w:lvl>
  </w:abstractNum>
  <w:abstractNum w:abstractNumId="249">
    <w:nsid w:val="65D2A137"/>
    <w:multiLevelType w:val="hybridMultilevel"/>
    <w:lvl w:ilvl="0">
      <w:lvlJc w:val="left"/>
      <w:lvlText w:val="(%1)"/>
      <w:numFmt w:val="lowerLetter"/>
      <w:start w:val="3"/>
    </w:lvl>
  </w:abstractNum>
  <w:abstractNum w:abstractNumId="250">
    <w:nsid w:val="6EBB1F2A"/>
    <w:multiLevelType w:val="hybridMultilevel"/>
    <w:lvl w:ilvl="0">
      <w:lvlJc w:val="left"/>
      <w:lvlText w:val="(%1)"/>
      <w:numFmt w:val="lowerLetter"/>
      <w:start w:val="1"/>
    </w:lvl>
    <w:lvl w:ilvl="1">
      <w:lvlJc w:val="left"/>
      <w:lvlText w:val="(%2)"/>
      <w:numFmt w:val="lowerRoman"/>
      <w:start w:val="1"/>
    </w:lvl>
  </w:abstractNum>
  <w:abstractNum w:abstractNumId="251">
    <w:nsid w:val="6FBF29CB"/>
    <w:multiLevelType w:val="hybridMultilevel"/>
    <w:lvl w:ilvl="0">
      <w:lvlJc w:val="left"/>
      <w:lvlText w:val="%1"/>
      <w:numFmt w:val="lowerLetter"/>
      <w:start w:val="1"/>
    </w:lvl>
    <w:lvl w:ilvl="1">
      <w:lvlJc w:val="left"/>
      <w:lvlText w:val="(%2)"/>
      <w:numFmt w:val="lowerLetter"/>
      <w:start w:val="61"/>
    </w:lvl>
  </w:abstractNum>
  <w:abstractNum w:abstractNumId="252">
    <w:nsid w:val="550B8808"/>
    <w:multiLevelType w:val="hybridMultilevel"/>
    <w:lvl w:ilvl="0">
      <w:lvlJc w:val="left"/>
      <w:lvlText w:val="(%1)"/>
      <w:numFmt w:val="lowerLetter"/>
      <w:start w:val="1"/>
    </w:lvl>
    <w:lvl w:ilvl="1">
      <w:lvlJc w:val="left"/>
      <w:lvlText w:val="%2"/>
      <w:numFmt w:val="lowerLetter"/>
      <w:start w:val="1"/>
    </w:lvl>
  </w:abstractNum>
  <w:abstractNum w:abstractNumId="253">
    <w:nsid w:val="34CC3A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4">
    <w:nsid w:val="4E55626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5">
    <w:nsid w:val="4C672FC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6">
    <w:nsid w:val="52A311C3"/>
    <w:multiLevelType w:val="hybridMultilevel"/>
    <w:lvl w:ilvl="0">
      <w:lvlJc w:val="left"/>
      <w:lvlText w:val="(%1)"/>
      <w:numFmt w:val="lowerLetter"/>
      <w:start w:val="1"/>
    </w:lvl>
  </w:abstractNum>
  <w:abstractNum w:abstractNumId="257">
    <w:nsid w:val="44EF6B80"/>
    <w:multiLevelType w:val="hybridMultilevel"/>
    <w:lvl w:ilvl="0">
      <w:lvlJc w:val="left"/>
      <w:lvlText w:val="(%1)"/>
      <w:numFmt w:val="lowerLetter"/>
      <w:start w:val="3"/>
    </w:lvl>
  </w:abstractNum>
  <w:abstractNum w:abstractNumId="258">
    <w:nsid w:val="12FCDE5E"/>
    <w:multiLevelType w:val="hybridMultilevel"/>
    <w:lvl w:ilvl="0">
      <w:lvlJc w:val="left"/>
      <w:lvlText w:val="(%1)"/>
      <w:numFmt w:val="lowerLetter"/>
      <w:start w:val="1"/>
    </w:lvl>
    <w:lvl w:ilvl="1">
      <w:lvlJc w:val="left"/>
      <w:lvlText w:val="(%2)"/>
      <w:numFmt w:val="lowerLetter"/>
      <w:start w:val="9"/>
    </w:lvl>
  </w:abstractNum>
  <w:abstractNum w:abstractNumId="259">
    <w:nsid w:val="4A1D606E"/>
    <w:multiLevelType w:val="hybridMultilevel"/>
    <w:lvl w:ilvl="0">
      <w:lvlJc w:val="left"/>
      <w:lvlText w:val="(%1)"/>
      <w:numFmt w:val="lowerRoman"/>
      <w:start w:val="2"/>
    </w:lvl>
  </w:abstractNum>
  <w:abstractNum w:abstractNumId="260">
    <w:nsid w:val="4382503"/>
    <w:multiLevelType w:val="hybridMultilevel"/>
    <w:lvl w:ilvl="0">
      <w:lvlJc w:val="left"/>
      <w:lvlText w:val="(%1)"/>
      <w:numFmt w:val="lowerLetter"/>
      <w:start w:val="2"/>
    </w:lvl>
  </w:abstractNum>
  <w:abstractNum w:abstractNumId="261">
    <w:nsid w:val="59B76E28"/>
    <w:multiLevelType w:val="hybridMultilevel"/>
    <w:lvl w:ilvl="0">
      <w:lvlJc w:val="left"/>
      <w:lvlText w:val="(%1)"/>
      <w:numFmt w:val="lowerLetter"/>
      <w:start w:val="3"/>
    </w:lvl>
  </w:abstractNum>
  <w:abstractNum w:abstractNumId="262">
    <w:nsid w:val="4252C2DA"/>
    <w:multiLevelType w:val="hybridMultilevel"/>
    <w:lvl w:ilvl="0">
      <w:lvlJc w:val="left"/>
      <w:lvlText w:val="(%1)"/>
      <w:numFmt w:val="lowerLetter"/>
      <w:start w:val="5"/>
    </w:lvl>
  </w:abstractNum>
  <w:abstractNum w:abstractNumId="263">
    <w:nsid w:val="6A92EF4C"/>
    <w:multiLevelType w:val="hybridMultilevel"/>
    <w:lvl w:ilvl="0">
      <w:lvlJc w:val="left"/>
      <w:lvlText w:val="(%1)"/>
      <w:numFmt w:val="lowerLetter"/>
      <w:start w:val="1"/>
    </w:lvl>
  </w:abstractNum>
  <w:abstractNum w:abstractNumId="264">
    <w:nsid w:val="41ED20D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5">
    <w:nsid w:val="E6B3F6A"/>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3"/>
    </w:lvl>
  </w:abstractNum>
  <w:abstractNum w:abstractNumId="266">
    <w:nsid w:val="3EB21819"/>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4"/>
    </w:lvl>
  </w:abstractNum>
  <w:abstractNum w:abstractNumId="267">
    <w:nsid w:val="41531DED"/>
    <w:multiLevelType w:val="hybridMultilevel"/>
    <w:lvl w:ilvl="0">
      <w:lvlJc w:val="left"/>
      <w:lvlText w:val="(%1)"/>
      <w:numFmt w:val="lowerRoman"/>
      <w:start w:val="5"/>
    </w:lvl>
  </w:abstractNum>
  <w:abstractNum w:abstractNumId="268">
    <w:nsid w:val="6353CD2"/>
    <w:multiLevelType w:val="hybridMultilevel"/>
    <w:lvl w:ilvl="0">
      <w:lvlJc w:val="left"/>
      <w:lvlText w:val="(%1)"/>
      <w:numFmt w:val="lowerLetter"/>
      <w:start w:val="3"/>
    </w:lvl>
  </w:abstractNum>
  <w:abstractNum w:abstractNumId="269">
    <w:nsid w:val="683CAAD3"/>
    <w:multiLevelType w:val="hybridMultilevel"/>
    <w:lvl w:ilvl="0">
      <w:lvlJc w:val="left"/>
      <w:lvlText w:val="(%1)"/>
      <w:numFmt w:val="lowerLetter"/>
      <w:start w:val="4"/>
    </w:lvl>
  </w:abstractNum>
  <w:abstractNum w:abstractNumId="270">
    <w:nsid w:val="313C7C99"/>
    <w:multiLevelType w:val="hybridMultilevel"/>
    <w:lvl w:ilvl="0">
      <w:lvlJc w:val="left"/>
      <w:lvlText w:val="(%1)"/>
      <w:numFmt w:val="lowerLetter"/>
      <w:start w:val="8"/>
    </w:lvl>
    <w:lvl w:ilvl="1">
      <w:lvlJc w:val="left"/>
      <w:lvlText w:val="(%2)"/>
      <w:numFmt w:val="lowerRoman"/>
      <w:start w:val="1"/>
    </w:lvl>
  </w:abstractNum>
  <w:abstractNum w:abstractNumId="271">
    <w:nsid w:val="519EB94C"/>
    <w:multiLevelType w:val="hybridMultilevel"/>
    <w:lvl w:ilvl="0">
      <w:lvlJc w:val="left"/>
      <w:lvlText w:val="(%1)"/>
      <w:numFmt w:val="lowerLetter"/>
      <w:start w:val="24"/>
    </w:lvl>
  </w:abstractNum>
  <w:abstractNum w:abstractNumId="272">
    <w:nsid w:val="39DF2579"/>
    <w:multiLevelType w:val="hybridMultilevel"/>
    <w:lvl w:ilvl="0">
      <w:lvlJc w:val="left"/>
      <w:lvlText w:val="%1"/>
      <w:numFmt w:val="upperLetter"/>
      <w:start w:val="1"/>
    </w:lvl>
    <w:lvl w:ilvl="1">
      <w:lvlJc w:val="left"/>
      <w:lvlText w:val="(%2)"/>
      <w:numFmt w:val="lowerLetter"/>
      <w:start w:val="11"/>
    </w:lvl>
  </w:abstractNum>
  <w:abstractNum w:abstractNumId="273">
    <w:nsid w:val="126E008B"/>
    <w:multiLevelType w:val="hybridMultilevel"/>
    <w:lvl w:ilvl="0">
      <w:lvlJc w:val="left"/>
      <w:lvlText w:val="(%1)"/>
      <w:numFmt w:val="upperLetter"/>
      <w:start w:val="1"/>
    </w:lvl>
    <w:lvl w:ilvl="1">
      <w:lvlJc w:val="left"/>
      <w:lvlText w:val="(%2)"/>
      <w:numFmt w:val="lowerLetter"/>
      <w:start w:val="12"/>
    </w:lvl>
  </w:abstractNum>
  <w:abstractNum w:abstractNumId="274">
    <w:nsid w:val="34DFBC00"/>
    <w:multiLevelType w:val="hybridMultilevel"/>
    <w:lvl w:ilvl="0">
      <w:lvlJc w:val="left"/>
      <w:lvlText w:val="%1"/>
      <w:numFmt w:val="lowerLetter"/>
      <w:start w:val="1"/>
    </w:lvl>
    <w:lvl w:ilvl="1">
      <w:lvlJc w:val="left"/>
      <w:lvlText w:val="(%2)"/>
      <w:numFmt w:val="lowerLetter"/>
      <w:start w:val="13"/>
    </w:lvl>
  </w:abstractNum>
  <w:abstractNum w:abstractNumId="275">
    <w:nsid w:val="1F9EC322"/>
    <w:multiLevelType w:val="hybridMultilevel"/>
    <w:lvl w:ilvl="0">
      <w:lvlJc w:val="left"/>
      <w:lvlText w:val="(%1)"/>
      <w:numFmt w:val="lowerLetter"/>
      <w:start w:val="35"/>
    </w:lvl>
    <w:lvl w:ilvl="1">
      <w:lvlJc w:val="left"/>
      <w:lvlText w:val="%2"/>
      <w:numFmt w:val="lowerLetter"/>
      <w:start w:val="1"/>
    </w:lvl>
  </w:abstractNum>
  <w:abstractNum w:abstractNumId="276">
    <w:nsid w:val="3410ED56"/>
    <w:multiLevelType w:val="hybridMultilevel"/>
    <w:lvl w:ilvl="0">
      <w:lvlJc w:val="left"/>
      <w:lvlText w:val="(%1)"/>
      <w:numFmt w:val="lowerLetter"/>
      <w:start w:val="5"/>
    </w:lvl>
  </w:abstractNum>
  <w:abstractNum w:abstractNumId="277">
    <w:nsid w:val="23C049A"/>
    <w:multiLevelType w:val="hybridMultilevel"/>
    <w:lvl w:ilvl="0">
      <w:lvlJc w:val="left"/>
      <w:lvlText w:val="(%1)"/>
      <w:numFmt w:val="lowerLetter"/>
      <w:start w:val="2"/>
    </w:lvl>
  </w:abstractNum>
  <w:abstractNum w:abstractNumId="278">
    <w:nsid w:val="5BDA35D4"/>
    <w:multiLevelType w:val="hybridMultilevel"/>
    <w:lvl w:ilvl="0">
      <w:lvlJc w:val="left"/>
      <w:lvlText w:val="(%1)"/>
      <w:numFmt w:val="lowerLetter"/>
      <w:start w:val="1"/>
    </w:lvl>
  </w:abstractNum>
  <w:abstractNum w:abstractNumId="279">
    <w:nsid w:val="496FB218"/>
    <w:multiLevelType w:val="hybridMultilevel"/>
    <w:lvl w:ilvl="0">
      <w:lvlJc w:val="left"/>
      <w:lvlText w:val="(%1)"/>
      <w:numFmt w:val="upperLetter"/>
      <w:start w:val="2"/>
    </w:lvl>
  </w:abstractNum>
  <w:abstractNum w:abstractNumId="280">
    <w:nsid w:val="680EA5D1"/>
    <w:multiLevelType w:val="hybridMultilevel"/>
    <w:lvl w:ilvl="0">
      <w:lvlJc w:val="left"/>
      <w:lvlText w:val="(%1)"/>
      <w:numFmt w:val="upperLetter"/>
      <w:start w:val="2"/>
    </w:lvl>
  </w:abstractNum>
  <w:abstractNum w:abstractNumId="281">
    <w:nsid w:val="4A9554FE"/>
    <w:multiLevelType w:val="hybridMultilevel"/>
    <w:lvl w:ilvl="0">
      <w:lvlJc w:val="left"/>
      <w:lvlText w:val="(%1)"/>
      <w:numFmt w:val="lowerRoman"/>
      <w:start w:val="2"/>
    </w:lvl>
  </w:abstractNum>
  <w:abstractNum w:abstractNumId="282">
    <w:nsid w:val="392EDBE4"/>
    <w:multiLevelType w:val="hybridMultilevel"/>
    <w:lvl w:ilvl="0">
      <w:lvlJc w:val="left"/>
      <w:lvlText w:val="%1."/>
      <w:numFmt w:val="decimal"/>
      <w:start w:val="1"/>
    </w:lvl>
    <w:lvl w:ilvl="1">
      <w:lvlJc w:val="left"/>
      <w:lvlText w:val="%2)"/>
      <w:numFmt w:val="lowerLetter"/>
      <w:start w:val="1"/>
    </w:lvl>
  </w:abstractNum>
  <w:abstractNum w:abstractNumId="283">
    <w:nsid w:val="3D1A2DD9"/>
    <w:multiLevelType w:val="hybridMultilevel"/>
    <w:lvl w:ilvl="0">
      <w:lvlJc w:val="left"/>
      <w:lvlText w:val="%1."/>
      <w:numFmt w:val="decimal"/>
      <w:start w:val="1"/>
    </w:lvl>
    <w:lvl w:ilvl="1">
      <w:lvlJc w:val="left"/>
      <w:lvlText w:val="%2)"/>
      <w:numFmt w:val="lowerLetter"/>
      <w:start w:val="1"/>
    </w:lvl>
  </w:abstractNum>
  <w:abstractNum w:abstractNumId="284">
    <w:nsid w:val="7F618F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2023-08-03T05:30:04Z</dcterms:created>
  <dcterms:modified xsi:type="dcterms:W3CDTF">2023-08-03T05:30:04Z</dcterms:modified>
</cp:coreProperties>
</file>