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comm-20230331.htm"/>
      <w:bookmarkStart w:id="1" w:name="kscomm20230331"/>
      <w:bookmarkEnd w:id="0"/>
      <w:bookmarkEnd w:id="1"/>
      <w:r>
        <w:rPr/>
        <w:t> </w:t>
      </w:r>
    </w:p>
    <w:p>
      <w:pPr>
        <w:pStyle w:val="TextBody"/>
        <w:pBdr>
          <w:bottom w:val="double" w:sz="6" w:space="1" w:color="000000"/>
        </w:pBdr>
        <w:spacing w:before="0" w:after="0"/>
        <w:jc w:val="left"/>
        <w:rPr/>
      </w:pPr>
      <w:r>
        <w:rPr/>
        <w:t> </w:t>
      </w:r>
    </w:p>
    <w:p>
      <w:pPr>
        <w:pStyle w:val="TextBody"/>
        <w:pBdr>
          <w:top w:val="double" w:sz="6" w:space="1" w:color="000000"/>
        </w:pBdr>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0"/>
        <w:jc w:val="center"/>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FORM 10-Q</w:t>
      </w:r>
    </w:p>
    <w:p>
      <w:pPr>
        <w:pStyle w:val="TextBody"/>
        <w:spacing w:before="0" w:after="0"/>
        <w:jc w:val="left"/>
        <w:rPr>
          <w:rFonts w:ascii="Times New Roman;serif" w:hAnsi="Times New Roman;serif"/>
          <w:b/>
          <w:sz w:val="20"/>
        </w:rPr>
      </w:pPr>
      <w:r>
        <w:rPr>
          <w:rFonts w:ascii="Times New Roman;serif" w:hAnsi="Times New Roman;serif"/>
          <w:b/>
          <w:sz w:val="20"/>
        </w:rPr>
        <w:t>(Mark One)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QUARTERLY REPORT PURSUANT TO SECTION 13 OR 15(d) OF THE SECURITIES EXCHANGE ACT OF 1934</w:t>
            </w:r>
          </w:p>
        </w:tc>
      </w:tr>
    </w:tbl>
    <w:p>
      <w:pPr>
        <w:pStyle w:val="TextBody"/>
        <w:spacing w:before="60" w:after="0"/>
        <w:jc w:val="center"/>
        <w:rPr>
          <w:rFonts w:ascii="Times New Roman" w:hAnsi="Times New Roman"/>
          <w:sz w:val="20"/>
        </w:rPr>
      </w:pPr>
      <w:r>
        <w:rPr>
          <w:rFonts w:ascii="Times New Roman;serif" w:hAnsi="Times New Roman;serif"/>
          <w:b/>
          <w:sz w:val="20"/>
        </w:rPr>
        <w:t>For the quarterly period ended March 31, 2023</w:t>
      </w:r>
      <w:r>
        <w:rPr>
          <w:rFonts w:ascii="Times New Roman;serif" w:hAnsi="Times New Roman;serif"/>
          <w:sz w:val="20"/>
        </w:rPr>
        <w:t xml:space="preserve"> </w:t>
      </w:r>
    </w:p>
    <w:p>
      <w:pPr>
        <w:pStyle w:val="TextBody"/>
        <w:spacing w:before="60" w:after="6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TRANSITION REPORT PURSUANT TO SECTION 13 OR 15(d) OF THE SECURITIES EXCHANGE ACT OF 1934</w:t>
            </w:r>
          </w:p>
        </w:tc>
      </w:tr>
    </w:tbl>
    <w:p>
      <w:pPr>
        <w:pStyle w:val="TextBody"/>
        <w:spacing w:before="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spacing w:before="100" w:after="0"/>
        <w:jc w:val="center"/>
        <w:rPr>
          <w:rFonts w:ascii="Times New Roman;serif" w:hAnsi="Times New Roman;serif"/>
          <w:b/>
          <w:sz w:val="20"/>
        </w:rPr>
      </w:pPr>
      <w:r>
        <w:rPr>
          <w:rFonts w:ascii="Times New Roman;serif" w:hAnsi="Times New Roman;serif"/>
          <w:b/>
          <w:sz w:val="20"/>
        </w:rPr>
        <w:t>Commission file number 001-36146</w:t>
      </w:r>
    </w:p>
    <w:p>
      <w:pPr>
        <w:pStyle w:val="TextBody"/>
        <w:pBdr>
          <w:bottom w:val="single" w:sz="4" w:space="1" w:color="000000"/>
        </w:pBdr>
        <w:spacing w:before="0" w:after="0"/>
        <w:jc w:val="center"/>
        <w:rPr/>
      </w:pPr>
      <w:r>
        <w:rPr/>
        <w:t> </w:t>
      </w:r>
    </w:p>
    <w:p>
      <w:pPr>
        <w:pStyle w:val="TextBody"/>
        <w:spacing w:before="0" w:after="0"/>
        <w:jc w:val="center"/>
        <w:rPr>
          <w:rFonts w:ascii="Times New Roman;serif" w:hAnsi="Times New Roman;serif"/>
          <w:b/>
          <w:sz w:val="44"/>
        </w:rPr>
      </w:pPr>
      <w:r>
        <w:rPr>
          <w:rFonts w:ascii="Times New Roman;serif" w:hAnsi="Times New Roman;serif"/>
          <w:b/>
          <w:sz w:val="44"/>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0" w:after="0"/>
        <w:jc w:val="center"/>
        <w:rPr/>
      </w:pPr>
      <w:r>
        <w:rPr/>
        <w:t> </w:t>
      </w:r>
    </w:p>
    <w:tbl>
      <w:tblPr>
        <w:tblW w:w="3857" w:type="dxa"/>
        <w:jc w:val="left"/>
        <w:tblInd w:w="0" w:type="dxa"/>
        <w:tblCellMar>
          <w:top w:w="28" w:type="dxa"/>
          <w:left w:w="28" w:type="dxa"/>
          <w:bottom w:w="28" w:type="dxa"/>
          <w:right w:w="28" w:type="dxa"/>
        </w:tblCellMar>
      </w:tblPr>
      <w:tblGrid>
        <w:gridCol w:w="2371"/>
        <w:gridCol w:w="1486"/>
      </w:tblGrid>
      <w:tr>
        <w:trPr/>
        <w:tc>
          <w:tcPr>
            <w:tcW w:w="2371"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37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27-4332098</w:t>
            </w:r>
          </w:p>
        </w:tc>
      </w:tr>
      <w:tr>
        <w:trPr/>
        <w:tc>
          <w:tcPr>
            <w:tcW w:w="237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spacing w:before="0" w:after="15"/>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spacing w:before="0" w:after="15"/>
              <w:ind w:left="0" w:right="0" w:hanging="0"/>
              <w:jc w:val="center"/>
              <w:rPr>
                <w:rFonts w:ascii="Times New Roman;serif" w:hAnsi="Times New Roman;serif"/>
                <w:b/>
                <w:sz w:val="16"/>
              </w:rPr>
            </w:pPr>
            <w:r>
              <w:rPr>
                <w:rFonts w:ascii="Times New Roman;serif" w:hAnsi="Times New Roman;serif"/>
                <w:b/>
                <w:sz w:val="16"/>
              </w:rPr>
              <w:t>Identification No.)</w:t>
            </w:r>
          </w:p>
        </w:tc>
      </w:tr>
    </w:tbl>
    <w:p>
      <w:pPr>
        <w:pStyle w:val="TextBody"/>
        <w:spacing w:before="0" w:after="0"/>
        <w:jc w:val="center"/>
        <w:rPr>
          <w:rFonts w:ascii="Times New Roman;serif" w:hAnsi="Times New Roman;serif"/>
          <w:b/>
          <w:sz w:val="20"/>
        </w:rPr>
      </w:pPr>
      <w:r>
        <w:rPr>
          <w:rFonts w:ascii="Times New Roman;serif" w:hAnsi="Times New Roman;serif"/>
          <w:b/>
          <w:sz w:val="20"/>
        </w:rPr>
        <w:t>1100 CommScope Place, SE</w:t>
      </w:r>
    </w:p>
    <w:p>
      <w:pPr>
        <w:pStyle w:val="TextBody"/>
        <w:spacing w:before="0" w:after="0"/>
        <w:jc w:val="center"/>
        <w:rPr>
          <w:rFonts w:ascii="Times New Roman;serif" w:hAnsi="Times New Roman;serif"/>
          <w:b/>
          <w:sz w:val="20"/>
        </w:rPr>
      </w:pPr>
      <w:r>
        <w:rPr>
          <w:rFonts w:ascii="Times New Roman;serif" w:hAnsi="Times New Roman;serif"/>
          <w:b/>
          <w:sz w:val="20"/>
        </w:rPr>
        <w:t>Hickory, North Carolina</w:t>
      </w:r>
    </w:p>
    <w:p>
      <w:pPr>
        <w:pStyle w:val="TextBody"/>
        <w:spacing w:before="0" w:after="0"/>
        <w:jc w:val="center"/>
        <w:rPr>
          <w:rFonts w:ascii="Times New Roman;serif" w:hAnsi="Times New Roman;serif"/>
          <w:b/>
          <w:sz w:val="16"/>
        </w:rPr>
      </w:pPr>
      <w:r>
        <w:rPr>
          <w:rFonts w:ascii="Times New Roman;serif" w:hAnsi="Times New Roman;serif"/>
          <w:b/>
          <w:sz w:val="16"/>
        </w:rPr>
        <w:t>(Address of principal executive offices)</w:t>
      </w:r>
    </w:p>
    <w:p>
      <w:pPr>
        <w:pStyle w:val="TextBody"/>
        <w:spacing w:before="0" w:after="0"/>
        <w:jc w:val="center"/>
        <w:rPr>
          <w:rFonts w:ascii="Times New Roman;serif" w:hAnsi="Times New Roman;serif"/>
          <w:b/>
          <w:sz w:val="20"/>
        </w:rPr>
      </w:pPr>
      <w:r>
        <w:rPr>
          <w:rFonts w:ascii="Times New Roman;serif" w:hAnsi="Times New Roman;serif"/>
          <w:b/>
          <w:sz w:val="20"/>
        </w:rPr>
        <w:t>28602</w:t>
      </w:r>
    </w:p>
    <w:p>
      <w:pPr>
        <w:pStyle w:val="TextBody"/>
        <w:spacing w:before="0" w:after="0"/>
        <w:jc w:val="center"/>
        <w:rPr>
          <w:rFonts w:ascii="Times New Roman;serif" w:hAnsi="Times New Roman;serif"/>
          <w:b/>
          <w:sz w:val="16"/>
        </w:rPr>
      </w:pPr>
      <w:r>
        <w:rPr>
          <w:rFonts w:ascii="Times New Roman;serif" w:hAnsi="Times New Roman;serif"/>
          <w:b/>
          <w:sz w:val="16"/>
        </w:rPr>
        <w:t>(Zip Code)</w:t>
      </w:r>
    </w:p>
    <w:p>
      <w:pPr>
        <w:pStyle w:val="TextBody"/>
        <w:spacing w:before="0" w:after="0"/>
        <w:jc w:val="center"/>
        <w:rPr>
          <w:rFonts w:ascii="Times New Roman;serif" w:hAnsi="Times New Roman;serif"/>
          <w:b/>
          <w:sz w:val="20"/>
        </w:rPr>
      </w:pPr>
      <w:r>
        <w:rPr>
          <w:rFonts w:ascii="Times New Roman;serif" w:hAnsi="Times New Roman;serif"/>
          <w:b/>
          <w:sz w:val="20"/>
        </w:rPr>
        <w:t>(828) 324-2200</w:t>
      </w:r>
    </w:p>
    <w:p>
      <w:pPr>
        <w:pStyle w:val="TextBody"/>
        <w:spacing w:before="0" w:after="0"/>
        <w:jc w:val="center"/>
        <w:rPr>
          <w:rFonts w:ascii="Times New Roman;serif" w:hAnsi="Times New Roman;serif"/>
          <w:b/>
          <w:sz w:val="16"/>
        </w:rPr>
      </w:pPr>
      <w:r>
        <w:rPr>
          <w:rFonts w:ascii="Times New Roman;serif" w:hAnsi="Times New Roman;serif"/>
          <w:b/>
          <w:sz w:val="16"/>
        </w:rPr>
        <w:t>(Registrant’s telephone number, including area code)</w:t>
      </w:r>
    </w:p>
    <w:p>
      <w:pPr>
        <w:pStyle w:val="TextBody"/>
        <w:pBdr>
          <w:bottom w:val="single" w:sz="4" w:space="1" w:color="000000"/>
        </w:pBdr>
        <w:spacing w:before="0" w:after="140"/>
        <w:jc w:val="center"/>
        <w:rPr/>
      </w:pPr>
      <w:r>
        <w:rPr/>
        <w:t> </w:t>
      </w:r>
    </w:p>
    <w:p>
      <w:pPr>
        <w:pStyle w:val="TextBody"/>
        <w:spacing w:before="6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tbl>
      <w:tblPr>
        <w:tblW w:w="7540" w:type="dxa"/>
        <w:jc w:val="left"/>
        <w:tblInd w:w="0" w:type="dxa"/>
        <w:tblCellMar>
          <w:top w:w="28" w:type="dxa"/>
          <w:left w:w="28" w:type="dxa"/>
          <w:bottom w:w="28" w:type="dxa"/>
          <w:right w:w="28" w:type="dxa"/>
        </w:tblCellMar>
      </w:tblPr>
      <w:tblGrid>
        <w:gridCol w:w="3106"/>
        <w:gridCol w:w="146"/>
        <w:gridCol w:w="826"/>
        <w:gridCol w:w="146"/>
        <w:gridCol w:w="3316"/>
      </w:tblGrid>
      <w:tr>
        <w:trPr/>
        <w:tc>
          <w:tcPr>
            <w:tcW w:w="31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1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Common Stock, par value $0.01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w:t>
            </w:r>
          </w:p>
        </w:tc>
      </w:tr>
    </w:tbl>
    <w:p>
      <w:pPr>
        <w:pStyle w:val="TextBody"/>
        <w:spacing w:before="10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p>
    <w:p>
      <w:pPr>
        <w:pStyle w:val="TextBody"/>
        <w:spacing w:before="10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No ☐</w:t>
      </w:r>
    </w:p>
    <w:p>
      <w:pPr>
        <w:pStyle w:val="TextBody"/>
        <w:spacing w:before="100" w:after="120"/>
        <w:jc w:val="left"/>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82" w:type="dxa"/>
        <w:jc w:val="left"/>
        <w:tblInd w:w="0" w:type="dxa"/>
        <w:tblCellMar>
          <w:top w:w="28" w:type="dxa"/>
          <w:left w:w="28" w:type="dxa"/>
          <w:bottom w:w="28" w:type="dxa"/>
          <w:right w:w="28" w:type="dxa"/>
        </w:tblCellMar>
      </w:tblPr>
      <w:tblGrid>
        <w:gridCol w:w="1666"/>
        <w:gridCol w:w="146"/>
        <w:gridCol w:w="376"/>
        <w:gridCol w:w="146"/>
        <w:gridCol w:w="2041"/>
        <w:gridCol w:w="14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16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8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16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8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No ☒</w:t>
      </w:r>
    </w:p>
    <w:p>
      <w:pPr>
        <w:pStyle w:val="TextBody"/>
        <w:pBdr>
          <w:bottom w:val="double" w:sz="6" w:space="1" w:color="000000"/>
        </w:pBdr>
        <w:spacing w:before="80" w:after="0"/>
        <w:jc w:val="left"/>
        <w:rPr>
          <w:rFonts w:ascii="Times New Roman" w:hAnsi="Times New Roman"/>
          <w:sz w:val="20"/>
        </w:rPr>
      </w:pPr>
      <w:r>
        <w:rPr>
          <w:rFonts w:ascii="Times New Roman;serif" w:hAnsi="Times New Roman;serif"/>
          <w:b w:val="false"/>
          <w:sz w:val="20"/>
        </w:rPr>
        <w:t>As of April</w:t>
      </w:r>
      <w:r>
        <w:rPr>
          <w:rFonts w:ascii="Times New Roman" w:hAnsi="Times New Roman"/>
          <w:sz w:val="20"/>
        </w:rPr>
        <w:t xml:space="preserve"> </w:t>
      </w:r>
      <w:r>
        <w:rPr>
          <w:rFonts w:ascii="Times New Roman;serif" w:hAnsi="Times New Roman;serif"/>
          <w:b w:val="false"/>
          <w:sz w:val="20"/>
        </w:rPr>
        <w:t>21, 2023, there were 209,789,841</w:t>
      </w:r>
      <w:r>
        <w:rPr>
          <w:rFonts w:ascii="Times New Roman" w:hAnsi="Times New Roman"/>
          <w:sz w:val="20"/>
        </w:rPr>
        <w:t xml:space="preserve"> </w:t>
      </w:r>
      <w:r>
        <w:rPr>
          <w:rFonts w:ascii="Times New Roman;serif" w:hAnsi="Times New Roman;serif"/>
          <w:b w:val="false"/>
          <w:sz w:val="20"/>
        </w:rPr>
        <w:t>shares of Common Stock outstanding.</w:t>
      </w:r>
    </w:p>
    <w:p>
      <w:pPr>
        <w:pStyle w:val="TextBody"/>
        <w:spacing w:before="240" w:after="0"/>
        <w:jc w:val="center"/>
        <w:rPr/>
      </w:pPr>
      <w:r>
        <w:rPr/>
        <w:t>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Form 10-Q</w:t>
      </w:r>
    </w:p>
    <w:p>
      <w:pPr>
        <w:pStyle w:val="TextBody"/>
        <w:spacing w:before="0" w:after="0"/>
        <w:jc w:val="center"/>
        <w:rPr>
          <w:rFonts w:ascii="Times New Roman;serif" w:hAnsi="Times New Roman;serif"/>
          <w:b/>
          <w:sz w:val="20"/>
        </w:rPr>
      </w:pPr>
      <w:r>
        <w:rPr>
          <w:rFonts w:ascii="Times New Roman;serif" w:hAnsi="Times New Roman;serif"/>
          <w:b/>
          <w:sz w:val="20"/>
        </w:rPr>
        <w:t>March 31, 2023</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9758" w:type="dxa"/>
        <w:jc w:val="left"/>
        <w:tblInd w:w="0" w:type="dxa"/>
        <w:tblCellMar>
          <w:top w:w="28" w:type="dxa"/>
          <w:left w:w="28" w:type="dxa"/>
          <w:bottom w:w="28" w:type="dxa"/>
          <w:right w:w="28" w:type="dxa"/>
        </w:tblCellMar>
      </w:tblPr>
      <w:tblGrid>
        <w:gridCol w:w="7981"/>
        <w:gridCol w:w="146"/>
        <w:gridCol w:w="1631"/>
      </w:tblGrid>
      <w:tr>
        <w:trPr/>
        <w:tc>
          <w:tcPr>
            <w:tcW w:w="79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r>
      <w:tr>
        <w:trPr/>
        <w:tc>
          <w:tcPr>
            <w:tcW w:w="7981" w:type="dxa"/>
            <w:tcBorders/>
            <w:shd w:fill="auto" w:val="clear"/>
            <w:vAlign w:val="center"/>
          </w:tcPr>
          <w:p>
            <w:pPr>
              <w:pStyle w:val="TableContents"/>
              <w:spacing w:before="0" w:after="0"/>
              <w:ind w:left="0" w:right="0" w:hanging="0"/>
              <w:jc w:val="left"/>
              <w:rPr/>
            </w:pPr>
            <w:hyperlink w:anchor="part_1_financial_information">
              <w:r>
                <w:rPr>
                  <w:rStyle w:val="InternetLink"/>
                  <w:rFonts w:ascii="Times New Roman;serif" w:hAnsi="Times New Roman;serif"/>
                  <w:b w:val="false"/>
                  <w:sz w:val="20"/>
                  <w:u w:val="single"/>
                </w:rPr>
                <w:t>Part I—Financial Information (Unaudited):</w:t>
              </w:r>
            </w:hyperlink>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firstLine="480"/>
              <w:jc w:val="right"/>
              <w:rPr/>
            </w:pPr>
            <w:r>
              <w:rPr/>
              <w:t> </w:t>
            </w:r>
          </w:p>
        </w:tc>
      </w:tr>
      <w:tr>
        <w:trPr/>
        <w:tc>
          <w:tcPr>
            <w:tcW w:w="7981" w:type="dxa"/>
            <w:tcBorders/>
            <w:shd w:fill="auto" w:val="clear"/>
            <w:vAlign w:val="center"/>
          </w:tcPr>
          <w:p>
            <w:pPr>
              <w:pStyle w:val="TableContents"/>
              <w:spacing w:before="0" w:after="0"/>
              <w:ind w:left="480" w:right="0" w:hanging="0"/>
              <w:jc w:val="left"/>
              <w:rPr/>
            </w:pPr>
            <w:hyperlink w:anchor="item_1_condensed_consolidated_fs">
              <w:r>
                <w:rPr>
                  <w:rStyle w:val="InternetLink"/>
                  <w:rFonts w:ascii="Times New Roman;serif" w:hAnsi="Times New Roman;serif"/>
                  <w:b w:val="false"/>
                  <w:sz w:val="20"/>
                  <w:u w:val="single"/>
                </w:rPr>
                <w:t>Item 1. Condensed Consolidated Financial Statements:</w:t>
              </w:r>
            </w:hyperlink>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firstLine="1440"/>
              <w:jc w:val="right"/>
              <w:rPr/>
            </w:pPr>
            <w:r>
              <w:rPr/>
              <w:t> </w:t>
            </w:r>
          </w:p>
        </w:tc>
      </w:tr>
      <w:tr>
        <w:trPr/>
        <w:tc>
          <w:tcPr>
            <w:tcW w:w="7981" w:type="dxa"/>
            <w:tcBorders/>
            <w:shd w:fill="auto" w:val="clear"/>
            <w:vAlign w:val="center"/>
          </w:tcPr>
          <w:p>
            <w:pPr>
              <w:pStyle w:val="TableContents"/>
              <w:spacing w:before="0" w:after="0"/>
              <w:ind w:left="1440" w:right="0" w:hanging="0"/>
              <w:jc w:val="left"/>
              <w:rPr/>
            </w:pPr>
            <w:hyperlink w:anchor="condensed_consolidated_stmt_of_oper">
              <w:r>
                <w:rPr>
                  <w:rStyle w:val="InternetLink"/>
                  <w:rFonts w:ascii="Times New Roman;serif" w:hAnsi="Times New Roman;serif"/>
                  <w:b w:val="false"/>
                  <w:sz w:val="20"/>
                  <w:u w:val="single"/>
                </w:rPr>
                <w:t>Condensed Consolidated Statements of Operations</w:t>
              </w:r>
            </w:hyperlink>
            <w:r>
              <w:rPr>
                <w:rFonts w:ascii="Times New Roman" w:hAnsi="Times New Roman"/>
                <w:sz w:val="20"/>
              </w:rPr>
              <w:t xml:space="preserve"> </w:t>
            </w:r>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firstLine="1440"/>
              <w:jc w:val="right"/>
              <w:rPr/>
            </w:pPr>
            <w:r>
              <w:rPr/>
              <w:t> </w:t>
            </w:r>
          </w:p>
        </w:tc>
      </w:tr>
      <w:tr>
        <w:trPr/>
        <w:tc>
          <w:tcPr>
            <w:tcW w:w="7981" w:type="dxa"/>
            <w:tcBorders/>
            <w:shd w:fill="auto" w:val="clear"/>
            <w:vAlign w:val="center"/>
          </w:tcPr>
          <w:p>
            <w:pPr>
              <w:pStyle w:val="TableContents"/>
              <w:spacing w:before="0" w:after="0"/>
              <w:ind w:left="1440" w:right="0" w:hanging="0"/>
              <w:jc w:val="left"/>
              <w:rPr/>
            </w:pPr>
            <w:hyperlink w:anchor="condensed_consolidated_stmt_of_comp_inc">
              <w:r>
                <w:rPr>
                  <w:rStyle w:val="InternetLink"/>
                  <w:rFonts w:ascii="Times New Roman;serif" w:hAnsi="Times New Roman;serif"/>
                  <w:b w:val="false"/>
                  <w:sz w:val="20"/>
                  <w:u w:val="single"/>
                </w:rPr>
                <w:t>Condensed Consolidated Statements of Comprehensive Income (Loss)</w:t>
              </w:r>
            </w:hyperlink>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firstLine="1440"/>
              <w:jc w:val="right"/>
              <w:rPr/>
            </w:pPr>
            <w:r>
              <w:rPr/>
              <w:t> </w:t>
            </w:r>
          </w:p>
        </w:tc>
      </w:tr>
      <w:tr>
        <w:trPr/>
        <w:tc>
          <w:tcPr>
            <w:tcW w:w="7981" w:type="dxa"/>
            <w:tcBorders/>
            <w:shd w:fill="auto" w:val="clear"/>
            <w:vAlign w:val="center"/>
          </w:tcPr>
          <w:p>
            <w:pPr>
              <w:pStyle w:val="TableContents"/>
              <w:spacing w:before="0" w:after="0"/>
              <w:ind w:left="1440" w:right="0" w:hanging="0"/>
              <w:jc w:val="left"/>
              <w:rPr/>
            </w:pPr>
            <w:hyperlink w:anchor="item_1_condensed_consolidated_bs">
              <w:r>
                <w:rPr>
                  <w:rStyle w:val="InternetLink"/>
                  <w:rFonts w:ascii="Times New Roman;serif" w:hAnsi="Times New Roman;serif"/>
                  <w:b w:val="false"/>
                  <w:sz w:val="20"/>
                  <w:u w:val="single"/>
                </w:rPr>
                <w:t>Condensed Consolidated Balance Sheets</w:t>
              </w:r>
            </w:hyperlink>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firstLine="1440"/>
              <w:jc w:val="right"/>
              <w:rPr/>
            </w:pPr>
            <w:r>
              <w:rPr/>
              <w:t> </w:t>
            </w:r>
          </w:p>
        </w:tc>
      </w:tr>
      <w:tr>
        <w:trPr/>
        <w:tc>
          <w:tcPr>
            <w:tcW w:w="7981" w:type="dxa"/>
            <w:tcBorders/>
            <w:shd w:fill="auto" w:val="clear"/>
            <w:vAlign w:val="center"/>
          </w:tcPr>
          <w:p>
            <w:pPr>
              <w:pStyle w:val="TableContents"/>
              <w:spacing w:before="0" w:after="0"/>
              <w:ind w:left="1440" w:right="0" w:hanging="0"/>
              <w:jc w:val="left"/>
              <w:rPr/>
            </w:pPr>
            <w:hyperlink w:anchor="condensed_consolidated_cf">
              <w:r>
                <w:rPr>
                  <w:rStyle w:val="InternetLink"/>
                  <w:rFonts w:ascii="Times New Roman;serif" w:hAnsi="Times New Roman;serif"/>
                  <w:b w:val="false"/>
                  <w:sz w:val="20"/>
                  <w:u w:val="single"/>
                </w:rPr>
                <w:t>Condensed Consolidated Statements of Cash Flows</w:t>
              </w:r>
            </w:hyperlink>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firstLine="1440"/>
              <w:jc w:val="right"/>
              <w:rPr/>
            </w:pPr>
            <w:r>
              <w:rPr/>
              <w:t> </w:t>
            </w:r>
          </w:p>
        </w:tc>
      </w:tr>
      <w:tr>
        <w:trPr/>
        <w:tc>
          <w:tcPr>
            <w:tcW w:w="7981" w:type="dxa"/>
            <w:tcBorders/>
            <w:shd w:fill="auto" w:val="clear"/>
            <w:vAlign w:val="center"/>
          </w:tcPr>
          <w:p>
            <w:pPr>
              <w:pStyle w:val="TableContents"/>
              <w:spacing w:before="0" w:after="0"/>
              <w:ind w:left="1440" w:right="0" w:hanging="0"/>
              <w:jc w:val="left"/>
              <w:rPr/>
            </w:pPr>
            <w:hyperlink w:anchor="condensed_consolidated_stmt_stk_equity">
              <w:r>
                <w:rPr>
                  <w:rStyle w:val="InternetLink"/>
                  <w:rFonts w:ascii="Times New Roman;serif" w:hAnsi="Times New Roman;serif"/>
                  <w:b w:val="false"/>
                  <w:sz w:val="20"/>
                  <w:u w:val="single"/>
                </w:rPr>
                <w:t>Condensed Consolidated Statements of Stockholders’ Deficit</w:t>
              </w:r>
            </w:hyperlink>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firstLine="1440"/>
              <w:jc w:val="right"/>
              <w:rPr/>
            </w:pPr>
            <w:r>
              <w:rPr/>
              <w:t> </w:t>
            </w:r>
          </w:p>
        </w:tc>
      </w:tr>
      <w:tr>
        <w:trPr/>
        <w:tc>
          <w:tcPr>
            <w:tcW w:w="7981" w:type="dxa"/>
            <w:tcBorders/>
            <w:shd w:fill="auto" w:val="clear"/>
            <w:vAlign w:val="center"/>
          </w:tcPr>
          <w:p>
            <w:pPr>
              <w:pStyle w:val="TableContents"/>
              <w:spacing w:before="0" w:after="0"/>
              <w:ind w:left="1440" w:right="0" w:hanging="0"/>
              <w:jc w:val="left"/>
              <w:rPr/>
            </w:pPr>
            <w:hyperlink w:anchor="notes_to_unaudited_condensed_consolidate">
              <w:r>
                <w:rPr>
                  <w:rStyle w:val="InternetLink"/>
                  <w:rFonts w:ascii="Times New Roman;serif" w:hAnsi="Times New Roman;serif"/>
                  <w:b w:val="false"/>
                  <w:sz w:val="20"/>
                  <w:u w:val="single"/>
                </w:rPr>
                <w:t>Notes to Unaudited Condensed Consolidated Financial Statements</w:t>
              </w:r>
            </w:hyperlink>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firstLine="480"/>
              <w:jc w:val="right"/>
              <w:rPr/>
            </w:pPr>
            <w:r>
              <w:rPr/>
              <w:t> </w:t>
            </w:r>
          </w:p>
        </w:tc>
      </w:tr>
      <w:tr>
        <w:trPr/>
        <w:tc>
          <w:tcPr>
            <w:tcW w:w="7981" w:type="dxa"/>
            <w:tcBorders/>
            <w:shd w:fill="auto" w:val="clear"/>
            <w:vAlign w:val="center"/>
          </w:tcPr>
          <w:p>
            <w:pPr>
              <w:pStyle w:val="TableContents"/>
              <w:spacing w:before="0" w:after="0"/>
              <w:ind w:left="480" w:right="0" w:hanging="0"/>
              <w:jc w:val="left"/>
              <w:rPr/>
            </w:pPr>
            <w:hyperlink w:anchor="item_2_managements_discussion_analysis_f">
              <w:r>
                <w:rPr>
                  <w:rStyle w:val="InternetLink"/>
                  <w:rFonts w:ascii="Times New Roman;serif" w:hAnsi="Times New Roman;serif"/>
                  <w:b w:val="false"/>
                  <w:sz w:val="20"/>
                  <w:u w:val="single"/>
                </w:rPr>
                <w:t>Item 2. Management’s Discussion and Analysis of Financial Condition and Results of Operations</w:t>
              </w:r>
            </w:hyperlink>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firstLine="480"/>
              <w:jc w:val="right"/>
              <w:rPr/>
            </w:pPr>
            <w:r>
              <w:rPr/>
              <w:t> </w:t>
            </w:r>
          </w:p>
        </w:tc>
      </w:tr>
      <w:tr>
        <w:trPr/>
        <w:tc>
          <w:tcPr>
            <w:tcW w:w="7981" w:type="dxa"/>
            <w:tcBorders/>
            <w:shd w:fill="auto" w:val="clear"/>
            <w:vAlign w:val="center"/>
          </w:tcPr>
          <w:p>
            <w:pPr>
              <w:pStyle w:val="TableContents"/>
              <w:spacing w:before="0" w:after="0"/>
              <w:ind w:left="480" w:right="0" w:hanging="0"/>
              <w:jc w:val="left"/>
              <w:rPr/>
            </w:pPr>
            <w:hyperlink w:anchor="item_3_quantitative_qualitative_disclosu">
              <w:r>
                <w:rPr>
                  <w:rStyle w:val="InternetLink"/>
                  <w:rFonts w:ascii="Times New Roman;serif" w:hAnsi="Times New Roman;serif"/>
                  <w:b w:val="false"/>
                  <w:sz w:val="20"/>
                  <w:u w:val="single"/>
                </w:rPr>
                <w:t>Item 3. Quantitative and Qualitative Disclosures About Market Risk</w:t>
              </w:r>
            </w:hyperlink>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firstLine="480"/>
              <w:jc w:val="right"/>
              <w:rPr/>
            </w:pPr>
            <w:r>
              <w:rPr/>
              <w:t> </w:t>
            </w:r>
          </w:p>
        </w:tc>
      </w:tr>
      <w:tr>
        <w:trPr/>
        <w:tc>
          <w:tcPr>
            <w:tcW w:w="7981" w:type="dxa"/>
            <w:tcBorders/>
            <w:shd w:fill="auto" w:val="clear"/>
            <w:vAlign w:val="center"/>
          </w:tcPr>
          <w:p>
            <w:pPr>
              <w:pStyle w:val="TableContents"/>
              <w:spacing w:before="0" w:after="0"/>
              <w:ind w:left="480" w:right="0" w:hanging="0"/>
              <w:jc w:val="left"/>
              <w:rPr/>
            </w:pPr>
            <w:hyperlink w:anchor="item_4_controls_procedures_to_be_updated">
              <w:r>
                <w:rPr>
                  <w:rStyle w:val="InternetLink"/>
                  <w:rFonts w:ascii="Times New Roman;serif" w:hAnsi="Times New Roman;serif"/>
                  <w:b w:val="false"/>
                  <w:sz w:val="20"/>
                  <w:u w:val="single"/>
                </w:rPr>
                <w:t>Item 4. Controls and Procedures</w:t>
              </w:r>
            </w:hyperlink>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36</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hanging="0"/>
              <w:jc w:val="right"/>
              <w:rPr/>
            </w:pPr>
            <w:r>
              <w:rPr/>
              <w:t> </w:t>
            </w:r>
          </w:p>
        </w:tc>
      </w:tr>
      <w:tr>
        <w:trPr/>
        <w:tc>
          <w:tcPr>
            <w:tcW w:w="7981" w:type="dxa"/>
            <w:tcBorders/>
            <w:shd w:fill="auto" w:val="clear"/>
            <w:vAlign w:val="center"/>
          </w:tcPr>
          <w:p>
            <w:pPr>
              <w:pStyle w:val="TableContents"/>
              <w:spacing w:before="0" w:after="0"/>
              <w:ind w:left="0" w:right="0" w:hanging="0"/>
              <w:jc w:val="left"/>
              <w:rPr/>
            </w:pPr>
            <w:hyperlink w:anchor="part_iior_information">
              <w:r>
                <w:rPr>
                  <w:rStyle w:val="InternetLink"/>
                  <w:rFonts w:ascii="Times New Roman;serif" w:hAnsi="Times New Roman;serif"/>
                  <w:b w:val="false"/>
                  <w:sz w:val="20"/>
                  <w:u w:val="single"/>
                </w:rPr>
                <w:t>Part II—Other Information:</w:t>
              </w:r>
            </w:hyperlink>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firstLine="480"/>
              <w:jc w:val="right"/>
              <w:rPr/>
            </w:pPr>
            <w:r>
              <w:rPr/>
              <w:t> </w:t>
            </w:r>
          </w:p>
        </w:tc>
      </w:tr>
      <w:tr>
        <w:trPr/>
        <w:tc>
          <w:tcPr>
            <w:tcW w:w="7981" w:type="dxa"/>
            <w:tcBorders/>
            <w:shd w:fill="auto" w:val="clear"/>
            <w:vAlign w:val="center"/>
          </w:tcPr>
          <w:p>
            <w:pPr>
              <w:pStyle w:val="TableContents"/>
              <w:spacing w:before="0" w:after="0"/>
              <w:ind w:left="480" w:right="0" w:hanging="0"/>
              <w:jc w:val="left"/>
              <w:rPr/>
            </w:pPr>
            <w:hyperlink w:anchor="item_1_legal_proceedings">
              <w:r>
                <w:rPr>
                  <w:rStyle w:val="InternetLink"/>
                  <w:rFonts w:ascii="Times New Roman;serif" w:hAnsi="Times New Roman;serif"/>
                  <w:b w:val="false"/>
                  <w:sz w:val="20"/>
                  <w:u w:val="single"/>
                </w:rPr>
                <w:t>Item 1. Legal Proceedings</w:t>
              </w:r>
            </w:hyperlink>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firstLine="480"/>
              <w:jc w:val="right"/>
              <w:rPr/>
            </w:pPr>
            <w:r>
              <w:rPr/>
              <w:t> </w:t>
            </w:r>
          </w:p>
        </w:tc>
      </w:tr>
      <w:tr>
        <w:trPr/>
        <w:tc>
          <w:tcPr>
            <w:tcW w:w="7981" w:type="dxa"/>
            <w:tcBorders/>
            <w:shd w:fill="auto" w:val="clear"/>
            <w:vAlign w:val="center"/>
          </w:tcPr>
          <w:p>
            <w:pPr>
              <w:pStyle w:val="TableContents"/>
              <w:spacing w:before="0" w:after="0"/>
              <w:ind w:left="480" w:right="0" w:hanging="0"/>
              <w:jc w:val="left"/>
              <w:rPr/>
            </w:pPr>
            <w:hyperlink w:anchor="item_1a_risk_factors">
              <w:r>
                <w:rPr>
                  <w:rStyle w:val="InternetLink"/>
                  <w:rFonts w:ascii="Times New Roman;serif" w:hAnsi="Times New Roman;serif"/>
                  <w:b w:val="false"/>
                  <w:sz w:val="20"/>
                  <w:u w:val="single"/>
                </w:rPr>
                <w:t>Item 1A. Risk Factors</w:t>
              </w:r>
            </w:hyperlink>
            <w:r>
              <w:rPr>
                <w:rFonts w:ascii="Times New Roman" w:hAnsi="Times New Roman"/>
                <w:sz w:val="20"/>
              </w:rPr>
              <w:t xml:space="preserve"> </w:t>
            </w:r>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firstLine="480"/>
              <w:jc w:val="right"/>
              <w:rPr/>
            </w:pPr>
            <w:r>
              <w:rPr/>
              <w:t> </w:t>
            </w:r>
          </w:p>
        </w:tc>
      </w:tr>
      <w:tr>
        <w:trPr/>
        <w:tc>
          <w:tcPr>
            <w:tcW w:w="7981" w:type="dxa"/>
            <w:tcBorders/>
            <w:shd w:fill="auto" w:val="clear"/>
            <w:vAlign w:val="center"/>
          </w:tcPr>
          <w:p>
            <w:pPr>
              <w:pStyle w:val="TableContents"/>
              <w:spacing w:before="0" w:after="0"/>
              <w:ind w:left="480" w:right="0" w:hanging="0"/>
              <w:jc w:val="left"/>
              <w:rPr/>
            </w:pPr>
            <w:hyperlink w:anchor="item_2_unregistered_sales_equity_securit">
              <w:r>
                <w:rPr>
                  <w:rStyle w:val="InternetLink"/>
                  <w:rFonts w:ascii="Times New Roman;serif" w:hAnsi="Times New Roman;serif"/>
                  <w:b w:val="false"/>
                  <w:sz w:val="20"/>
                  <w:u w:val="single"/>
                </w:rPr>
                <w:t>Item 2. Unregistered Sales of Equity Securities and Use of Proceeds</w:t>
              </w:r>
            </w:hyperlink>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vAlign w:val="center"/>
          </w:tcPr>
          <w:p>
            <w:pPr>
              <w:pStyle w:val="TableContents"/>
              <w:spacing w:before="0" w:after="15"/>
              <w:ind w:left="0" w:right="0" w:firstLine="480"/>
              <w:jc w:val="right"/>
              <w:rPr>
                <w:rFonts w:ascii="Times New Roman;serif" w:hAnsi="Times New Roman;serif"/>
                <w:b w:val="false"/>
                <w:sz w:val="20"/>
              </w:rPr>
            </w:pPr>
            <w:r>
              <w:rPr>
                <w:rFonts w:ascii="Times New Roman;serif" w:hAnsi="Times New Roman;serif"/>
                <w:b w:val="false"/>
                <w:sz w:val="20"/>
              </w:rPr>
              <w:t>37</w:t>
            </w:r>
          </w:p>
        </w:tc>
      </w:tr>
      <w:tr>
        <w:trPr/>
        <w:tc>
          <w:tcPr>
            <w:tcW w:w="7981" w:type="dxa"/>
            <w:tcBorders/>
            <w:shd w:fill="auto" w:val="clear"/>
            <w:vAlign w:val="center"/>
          </w:tcPr>
          <w:p>
            <w:pPr>
              <w:pStyle w:val="TableContents"/>
              <w:spacing w:before="0" w:after="0"/>
              <w:ind w:left="480" w:right="0" w:hanging="0"/>
              <w:jc w:val="left"/>
              <w:rPr/>
            </w:pPr>
            <w:r>
              <w:rPr/>
              <w:t> </w:t>
            </w:r>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vAlign w:val="center"/>
          </w:tcPr>
          <w:p>
            <w:pPr>
              <w:pStyle w:val="TableContents"/>
              <w:spacing w:before="0" w:after="15"/>
              <w:ind w:left="0" w:right="0" w:firstLine="480"/>
              <w:jc w:val="right"/>
              <w:rPr/>
            </w:pPr>
            <w:r>
              <w:rPr/>
              <w:t> </w:t>
            </w:r>
          </w:p>
        </w:tc>
      </w:tr>
      <w:tr>
        <w:trPr/>
        <w:tc>
          <w:tcPr>
            <w:tcW w:w="7981" w:type="dxa"/>
            <w:tcBorders/>
            <w:shd w:fill="auto" w:val="clear"/>
            <w:vAlign w:val="center"/>
          </w:tcPr>
          <w:p>
            <w:pPr>
              <w:pStyle w:val="TableContents"/>
              <w:spacing w:before="0" w:after="0"/>
              <w:ind w:left="480" w:right="0" w:hanging="0"/>
              <w:jc w:val="left"/>
              <w:rPr/>
            </w:pPr>
            <w:hyperlink w:anchor="item_3_defaults_upon_senior_securities">
              <w:r>
                <w:rPr>
                  <w:rStyle w:val="InternetLink"/>
                  <w:rFonts w:ascii="Times New Roman;serif" w:hAnsi="Times New Roman;serif"/>
                  <w:b w:val="false"/>
                  <w:sz w:val="20"/>
                  <w:u w:val="single"/>
                </w:rPr>
                <w:t>Item 3. Defaults Upon Senior Securities</w:t>
              </w:r>
            </w:hyperlink>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firstLine="480"/>
              <w:jc w:val="right"/>
              <w:rPr/>
            </w:pPr>
            <w:r>
              <w:rPr/>
              <w:t> </w:t>
            </w:r>
          </w:p>
        </w:tc>
      </w:tr>
      <w:tr>
        <w:trPr/>
        <w:tc>
          <w:tcPr>
            <w:tcW w:w="7981" w:type="dxa"/>
            <w:tcBorders/>
            <w:shd w:fill="auto" w:val="clear"/>
            <w:vAlign w:val="center"/>
          </w:tcPr>
          <w:p>
            <w:pPr>
              <w:pStyle w:val="TableContents"/>
              <w:spacing w:before="0" w:after="0"/>
              <w:ind w:left="480" w:right="0" w:hanging="0"/>
              <w:jc w:val="left"/>
              <w:rPr/>
            </w:pPr>
            <w:hyperlink w:anchor="item_4_mine_safety_disclosures">
              <w:r>
                <w:rPr>
                  <w:rStyle w:val="InternetLink"/>
                  <w:rFonts w:ascii="Times New Roman;serif" w:hAnsi="Times New Roman;serif"/>
                  <w:b w:val="false"/>
                  <w:sz w:val="20"/>
                  <w:u w:val="single"/>
                </w:rPr>
                <w:t>Item 4. Mine Safety Disclosures</w:t>
              </w:r>
            </w:hyperlink>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firstLine="480"/>
              <w:jc w:val="right"/>
              <w:rPr>
                <w:rFonts w:ascii="Times New Roman;serif" w:hAnsi="Times New Roman;serif"/>
                <w:b w:val="false"/>
                <w:sz w:val="20"/>
              </w:rPr>
            </w:pPr>
            <w:r>
              <w:rPr>
                <w:rFonts w:ascii="Times New Roman;serif" w:hAnsi="Times New Roman;serif"/>
                <w:b w:val="false"/>
                <w:sz w:val="20"/>
              </w:rPr>
              <w:t>37</w:t>
            </w:r>
          </w:p>
        </w:tc>
      </w:tr>
      <w:tr>
        <w:trPr/>
        <w:tc>
          <w:tcPr>
            <w:tcW w:w="7981" w:type="dxa"/>
            <w:tcBorders/>
            <w:shd w:fill="auto" w:val="clear"/>
            <w:vAlign w:val="center"/>
          </w:tcPr>
          <w:p>
            <w:pPr>
              <w:pStyle w:val="TableContents"/>
              <w:spacing w:before="0" w:after="0"/>
              <w:ind w:left="480" w:right="0" w:hanging="0"/>
              <w:jc w:val="left"/>
              <w:rPr/>
            </w:pPr>
            <w:r>
              <w:rPr/>
              <w:t> </w:t>
            </w:r>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firstLine="480"/>
              <w:jc w:val="right"/>
              <w:rPr/>
            </w:pPr>
            <w:r>
              <w:rPr/>
              <w:t> </w:t>
            </w:r>
          </w:p>
        </w:tc>
      </w:tr>
      <w:tr>
        <w:trPr/>
        <w:tc>
          <w:tcPr>
            <w:tcW w:w="7981" w:type="dxa"/>
            <w:tcBorders/>
            <w:shd w:fill="auto" w:val="clear"/>
            <w:vAlign w:val="center"/>
          </w:tcPr>
          <w:p>
            <w:pPr>
              <w:pStyle w:val="TableContents"/>
              <w:spacing w:before="0" w:after="0"/>
              <w:ind w:left="480" w:right="0" w:hanging="0"/>
              <w:jc w:val="left"/>
              <w:rPr/>
            </w:pPr>
            <w:hyperlink w:anchor="item_5_or_information">
              <w:r>
                <w:rPr>
                  <w:rStyle w:val="InternetLink"/>
                  <w:rFonts w:ascii="Times New Roman;serif" w:hAnsi="Times New Roman;serif"/>
                  <w:b w:val="false"/>
                  <w:sz w:val="20"/>
                  <w:u w:val="single"/>
                </w:rPr>
                <w:t>Item 5. Other Information</w:t>
              </w:r>
            </w:hyperlink>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firstLine="480"/>
              <w:jc w:val="right"/>
              <w:rPr/>
            </w:pPr>
            <w:r>
              <w:rPr/>
              <w:t> </w:t>
            </w:r>
          </w:p>
        </w:tc>
      </w:tr>
      <w:tr>
        <w:trPr/>
        <w:tc>
          <w:tcPr>
            <w:tcW w:w="7981" w:type="dxa"/>
            <w:tcBorders/>
            <w:shd w:fill="auto" w:val="clear"/>
            <w:vAlign w:val="center"/>
          </w:tcPr>
          <w:p>
            <w:pPr>
              <w:pStyle w:val="TableContents"/>
              <w:spacing w:before="0" w:after="0"/>
              <w:ind w:left="480" w:right="0" w:hanging="0"/>
              <w:jc w:val="left"/>
              <w:rPr/>
            </w:pPr>
            <w:hyperlink w:anchor="item_6_exhibits">
              <w:r>
                <w:rPr>
                  <w:rStyle w:val="InternetLink"/>
                  <w:rFonts w:ascii="Times New Roman;serif" w:hAnsi="Times New Roman;serif"/>
                  <w:b w:val="false"/>
                  <w:sz w:val="20"/>
                  <w:u w:val="single"/>
                </w:rPr>
                <w:t>Item 6. Exhibits</w:t>
              </w:r>
            </w:hyperlink>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7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31" w:type="dxa"/>
            <w:tcBorders/>
            <w:shd w:fill="auto" w:val="clear"/>
            <w:vAlign w:val="center"/>
          </w:tcPr>
          <w:p>
            <w:pPr>
              <w:pStyle w:val="TableContents"/>
              <w:spacing w:before="0" w:after="0"/>
              <w:ind w:left="0" w:right="0" w:hanging="0"/>
              <w:jc w:val="right"/>
              <w:rPr/>
            </w:pPr>
            <w:r>
              <w:rPr/>
              <w:t> </w:t>
            </w:r>
          </w:p>
        </w:tc>
      </w:tr>
      <w:tr>
        <w:trPr/>
        <w:tc>
          <w:tcPr>
            <w:tcW w:w="7981" w:type="dxa"/>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146" w:type="dxa"/>
            <w:tcBorders/>
            <w:shd w:fill="auto" w:val="clear"/>
            <w:vAlign w:val="center"/>
          </w:tcPr>
          <w:p>
            <w:pPr>
              <w:pStyle w:val="TableContents"/>
              <w:spacing w:before="0" w:after="15"/>
              <w:ind w:left="0" w:right="0" w:hanging="0"/>
              <w:jc w:val="right"/>
              <w:rPr/>
            </w:pPr>
            <w:r>
              <w:rPr/>
              <w:t> </w:t>
            </w:r>
          </w:p>
        </w:tc>
        <w:tc>
          <w:tcPr>
            <w:tcW w:w="1631" w:type="dxa"/>
            <w:tcBorders/>
            <w:shd w:fill="auto" w:val="clear"/>
            <w:tcMar>
              <w:top w:w="0" w:type="dxa"/>
              <w:left w:w="0" w:type="dxa"/>
              <w:bottom w:w="0" w:type="dxa"/>
              <w:right w:w="0" w:type="dxa"/>
            </w:tcMar>
            <w:vAlign w:val="center"/>
          </w:tcPr>
          <w:p>
            <w:pPr>
              <w:pStyle w:val="TableContents"/>
              <w:spacing w:before="0" w:after="15"/>
              <w:ind w:left="0" w:right="0" w:hanging="0"/>
              <w:jc w:val="right"/>
              <w:rPr>
                <w:rFonts w:ascii="Times New Roman;serif" w:hAnsi="Times New Roman;serif"/>
                <w:b w:val="false"/>
                <w:sz w:val="20"/>
              </w:rPr>
            </w:pPr>
            <w:r>
              <w:rPr>
                <w:rFonts w:ascii="Times New Roman;serif" w:hAnsi="Times New Roman;serif"/>
                <w:b w:val="false"/>
                <w:sz w:val="20"/>
              </w:rPr>
              <w:t>39</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2" w:name="part_1_financial_information"/>
      <w:bookmarkEnd w:id="2"/>
      <w:r>
        <w:rPr>
          <w:rFonts w:ascii="Times New Roman;serif" w:hAnsi="Times New Roman;serif"/>
          <w:b/>
          <w:sz w:val="20"/>
        </w:rPr>
        <w:t>PART 1 – FINANCIAL INFORMATION (UNAUDITED)</w:t>
      </w:r>
    </w:p>
    <w:p>
      <w:pPr>
        <w:pStyle w:val="TextBody"/>
        <w:spacing w:before="0" w:after="0"/>
        <w:jc w:val="left"/>
        <w:rPr>
          <w:rFonts w:ascii="Times New Roman;serif" w:hAnsi="Times New Roman;serif"/>
          <w:b/>
          <w:sz w:val="20"/>
        </w:rPr>
      </w:pPr>
      <w:bookmarkStart w:id="3" w:name="item_1_condensed_consolidated_fs"/>
      <w:bookmarkEnd w:id="3"/>
      <w:r>
        <w:rPr>
          <w:rFonts w:ascii="Times New Roman;serif" w:hAnsi="Times New Roman;serif"/>
          <w:b/>
          <w:sz w:val="20"/>
        </w:rPr>
        <w:t>ITEM 1. CONDENSED CONSOLIDATED FINANCIAL STATEMENTS</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bookmarkStart w:id="4" w:name="condensed_consolidated_stmt_of_oper"/>
      <w:bookmarkEnd w:id="4"/>
      <w:r>
        <w:rPr>
          <w:rFonts w:ascii="Times New Roman;serif" w:hAnsi="Times New Roman;serif"/>
          <w:b/>
          <w:sz w:val="20"/>
        </w:rPr>
        <w:t>Condensed Consolidated Statements of Operations</w:t>
      </w:r>
    </w:p>
    <w:p>
      <w:pPr>
        <w:pStyle w:val="TextBody"/>
        <w:spacing w:before="0" w:after="0"/>
        <w:jc w:val="center"/>
        <w:rPr>
          <w:rFonts w:ascii="Times New Roman;serif" w:hAnsi="Times New Roman;serif"/>
          <w:b/>
          <w:sz w:val="20"/>
        </w:rPr>
      </w:pPr>
      <w:r>
        <w:rPr>
          <w:rFonts w:ascii="Times New Roman;serif" w:hAnsi="Times New Roman;serif"/>
          <w:b/>
          <w:sz w:val="20"/>
        </w:rPr>
        <w:t>(Unaudited – In millions, except per share amounts)</w:t>
      </w:r>
    </w:p>
    <w:p>
      <w:pPr>
        <w:pStyle w:val="TextBody"/>
        <w:spacing w:before="0" w:after="0"/>
        <w:jc w:val="center"/>
        <w:rPr/>
      </w:pPr>
      <w:r>
        <w:rPr/>
        <w:t> </w:t>
      </w:r>
    </w:p>
    <w:tbl>
      <w:tblPr>
        <w:tblW w:w="6423" w:type="dxa"/>
        <w:jc w:val="left"/>
        <w:tblInd w:w="0" w:type="dxa"/>
        <w:tblCellMar>
          <w:top w:w="28" w:type="dxa"/>
          <w:left w:w="28" w:type="dxa"/>
          <w:bottom w:w="28" w:type="dxa"/>
          <w:right w:w="28" w:type="dxa"/>
        </w:tblCellMar>
      </w:tblPr>
      <w:tblGrid>
        <w:gridCol w:w="3856"/>
        <w:gridCol w:w="211"/>
        <w:gridCol w:w="721"/>
        <w:gridCol w:w="166"/>
        <w:gridCol w:w="146"/>
        <w:gridCol w:w="211"/>
        <w:gridCol w:w="721"/>
        <w:gridCol w:w="391"/>
      </w:tblGrid>
      <w:tr>
        <w:trPr/>
        <w:tc>
          <w:tcPr>
            <w:tcW w:w="38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vAlign w:val="center"/>
          </w:tcPr>
          <w:p>
            <w:pPr>
              <w:pStyle w:val="TableContents"/>
              <w:spacing w:before="0" w:after="0"/>
              <w:ind w:left="0" w:right="0" w:hanging="0"/>
              <w:jc w:val="center"/>
              <w:rPr/>
            </w:pPr>
            <w:r>
              <w:rPr/>
              <w:t> </w:t>
            </w:r>
          </w:p>
        </w:tc>
        <w:tc>
          <w:tcPr>
            <w:tcW w:w="217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center"/>
              <w:rPr/>
            </w:pPr>
            <w:r>
              <w:rPr/>
              <w:t> </w:t>
            </w:r>
          </w:p>
        </w:tc>
        <w:tc>
          <w:tcPr>
            <w:tcW w:w="21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center"/>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sales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2,228.6</w:t>
            </w:r>
          </w:p>
        </w:tc>
        <w:tc>
          <w:tcPr>
            <w:tcW w:w="391"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636.3</w:t>
            </w:r>
          </w:p>
        </w:tc>
        <w:tc>
          <w:tcPr>
            <w:tcW w:w="391"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38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286.0</w:t>
            </w:r>
          </w:p>
        </w:tc>
        <w:tc>
          <w:tcPr>
            <w:tcW w:w="391" w:type="dxa"/>
            <w:tcBorders/>
            <w:shd w:fill="auto" w:val="clear"/>
            <w:vAlign w:val="center"/>
          </w:tcPr>
          <w:p>
            <w:pPr>
              <w:pStyle w:val="TableContents"/>
              <w:spacing w:before="0" w:after="0"/>
              <w:ind w:left="0" w:right="0" w:firstLine="100"/>
              <w:jc w:val="left"/>
              <w:rPr/>
            </w:pPr>
            <w:r>
              <w:rPr/>
              <w:t> </w:t>
            </w:r>
          </w:p>
        </w:tc>
      </w:tr>
      <w:tr>
        <w:trPr/>
        <w:tc>
          <w:tcPr>
            <w:tcW w:w="38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170.7</w:t>
            </w:r>
          </w:p>
        </w:tc>
        <w:tc>
          <w:tcPr>
            <w:tcW w:w="391" w:type="dxa"/>
            <w:tcBorders/>
            <w:shd w:fill="auto" w:val="clear"/>
            <w:vAlign w:val="center"/>
          </w:tcPr>
          <w:p>
            <w:pPr>
              <w:pStyle w:val="TableContents"/>
              <w:spacing w:before="0" w:after="0"/>
              <w:ind w:left="0" w:right="0" w:firstLine="100"/>
              <w:jc w:val="left"/>
              <w:rPr/>
            </w:pPr>
            <w:r>
              <w:rPr/>
              <w:t> </w:t>
            </w:r>
          </w:p>
        </w:tc>
      </w:tr>
      <w:tr>
        <w:trPr/>
        <w:tc>
          <w:tcPr>
            <w:tcW w:w="38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Amortization of purchased intangible assets</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140.7</w:t>
            </w:r>
          </w:p>
        </w:tc>
        <w:tc>
          <w:tcPr>
            <w:tcW w:w="391" w:type="dxa"/>
            <w:tcBorders/>
            <w:shd w:fill="auto" w:val="clear"/>
            <w:vAlign w:val="center"/>
          </w:tcPr>
          <w:p>
            <w:pPr>
              <w:pStyle w:val="TableContents"/>
              <w:spacing w:before="0" w:after="0"/>
              <w:ind w:left="0" w:right="0" w:firstLine="100"/>
              <w:jc w:val="left"/>
              <w:rPr/>
            </w:pPr>
            <w:r>
              <w:rPr/>
              <w:t> </w:t>
            </w:r>
          </w:p>
        </w:tc>
      </w:tr>
      <w:tr>
        <w:trPr/>
        <w:tc>
          <w:tcPr>
            <w:tcW w:w="38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Restructuring costs (credits), net</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391" w:type="dxa"/>
            <w:tcBorders/>
            <w:shd w:fill="auto" w:val="clear"/>
            <w:vAlign w:val="center"/>
          </w:tcPr>
          <w:p>
            <w:pPr>
              <w:pStyle w:val="TableContents"/>
              <w:spacing w:before="0" w:after="0"/>
              <w:ind w:left="0" w:right="0" w:firstLine="200"/>
              <w:jc w:val="left"/>
              <w:rPr/>
            </w:pPr>
            <w:r>
              <w:rPr/>
              <w:t> </w:t>
            </w:r>
          </w:p>
        </w:tc>
      </w:tr>
      <w:tr>
        <w:trPr/>
        <w:tc>
          <w:tcPr>
            <w:tcW w:w="38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2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539.2</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2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609.5</w:t>
            </w:r>
          </w:p>
        </w:tc>
        <w:tc>
          <w:tcPr>
            <w:tcW w:w="3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391"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(136.5</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(109.0</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Series A convertible preferred stock dividends</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(154.4</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per share:</w:t>
            </w:r>
          </w:p>
        </w:tc>
        <w:tc>
          <w:tcPr>
            <w:tcW w:w="93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(0.75</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(0.75</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outstanding:</w:t>
            </w:r>
          </w:p>
        </w:tc>
        <w:tc>
          <w:tcPr>
            <w:tcW w:w="93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205.4</w:t>
            </w:r>
          </w:p>
        </w:tc>
        <w:tc>
          <w:tcPr>
            <w:tcW w:w="391"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205.4</w:t>
            </w:r>
          </w:p>
        </w:tc>
        <w:tc>
          <w:tcPr>
            <w:tcW w:w="391" w:type="dxa"/>
            <w:tcBorders/>
            <w:shd w:fill="auto" w:val="clear"/>
            <w:vAlign w:val="center"/>
          </w:tcPr>
          <w:p>
            <w:pPr>
              <w:pStyle w:val="TableContents"/>
              <w:spacing w:before="0" w:after="0"/>
              <w:ind w:left="0" w:right="0" w:hanging="0"/>
              <w:jc w:val="left"/>
              <w:rPr/>
            </w:pPr>
            <w:r>
              <w:rPr/>
              <w:t> </w:t>
            </w:r>
          </w:p>
        </w:tc>
      </w:tr>
      <w:tr>
        <w:trPr/>
        <w:tc>
          <w:tcPr>
            <w:tcW w:w="385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6032" w:type="dxa"/>
            <w:gridSpan w:val="7"/>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See notes to unaudited condensed consolidated financial statements.</w:t>
            </w:r>
          </w:p>
        </w:tc>
        <w:tc>
          <w:tcPr>
            <w:tcW w:w="391" w:type="dxa"/>
            <w:tcBorders/>
            <w:shd w:fill="auto" w:val="clear"/>
            <w:vAlign w:val="center"/>
          </w:tcPr>
          <w:p>
            <w:pPr>
              <w:pStyle w:val="TableContents"/>
              <w:spacing w:before="0" w:after="0"/>
              <w:ind w:left="0" w:right="0" w:hanging="0"/>
              <w:jc w:val="center"/>
              <w:rPr/>
            </w:pPr>
            <w:r>
              <w:rPr/>
              <w:t> </w:t>
            </w:r>
          </w:p>
        </w:tc>
      </w:tr>
    </w:tbl>
    <w:p>
      <w:pPr>
        <w:pStyle w:val="TextBody"/>
        <w:spacing w:before="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bookmarkStart w:id="5" w:name="condensed_consolidated_stmt_of_comp_inc"/>
      <w:bookmarkEnd w:id="5"/>
      <w:r>
        <w:rPr>
          <w:rFonts w:ascii="Times New Roman;serif" w:hAnsi="Times New Roman;serif"/>
          <w:b/>
          <w:sz w:val="20"/>
        </w:rPr>
        <w:t>Condensed Consolidated Statements of Comprehensive Income (Loss)</w:t>
      </w:r>
    </w:p>
    <w:p>
      <w:pPr>
        <w:pStyle w:val="TextBody"/>
        <w:spacing w:before="0" w:after="0"/>
        <w:jc w:val="center"/>
        <w:rPr>
          <w:rFonts w:ascii="Times New Roman;serif" w:hAnsi="Times New Roman;serif"/>
          <w:b/>
          <w:sz w:val="20"/>
        </w:rPr>
      </w:pPr>
      <w:r>
        <w:rPr>
          <w:rFonts w:ascii="Times New Roman;serif" w:hAnsi="Times New Roman;serif"/>
          <w:b/>
          <w:sz w:val="20"/>
        </w:rPr>
        <w:t>(Unaudited – In millions)</w:t>
      </w:r>
    </w:p>
    <w:p>
      <w:pPr>
        <w:pStyle w:val="TextBody"/>
        <w:spacing w:before="0" w:after="0"/>
        <w:jc w:val="center"/>
        <w:rPr/>
      </w:pPr>
      <w:r>
        <w:rPr/>
        <w:t> </w:t>
      </w:r>
    </w:p>
    <w:tbl>
      <w:tblPr>
        <w:tblW w:w="6664" w:type="dxa"/>
        <w:jc w:val="left"/>
        <w:tblInd w:w="0" w:type="dxa"/>
        <w:tblCellMar>
          <w:top w:w="28" w:type="dxa"/>
          <w:left w:w="28" w:type="dxa"/>
          <w:bottom w:w="28" w:type="dxa"/>
          <w:right w:w="28" w:type="dxa"/>
        </w:tblCellMar>
      </w:tblPr>
      <w:tblGrid>
        <w:gridCol w:w="4276"/>
        <w:gridCol w:w="146"/>
        <w:gridCol w:w="211"/>
        <w:gridCol w:w="466"/>
        <w:gridCol w:w="166"/>
        <w:gridCol w:w="146"/>
        <w:gridCol w:w="211"/>
        <w:gridCol w:w="631"/>
        <w:gridCol w:w="411"/>
      </w:tblGrid>
      <w:tr>
        <w:trPr/>
        <w:tc>
          <w:tcPr>
            <w:tcW w:w="4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2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3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411" w:type="dxa"/>
            <w:tcBorders/>
            <w:shd w:fill="auto" w:val="clear"/>
            <w:vAlign w:val="center"/>
          </w:tcPr>
          <w:p>
            <w:pPr>
              <w:pStyle w:val="TableContents"/>
              <w:spacing w:before="0" w:after="0"/>
              <w:ind w:left="0" w:right="0" w:hanging="0"/>
              <w:jc w:val="center"/>
              <w:rPr/>
            </w:pPr>
            <w:r>
              <w:rPr/>
              <w:t> </w:t>
            </w:r>
          </w:p>
        </w:tc>
      </w:tr>
      <w:tr>
        <w:trPr/>
        <w:tc>
          <w:tcPr>
            <w:tcW w:w="42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100"/>
              <w:jc w:val="left"/>
              <w:rPr/>
            </w:pPr>
            <w:r>
              <w:rPr/>
              <w:t> </w:t>
            </w:r>
          </w:p>
        </w:tc>
      </w:tr>
      <w:tr>
        <w:trPr/>
        <w:tc>
          <w:tcPr>
            <w:tcW w:w="427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4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27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42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gain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2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Pension and other postretirement benefit activity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2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Gain (loss) on hedging instruments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27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other comprehensive income (loss), net of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253" w:type="dxa"/>
            <w:gridSpan w:val="8"/>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See notes to unaudited condensed consolidated financial statements.</w:t>
            </w:r>
          </w:p>
        </w:tc>
        <w:tc>
          <w:tcPr>
            <w:tcW w:w="411" w:type="dxa"/>
            <w:tcBorders/>
            <w:shd w:fill="auto" w:val="clear"/>
            <w:vAlign w:val="center"/>
          </w:tcPr>
          <w:p>
            <w:pPr>
              <w:pStyle w:val="TableContents"/>
              <w:spacing w:before="0" w:after="0"/>
              <w:ind w:left="0" w:right="0" w:hanging="0"/>
              <w:jc w:val="center"/>
              <w:rPr/>
            </w:pPr>
            <w:r>
              <w:rPr/>
              <w:t> </w:t>
            </w:r>
          </w:p>
        </w:tc>
      </w:tr>
    </w:tbl>
    <w:p>
      <w:pPr>
        <w:pStyle w:val="TextBody"/>
        <w:spacing w:before="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bookmarkStart w:id="6" w:name="item_1_condensed_consolidated_bs"/>
      <w:bookmarkEnd w:id="6"/>
      <w:r>
        <w:rPr>
          <w:rFonts w:ascii="Times New Roman;serif" w:hAnsi="Times New Roman;serif"/>
          <w:b/>
          <w:sz w:val="20"/>
        </w:rPr>
        <w:t>Condensed Consolidated Balance Sheets</w:t>
      </w:r>
    </w:p>
    <w:p>
      <w:pPr>
        <w:pStyle w:val="TextBody"/>
        <w:spacing w:before="0" w:after="0"/>
        <w:jc w:val="center"/>
        <w:rPr>
          <w:rFonts w:ascii="Times New Roman" w:hAnsi="Times New Roman"/>
          <w:sz w:val="20"/>
        </w:rPr>
      </w:pPr>
      <w:r>
        <w:rPr>
          <w:rFonts w:ascii="Times New Roman;serif" w:hAnsi="Times New Roman;serif"/>
          <w:b/>
          <w:sz w:val="20"/>
        </w:rPr>
        <w:t>(In millions, except share amounts)</w:t>
      </w:r>
      <w:r>
        <w:rPr>
          <w:rFonts w:ascii="Times New Roman" w:hAnsi="Times New Roman"/>
          <w:sz w:val="20"/>
        </w:rPr>
        <w:t xml:space="preserve"> </w:t>
      </w:r>
    </w:p>
    <w:p>
      <w:pPr>
        <w:pStyle w:val="TextBody"/>
        <w:spacing w:before="0" w:after="0"/>
        <w:jc w:val="center"/>
        <w:rPr/>
      </w:pPr>
      <w:r>
        <w:rPr/>
        <w:t> </w:t>
      </w:r>
    </w:p>
    <w:tbl>
      <w:tblPr>
        <w:tblW w:w="9945" w:type="dxa"/>
        <w:jc w:val="left"/>
        <w:tblInd w:w="0" w:type="dxa"/>
        <w:tblCellMar>
          <w:top w:w="28" w:type="dxa"/>
          <w:left w:w="28" w:type="dxa"/>
          <w:bottom w:w="28" w:type="dxa"/>
          <w:right w:w="28" w:type="dxa"/>
        </w:tblCellMar>
      </w:tblPr>
      <w:tblGrid>
        <w:gridCol w:w="6316"/>
        <w:gridCol w:w="146"/>
        <w:gridCol w:w="256"/>
        <w:gridCol w:w="1004"/>
        <w:gridCol w:w="166"/>
        <w:gridCol w:w="146"/>
        <w:gridCol w:w="305"/>
        <w:gridCol w:w="1195"/>
        <w:gridCol w:w="411"/>
      </w:tblGrid>
      <w:tr>
        <w:trPr/>
        <w:tc>
          <w:tcPr>
            <w:tcW w:w="6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63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Unaudited </w:t>
              <w:b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1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6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398.1</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Accounts receivable, net of allowance for doubtful accounts </w:t>
              <w:br/>
              <w:t>   of $81.2</w:t>
            </w:r>
            <w:r>
              <w:rPr>
                <w:rFonts w:ascii="Times New Roman" w:hAnsi="Times New Roman"/>
                <w:sz w:val="20"/>
              </w:rPr>
              <w:t> </w:t>
            </w:r>
            <w:r>
              <w:rPr>
                <w:rFonts w:ascii="Times New Roman;serif" w:hAnsi="Times New Roman;serif"/>
                <w:b w:val="false"/>
                <w:sz w:val="20"/>
              </w:rPr>
              <w:t>and $82.8, respectively</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1,523.6</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Inventories, net</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1,588.1</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3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3,726.2</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Property, plant and equipment, net of accumulated depreciation </w:t>
              <w:br/>
              <w:t>   of $905.8</w:t>
            </w:r>
            <w:r>
              <w:rPr>
                <w:rFonts w:ascii="Times New Roman" w:hAnsi="Times New Roman"/>
                <w:sz w:val="20"/>
              </w:rPr>
              <w:t> </w:t>
            </w:r>
            <w:r>
              <w:rPr>
                <w:rFonts w:ascii="Times New Roman;serif" w:hAnsi="Times New Roman;serif"/>
                <w:b w:val="false"/>
                <w:sz w:val="20"/>
              </w:rPr>
              <w:t>and $873.5, respectively</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609.6</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4,072.4</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intangible assets, net</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2,473.5</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803.7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3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11,337.0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11,685.4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Liabilities and Stockholders' Deficit</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1,025.5</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1,050.0</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long-term debt</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3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2,107.5</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9,410.5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9,469.6</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173.4</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3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11,752.0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12,131.1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Series A convertible preferred stock, $0.01</w:t>
            </w:r>
            <w:r>
              <w:rPr>
                <w:rFonts w:ascii="Times New Roman" w:hAnsi="Times New Roman"/>
                <w:sz w:val="20"/>
              </w:rPr>
              <w:t> </w:t>
            </w:r>
            <w:r>
              <w:rPr>
                <w:rFonts w:ascii="Times New Roman;serif" w:hAnsi="Times New Roman;serif"/>
                <w:b w:val="false"/>
                <w:sz w:val="20"/>
              </w:rPr>
              <w:t>par value</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1,100.3</w:t>
            </w:r>
          </w:p>
        </w:tc>
        <w:tc>
          <w:tcPr>
            <w:tcW w:w="411" w:type="dxa"/>
            <w:tcBorders/>
            <w:shd w:fill="auto" w:val="clear"/>
            <w:vAlign w:val="center"/>
          </w:tcPr>
          <w:p>
            <w:pPr>
              <w:pStyle w:val="TableContents"/>
              <w:spacing w:before="0" w:after="0"/>
              <w:ind w:left="0" w:right="0" w:hanging="0"/>
              <w:jc w:val="left"/>
              <w:rPr/>
            </w:pPr>
            <w:r>
              <w:rPr/>
              <w:t> </w:t>
            </w:r>
          </w:p>
        </w:tc>
      </w:tr>
      <w:tr>
        <w:trPr/>
        <w:tc>
          <w:tcPr>
            <w:tcW w:w="6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deficit:</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100"/>
              <w:jc w:val="left"/>
              <w:rPr/>
            </w:pPr>
            <w:r>
              <w:rPr/>
              <w:t> </w:t>
            </w:r>
          </w:p>
        </w:tc>
      </w:tr>
      <w:tr>
        <w:trPr/>
        <w:tc>
          <w:tcPr>
            <w:tcW w:w="6316"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Preferred stock, $0.01</w:t>
            </w:r>
            <w:r>
              <w:rPr>
                <w:rFonts w:ascii="Times New Roman" w:hAnsi="Times New Roman"/>
                <w:sz w:val="20"/>
              </w:rPr>
              <w:t> </w:t>
            </w:r>
            <w:r>
              <w:rPr>
                <w:rFonts w:ascii="Times New Roman;serif" w:hAnsi="Times New Roman;serif"/>
                <w:b w:val="false"/>
                <w:sz w:val="20"/>
              </w:rPr>
              <w:t>par value: Authorized shares: 200,000,000;</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631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Issued and outstanding shares: 1,115,439</w:t>
            </w:r>
            <w:r>
              <w:rPr>
                <w:rFonts w:ascii="Times New Roman" w:hAnsi="Times New Roman"/>
                <w:sz w:val="20"/>
              </w:rPr>
              <w:t> </w:t>
            </w:r>
            <w:r>
              <w:rPr>
                <w:rFonts w:ascii="Times New Roman;serif" w:hAnsi="Times New Roman;serif"/>
                <w:b w:val="false"/>
                <w:sz w:val="20"/>
              </w:rPr>
              <w:t>and 1,100,310, respectively,</w:t>
              <w:br/>
              <w:t>Series A convertible preferred stock</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100"/>
              <w:jc w:val="left"/>
              <w:rPr/>
            </w:pPr>
            <w:r>
              <w:rPr/>
              <w:t> </w:t>
            </w:r>
          </w:p>
        </w:tc>
      </w:tr>
      <w:tr>
        <w:trPr/>
        <w:tc>
          <w:tcPr>
            <w:tcW w:w="6316"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Common stock, $0.01</w:t>
            </w:r>
            <w:r>
              <w:rPr>
                <w:rFonts w:ascii="Times New Roman" w:hAnsi="Times New Roman"/>
                <w:sz w:val="20"/>
              </w:rPr>
              <w:t> </w:t>
            </w:r>
            <w:r>
              <w:rPr>
                <w:rFonts w:ascii="Times New Roman;serif" w:hAnsi="Times New Roman;serif"/>
                <w:b w:val="false"/>
                <w:sz w:val="20"/>
              </w:rPr>
              <w:t xml:space="preserve">par value: Authorized shares: 1,300,000,000; </w:t>
              <w:br/>
              <w:t>   Issued and outstanding shares: 209,777,988</w:t>
            </w:r>
            <w:r>
              <w:rPr>
                <w:rFonts w:ascii="Times New Roman" w:hAnsi="Times New Roman"/>
                <w:sz w:val="20"/>
              </w:rPr>
              <w:t> </w:t>
            </w:r>
            <w:r>
              <w:rPr>
                <w:rFonts w:ascii="Times New Roman;serif" w:hAnsi="Times New Roman;serif"/>
                <w:b w:val="false"/>
                <w:sz w:val="20"/>
              </w:rPr>
              <w:t>and 208,371,426, respectively</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411" w:type="dxa"/>
            <w:tcBorders/>
            <w:shd w:fill="auto" w:val="clear"/>
            <w:vAlign w:val="center"/>
          </w:tcPr>
          <w:p>
            <w:pPr>
              <w:pStyle w:val="TableContents"/>
              <w:spacing w:before="0" w:after="0"/>
              <w:ind w:left="0" w:right="0" w:firstLine="100"/>
              <w:jc w:val="left"/>
              <w:rPr/>
            </w:pPr>
            <w:r>
              <w:rPr/>
              <w:t> </w:t>
            </w:r>
          </w:p>
        </w:tc>
      </w:tr>
      <w:tr>
        <w:trPr/>
        <w:tc>
          <w:tcPr>
            <w:tcW w:w="63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2,542.9</w:t>
            </w:r>
          </w:p>
        </w:tc>
        <w:tc>
          <w:tcPr>
            <w:tcW w:w="411" w:type="dxa"/>
            <w:tcBorders/>
            <w:shd w:fill="auto" w:val="clear"/>
            <w:vAlign w:val="center"/>
          </w:tcPr>
          <w:p>
            <w:pPr>
              <w:pStyle w:val="TableContents"/>
              <w:spacing w:before="0" w:after="0"/>
              <w:ind w:left="0" w:right="0" w:firstLine="100"/>
              <w:jc w:val="left"/>
              <w:rPr/>
            </w:pPr>
            <w:r>
              <w:rPr/>
              <w:t> </w:t>
            </w:r>
          </w:p>
        </w:tc>
      </w:tr>
      <w:tr>
        <w:trPr/>
        <w:tc>
          <w:tcPr>
            <w:tcW w:w="63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(3,502.2</w:t>
            </w:r>
          </w:p>
        </w:tc>
        <w:tc>
          <w:tcPr>
            <w:tcW w:w="4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3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(296.3</w:t>
            </w:r>
          </w:p>
        </w:tc>
        <w:tc>
          <w:tcPr>
            <w:tcW w:w="4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316"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Treasury stock, at cost: 13,427,361</w:t>
            </w:r>
            <w:r>
              <w:rPr>
                <w:rFonts w:ascii="Times New Roman" w:hAnsi="Times New Roman"/>
                <w:sz w:val="20"/>
              </w:rPr>
              <w:t> </w:t>
            </w:r>
            <w:r>
              <w:rPr>
                <w:rFonts w:ascii="Times New Roman;serif" w:hAnsi="Times New Roman;serif"/>
                <w:b w:val="false"/>
                <w:sz w:val="20"/>
              </w:rPr>
              <w:t xml:space="preserve">shares and </w:t>
              <w:br/>
              <w:t>   12,726,695</w:t>
            </w:r>
            <w:r>
              <w:rPr>
                <w:rFonts w:ascii="Times New Roman" w:hAnsi="Times New Roman"/>
                <w:sz w:val="20"/>
              </w:rPr>
              <w:t> </w:t>
            </w:r>
            <w:r>
              <w:rPr>
                <w:rFonts w:ascii="Times New Roman;serif" w:hAnsi="Times New Roman;serif"/>
                <w:b w:val="false"/>
                <w:sz w:val="20"/>
              </w:rPr>
              <w:t>shares, respectively</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3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stockholders' deficit</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0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(1,530.4</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95"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(1,546.0</w:t>
            </w:r>
          </w:p>
        </w:tc>
        <w:tc>
          <w:tcPr>
            <w:tcW w:w="4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3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 and stockholders' deficit</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11,337.0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11,685.4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notes to unaudited condensed consolidated financial statements.</w:t>
      </w:r>
    </w:p>
    <w:p>
      <w:pPr>
        <w:pStyle w:val="TextBody"/>
        <w:spacing w:before="0" w:after="0"/>
        <w:jc w:val="center"/>
        <w:rPr/>
      </w:pPr>
      <w:r>
        <w:rPr/>
        <w:t> </w:t>
      </w:r>
    </w:p>
    <w:p>
      <w:pPr>
        <w:pStyle w:val="TextBody"/>
        <w:spacing w:before="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bookmarkStart w:id="7" w:name="condensed_consolidated_cf"/>
      <w:bookmarkEnd w:id="7"/>
      <w:r>
        <w:rPr>
          <w:rFonts w:ascii="Times New Roman;serif" w:hAnsi="Times New Roman;serif"/>
          <w:b/>
          <w:sz w:val="20"/>
        </w:rPr>
        <w:t>Condensed Consolidated Statements of Cash Flows</w:t>
      </w:r>
    </w:p>
    <w:p>
      <w:pPr>
        <w:pStyle w:val="TextBody"/>
        <w:spacing w:before="0" w:after="0"/>
        <w:jc w:val="center"/>
        <w:rPr>
          <w:rFonts w:ascii="Times New Roman" w:hAnsi="Times New Roman"/>
          <w:sz w:val="20"/>
        </w:rPr>
      </w:pPr>
      <w:r>
        <w:rPr>
          <w:rFonts w:ascii="Times New Roman;serif" w:hAnsi="Times New Roman;serif"/>
          <w:b/>
          <w:sz w:val="20"/>
        </w:rPr>
        <w:t>(Unaudited – In millions)</w:t>
      </w:r>
      <w:r>
        <w:rPr>
          <w:rFonts w:ascii="Times New Roman" w:hAnsi="Times New Roman"/>
          <w:sz w:val="20"/>
        </w:rPr>
        <w:t xml:space="preserve"> </w:t>
      </w:r>
    </w:p>
    <w:p>
      <w:pPr>
        <w:pStyle w:val="TextBody"/>
        <w:spacing w:before="0" w:after="0"/>
        <w:jc w:val="center"/>
        <w:rPr/>
      </w:pPr>
      <w:r>
        <w:rPr/>
        <w:t> </w:t>
      </w:r>
    </w:p>
    <w:tbl>
      <w:tblPr>
        <w:tblW w:w="9819" w:type="dxa"/>
        <w:jc w:val="left"/>
        <w:tblInd w:w="0" w:type="dxa"/>
        <w:tblCellMar>
          <w:top w:w="28" w:type="dxa"/>
          <w:left w:w="28" w:type="dxa"/>
          <w:bottom w:w="28" w:type="dxa"/>
          <w:right w:w="28" w:type="dxa"/>
        </w:tblCellMar>
      </w:tblPr>
      <w:tblGrid>
        <w:gridCol w:w="7066"/>
        <w:gridCol w:w="146"/>
        <w:gridCol w:w="211"/>
        <w:gridCol w:w="631"/>
        <w:gridCol w:w="166"/>
        <w:gridCol w:w="146"/>
        <w:gridCol w:w="211"/>
        <w:gridCol w:w="631"/>
        <w:gridCol w:w="611"/>
      </w:tblGrid>
      <w:tr>
        <w:trPr/>
        <w:tc>
          <w:tcPr>
            <w:tcW w:w="7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7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611" w:type="dxa"/>
            <w:tcBorders/>
            <w:shd w:fill="auto" w:val="clear"/>
            <w:vAlign w:val="center"/>
          </w:tcPr>
          <w:p>
            <w:pPr>
              <w:pStyle w:val="TableContents"/>
              <w:spacing w:before="0" w:after="0"/>
              <w:ind w:left="0" w:right="0" w:hanging="0"/>
              <w:jc w:val="center"/>
              <w:rPr/>
            </w:pPr>
            <w:r>
              <w:rPr/>
              <w:t> </w:t>
            </w:r>
          </w:p>
        </w:tc>
      </w:tr>
      <w:tr>
        <w:trPr/>
        <w:tc>
          <w:tcPr>
            <w:tcW w:w="7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100"/>
              <w:jc w:val="left"/>
              <w:rPr/>
            </w:pPr>
            <w:r>
              <w:rPr/>
              <w:t> </w:t>
            </w:r>
          </w:p>
        </w:tc>
      </w:tr>
      <w:tr>
        <w:trPr/>
        <w:tc>
          <w:tcPr>
            <w:tcW w:w="70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6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0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Adjustments to reconcile net income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7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180.2</w:t>
            </w:r>
          </w:p>
        </w:tc>
        <w:tc>
          <w:tcPr>
            <w:tcW w:w="611" w:type="dxa"/>
            <w:tcBorders/>
            <w:shd w:fill="auto" w:val="clear"/>
            <w:vAlign w:val="center"/>
          </w:tcPr>
          <w:p>
            <w:pPr>
              <w:pStyle w:val="TableContents"/>
              <w:spacing w:before="0" w:after="0"/>
              <w:ind w:left="0" w:right="0" w:firstLine="200"/>
              <w:jc w:val="left"/>
              <w:rPr/>
            </w:pPr>
            <w:r>
              <w:rPr/>
              <w:t> </w:t>
            </w:r>
          </w:p>
        </w:tc>
      </w:tr>
      <w:tr>
        <w:trPr/>
        <w:tc>
          <w:tcPr>
            <w:tcW w:w="7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611" w:type="dxa"/>
            <w:tcBorders/>
            <w:shd w:fill="auto" w:val="clear"/>
            <w:vAlign w:val="center"/>
          </w:tcPr>
          <w:p>
            <w:pPr>
              <w:pStyle w:val="TableContents"/>
              <w:spacing w:before="0" w:after="0"/>
              <w:ind w:left="0" w:right="0" w:firstLine="200"/>
              <w:jc w:val="left"/>
              <w:rPr/>
            </w:pPr>
            <w:r>
              <w:rPr/>
              <w:t> </w:t>
            </w:r>
          </w:p>
        </w:tc>
      </w:tr>
      <w:tr>
        <w:trPr/>
        <w:tc>
          <w:tcPr>
            <w:tcW w:w="7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611" w:type="dxa"/>
            <w:tcBorders/>
            <w:shd w:fill="auto" w:val="clear"/>
            <w:vAlign w:val="center"/>
          </w:tcPr>
          <w:p>
            <w:pPr>
              <w:pStyle w:val="TableContents"/>
              <w:spacing w:before="0" w:after="0"/>
              <w:ind w:left="0" w:right="0" w:firstLine="200"/>
              <w:jc w:val="left"/>
              <w:rPr/>
            </w:pPr>
            <w:r>
              <w:rPr/>
              <w:t> </w:t>
            </w:r>
          </w:p>
        </w:tc>
      </w:tr>
      <w:tr>
        <w:trPr/>
        <w:tc>
          <w:tcPr>
            <w:tcW w:w="7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400"/>
              <w:jc w:val="left"/>
              <w:rPr/>
            </w:pPr>
            <w:r>
              <w:rPr/>
              <w:t> </w:t>
            </w:r>
          </w:p>
        </w:tc>
      </w:tr>
      <w:tr>
        <w:trPr/>
        <w:tc>
          <w:tcPr>
            <w:tcW w:w="70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(60.5</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(73.7</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611" w:type="dxa"/>
            <w:tcBorders/>
            <w:shd w:fill="auto" w:val="clear"/>
            <w:vAlign w:val="center"/>
          </w:tcPr>
          <w:p>
            <w:pPr>
              <w:pStyle w:val="TableContents"/>
              <w:spacing w:before="0" w:after="0"/>
              <w:ind w:left="0" w:right="0" w:firstLine="400"/>
              <w:jc w:val="left"/>
              <w:rPr/>
            </w:pPr>
            <w:r>
              <w:rPr/>
              <w:t> </w:t>
            </w:r>
          </w:p>
        </w:tc>
      </w:tr>
      <w:tr>
        <w:trPr/>
        <w:tc>
          <w:tcPr>
            <w:tcW w:w="706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611" w:type="dxa"/>
            <w:tcBorders/>
            <w:shd w:fill="auto" w:val="clear"/>
            <w:vAlign w:val="center"/>
          </w:tcPr>
          <w:p>
            <w:pPr>
              <w:pStyle w:val="TableContents"/>
              <w:spacing w:before="0" w:after="0"/>
              <w:ind w:left="0" w:right="0" w:firstLine="100"/>
              <w:jc w:val="left"/>
              <w:rPr/>
            </w:pPr>
            <w:r>
              <w:rPr/>
              <w:t> </w:t>
            </w:r>
          </w:p>
        </w:tc>
      </w:tr>
      <w:tr>
        <w:trPr/>
        <w:tc>
          <w:tcPr>
            <w:tcW w:w="70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100"/>
              <w:jc w:val="left"/>
              <w:rPr/>
            </w:pPr>
            <w:r>
              <w:rPr/>
              <w:t> </w:t>
            </w:r>
          </w:p>
        </w:tc>
      </w:tr>
      <w:tr>
        <w:trPr/>
        <w:tc>
          <w:tcPr>
            <w:tcW w:w="70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Additions to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6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0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Proceeds from sale of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100"/>
              <w:jc w:val="left"/>
              <w:rPr/>
            </w:pPr>
            <w:r>
              <w:rPr/>
              <w:t> </w:t>
            </w:r>
          </w:p>
        </w:tc>
      </w:tr>
      <w:tr>
        <w:trPr/>
        <w:tc>
          <w:tcPr>
            <w:tcW w:w="70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generated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100"/>
              <w:jc w:val="left"/>
              <w:rPr/>
            </w:pPr>
            <w:r>
              <w:rPr/>
              <w:t> </w:t>
            </w:r>
          </w:p>
        </w:tc>
      </w:tr>
      <w:tr>
        <w:trPr/>
        <w:tc>
          <w:tcPr>
            <w:tcW w:w="70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Long-term debt repaid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(93.0</w:t>
            </w:r>
          </w:p>
        </w:tc>
        <w:tc>
          <w:tcPr>
            <w:tcW w:w="6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0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Long-term debt repurchases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100"/>
              <w:jc w:val="left"/>
              <w:rPr/>
            </w:pPr>
            <w:r>
              <w:rPr/>
              <w:t> </w:t>
            </w:r>
          </w:p>
        </w:tc>
      </w:tr>
      <w:tr>
        <w:trPr/>
        <w:tc>
          <w:tcPr>
            <w:tcW w:w="70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Long-term debt proceeds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611" w:type="dxa"/>
            <w:tcBorders/>
            <w:shd w:fill="auto" w:val="clear"/>
            <w:vAlign w:val="center"/>
          </w:tcPr>
          <w:p>
            <w:pPr>
              <w:pStyle w:val="TableContents"/>
              <w:spacing w:before="0" w:after="0"/>
              <w:ind w:left="0" w:right="0" w:firstLine="100"/>
              <w:jc w:val="left"/>
              <w:rPr/>
            </w:pPr>
            <w:r>
              <w:rPr/>
              <w:t> </w:t>
            </w:r>
          </w:p>
        </w:tc>
      </w:tr>
      <w:tr>
        <w:trPr/>
        <w:tc>
          <w:tcPr>
            <w:tcW w:w="70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Proceeds from the issuance of common shares under equity-based compensation plans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611" w:type="dxa"/>
            <w:tcBorders/>
            <w:shd w:fill="auto" w:val="clear"/>
            <w:vAlign w:val="center"/>
          </w:tcPr>
          <w:p>
            <w:pPr>
              <w:pStyle w:val="TableContents"/>
              <w:spacing w:before="0" w:after="0"/>
              <w:ind w:left="0" w:right="0" w:firstLine="100"/>
              <w:jc w:val="left"/>
              <w:rPr/>
            </w:pPr>
            <w:r>
              <w:rPr/>
              <w:t> </w:t>
            </w:r>
          </w:p>
        </w:tc>
      </w:tr>
      <w:tr>
        <w:trPr/>
        <w:tc>
          <w:tcPr>
            <w:tcW w:w="70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Tax withholding payments for vested equity-based compensation awards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6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06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changes on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314.7</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9208" w:type="dxa"/>
            <w:gridSpan w:val="8"/>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See notes to unaudited condensed consolidated financial statements.</w:t>
            </w:r>
          </w:p>
        </w:tc>
        <w:tc>
          <w:tcPr>
            <w:tcW w:w="611" w:type="dxa"/>
            <w:tcBorders/>
            <w:shd w:fill="auto" w:val="clear"/>
            <w:vAlign w:val="center"/>
          </w:tcPr>
          <w:p>
            <w:pPr>
              <w:pStyle w:val="TableContents"/>
              <w:spacing w:before="0" w:after="0"/>
              <w:ind w:left="0" w:right="0" w:hanging="0"/>
              <w:jc w:val="center"/>
              <w:rPr/>
            </w:pPr>
            <w:r>
              <w:rPr/>
              <w:t> </w:t>
            </w:r>
          </w:p>
        </w:tc>
      </w:tr>
    </w:tbl>
    <w:p>
      <w:pPr>
        <w:pStyle w:val="TextBody"/>
        <w:spacing w:before="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pPr>
      <w:r>
        <w:rPr/>
        <w:t> </w:t>
      </w:r>
    </w:p>
    <w:tbl>
      <w:tblPr>
        <w:tblW w:w="8679" w:type="dxa"/>
        <w:jc w:val="left"/>
        <w:tblInd w:w="0" w:type="dxa"/>
        <w:tblCellMar>
          <w:top w:w="28" w:type="dxa"/>
          <w:left w:w="28" w:type="dxa"/>
          <w:bottom w:w="28" w:type="dxa"/>
          <w:right w:w="28" w:type="dxa"/>
        </w:tblCellMar>
      </w:tblPr>
      <w:tblGrid>
        <w:gridCol w:w="5206"/>
        <w:gridCol w:w="146"/>
        <w:gridCol w:w="211"/>
        <w:gridCol w:w="1141"/>
        <w:gridCol w:w="166"/>
        <w:gridCol w:w="146"/>
        <w:gridCol w:w="211"/>
        <w:gridCol w:w="1141"/>
        <w:gridCol w:w="311"/>
      </w:tblGrid>
      <w:tr>
        <w:trPr/>
        <w:tc>
          <w:tcPr>
            <w:tcW w:w="52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8368" w:type="dxa"/>
            <w:gridSpan w:val="8"/>
            <w:tcBorders/>
            <w:shd w:fill="auto" w:val="clear"/>
            <w:vAlign w:val="center"/>
          </w:tcPr>
          <w:p>
            <w:pPr>
              <w:pStyle w:val="TableContents"/>
              <w:spacing w:before="0" w:after="0"/>
              <w:ind w:left="0" w:right="0" w:hanging="0"/>
              <w:jc w:val="center"/>
              <w:rPr>
                <w:rFonts w:ascii="Times New Roman;serif" w:hAnsi="Times New Roman;serif"/>
                <w:b/>
                <w:sz w:val="20"/>
              </w:rPr>
            </w:pPr>
            <w:bookmarkStart w:id="8" w:name="condensed_consolidated_stmt_stk_equity"/>
            <w:bookmarkEnd w:id="8"/>
            <w:r>
              <w:rPr>
                <w:rFonts w:ascii="Times New Roman;serif" w:hAnsi="Times New Roman;serif"/>
                <w:b/>
                <w:sz w:val="20"/>
              </w:rPr>
              <w:t>CommScope Holding Company, Inc.</w:t>
            </w:r>
          </w:p>
        </w:tc>
        <w:tc>
          <w:tcPr>
            <w:tcW w:w="311" w:type="dxa"/>
            <w:tcBorders/>
            <w:shd w:fill="auto" w:val="clear"/>
            <w:vAlign w:val="center"/>
          </w:tcPr>
          <w:p>
            <w:pPr>
              <w:pStyle w:val="TableContents"/>
              <w:spacing w:before="0" w:after="0"/>
              <w:ind w:left="0" w:right="0" w:hanging="0"/>
              <w:jc w:val="center"/>
              <w:rPr/>
            </w:pPr>
            <w:r>
              <w:rPr/>
              <w:t> </w:t>
            </w:r>
          </w:p>
        </w:tc>
      </w:tr>
      <w:tr>
        <w:trPr/>
        <w:tc>
          <w:tcPr>
            <w:tcW w:w="8368" w:type="dxa"/>
            <w:gridSpan w:val="8"/>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Condensed Consolidated Statements of Stockholders' Deficit</w:t>
            </w:r>
          </w:p>
        </w:tc>
        <w:tc>
          <w:tcPr>
            <w:tcW w:w="311" w:type="dxa"/>
            <w:tcBorders/>
            <w:shd w:fill="auto" w:val="clear"/>
            <w:vAlign w:val="center"/>
          </w:tcPr>
          <w:p>
            <w:pPr>
              <w:pStyle w:val="TableContents"/>
              <w:spacing w:before="0" w:after="0"/>
              <w:ind w:left="0" w:right="0" w:hanging="0"/>
              <w:jc w:val="center"/>
              <w:rPr/>
            </w:pPr>
            <w:r>
              <w:rPr/>
              <w:t> </w:t>
            </w:r>
          </w:p>
        </w:tc>
      </w:tr>
      <w:tr>
        <w:trPr/>
        <w:tc>
          <w:tcPr>
            <w:tcW w:w="8368" w:type="dxa"/>
            <w:gridSpan w:val="8"/>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(Unaudited – In millions, except share amounts)</w:t>
            </w:r>
          </w:p>
        </w:tc>
        <w:tc>
          <w:tcPr>
            <w:tcW w:w="311" w:type="dxa"/>
            <w:tcBorders/>
            <w:shd w:fill="auto" w:val="clear"/>
            <w:vAlign w:val="center"/>
          </w:tcPr>
          <w:p>
            <w:pPr>
              <w:pStyle w:val="TableContents"/>
              <w:spacing w:before="0" w:after="0"/>
              <w:ind w:left="0" w:right="0" w:hanging="0"/>
              <w:jc w:val="center"/>
              <w:rPr/>
            </w:pPr>
            <w:r>
              <w:rPr/>
              <w:t> </w:t>
            </w:r>
          </w:p>
        </w:tc>
      </w:tr>
      <w:tr>
        <w:trPr/>
        <w:tc>
          <w:tcPr>
            <w:tcW w:w="52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r>
      <w:tr>
        <w:trPr/>
        <w:tc>
          <w:tcPr>
            <w:tcW w:w="52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1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11" w:type="dxa"/>
            <w:tcBorders/>
            <w:shd w:fill="auto" w:val="clear"/>
            <w:vAlign w:val="center"/>
          </w:tcPr>
          <w:p>
            <w:pPr>
              <w:pStyle w:val="TableContents"/>
              <w:spacing w:before="0" w:after="0"/>
              <w:ind w:left="0" w:right="0" w:hanging="0"/>
              <w:jc w:val="center"/>
              <w:rPr/>
            </w:pPr>
            <w:r>
              <w:rPr/>
              <w:t> </w:t>
            </w:r>
          </w:p>
        </w:tc>
      </w:tr>
      <w:tr>
        <w:trPr/>
        <w:tc>
          <w:tcPr>
            <w:tcW w:w="52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Number of common shares outstanding:</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208,371,426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204,567,294</w:t>
            </w:r>
          </w:p>
        </w:tc>
        <w:tc>
          <w:tcPr>
            <w:tcW w:w="311" w:type="dxa"/>
            <w:tcBorders/>
            <w:shd w:fill="auto" w:val="clear"/>
            <w:vAlign w:val="center"/>
          </w:tcPr>
          <w:p>
            <w:pPr>
              <w:pStyle w:val="TableContents"/>
              <w:spacing w:before="0" w:after="0"/>
              <w:ind w:left="0" w:right="0" w:firstLine="100"/>
              <w:jc w:val="left"/>
              <w:rPr/>
            </w:pPr>
            <w:r>
              <w:rPr/>
              <w:t> </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Issuance of shares under equity-based compensation plans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2,107,228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3,716,067</w:t>
            </w:r>
          </w:p>
        </w:tc>
        <w:tc>
          <w:tcPr>
            <w:tcW w:w="311" w:type="dxa"/>
            <w:tcBorders/>
            <w:shd w:fill="auto" w:val="clear"/>
            <w:vAlign w:val="center"/>
          </w:tcPr>
          <w:p>
            <w:pPr>
              <w:pStyle w:val="TableContents"/>
              <w:spacing w:before="0" w:after="0"/>
              <w:ind w:left="0" w:right="0" w:firstLine="100"/>
              <w:jc w:val="left"/>
              <w:rPr/>
            </w:pPr>
            <w:r>
              <w:rPr/>
              <w:t> </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Shares surrendered under equity-based compensation plans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(700,666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(1,231,239</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209,777,988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207,052,122</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beginning and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2,540.7</w:t>
            </w:r>
          </w:p>
        </w:tc>
        <w:tc>
          <w:tcPr>
            <w:tcW w:w="311" w:type="dxa"/>
            <w:tcBorders/>
            <w:shd w:fill="auto" w:val="clear"/>
            <w:vAlign w:val="center"/>
          </w:tcPr>
          <w:p>
            <w:pPr>
              <w:pStyle w:val="TableContents"/>
              <w:spacing w:before="0" w:after="0"/>
              <w:ind w:left="0" w:right="0" w:firstLine="100"/>
              <w:jc w:val="left"/>
              <w:rPr/>
            </w:pPr>
            <w:r>
              <w:rPr/>
              <w:t> </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Issuance of shares under equity-based compensation plans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11" w:type="dxa"/>
            <w:tcBorders/>
            <w:shd w:fill="auto" w:val="clear"/>
            <w:vAlign w:val="center"/>
          </w:tcPr>
          <w:p>
            <w:pPr>
              <w:pStyle w:val="TableContents"/>
              <w:spacing w:before="0" w:after="0"/>
              <w:ind w:left="0" w:right="0" w:firstLine="100"/>
              <w:jc w:val="left"/>
              <w:rPr/>
            </w:pPr>
            <w:r>
              <w:rPr/>
              <w:t> </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311" w:type="dxa"/>
            <w:tcBorders/>
            <w:shd w:fill="auto" w:val="clear"/>
            <w:vAlign w:val="center"/>
          </w:tcPr>
          <w:p>
            <w:pPr>
              <w:pStyle w:val="TableContents"/>
              <w:spacing w:before="0" w:after="0"/>
              <w:ind w:left="0" w:right="0" w:firstLine="100"/>
              <w:jc w:val="left"/>
              <w:rPr/>
            </w:pPr>
            <w:r>
              <w:rPr/>
              <w:t> </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Dividends on Series A convertible preferred stock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2,541.3</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2,542.8</w:t>
            </w:r>
          </w:p>
        </w:tc>
        <w:tc>
          <w:tcPr>
            <w:tcW w:w="3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5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(2,215.3</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(3,498.8</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(2,355.2</w:t>
            </w:r>
          </w:p>
        </w:tc>
        <w:tc>
          <w:tcPr>
            <w:tcW w:w="3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(206.4</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(215.6</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Treasury stock, at cost:</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(277.8</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shares surrendered under equity-based compensation plans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(288.4</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(314.2</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r>
      <w:tr>
        <w:trPr/>
        <w:tc>
          <w:tcPr>
            <w:tcW w:w="8368" w:type="dxa"/>
            <w:gridSpan w:val="8"/>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See notes to unaudited condensed consolidated financial statements.</w:t>
            </w:r>
          </w:p>
        </w:tc>
        <w:tc>
          <w:tcPr>
            <w:tcW w:w="311" w:type="dxa"/>
            <w:tcBorders/>
            <w:shd w:fill="auto" w:val="clear"/>
            <w:vAlign w:val="center"/>
          </w:tcPr>
          <w:p>
            <w:pPr>
              <w:pStyle w:val="TableContents"/>
              <w:spacing w:before="0" w:after="0"/>
              <w:ind w:left="0" w:right="0" w:hanging="0"/>
              <w:jc w:val="center"/>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0" w:after="0"/>
        <w:jc w:val="left"/>
        <w:rPr>
          <w:rFonts w:ascii="Times New Roman" w:hAnsi="Times New Roman"/>
          <w:sz w:val="20"/>
        </w:rPr>
      </w:pPr>
      <w:bookmarkStart w:id="9" w:name="notes_to_unaudited_condensed_consolidate"/>
      <w:bookmarkEnd w:id="9"/>
      <w:r>
        <w:rPr>
          <w:rFonts w:ascii="Times New Roman;serif" w:hAnsi="Times New Roman;serif"/>
          <w:b/>
          <w:sz w:val="20"/>
        </w:rPr>
        <w:t>1. BACKGROUND AND BASIS OF PRESENTATION</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Background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CommScope Holding Company, Inc., along with its direct and indirect subsidiaries (CommScope or the Company), is a global provider of infrastructure solutions for communication, data center and entertainment networks. The Company’s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The Company’s solutions are complemented by services including technical support, systems design and integration. CommScope is a leader in digital video and IP television distribution systems, broadband access infrastructure platforms and equipment that delivers data and voice networks to homes. CommScope’s global leadership position is built upon innovative technology, broad solution offerings, high-quality and cost-effective customer solutions, and global manufacturing and distribution scale.</w:t>
      </w:r>
    </w:p>
    <w:p>
      <w:pPr>
        <w:pStyle w:val="TextBody"/>
        <w:spacing w:before="360" w:after="0"/>
        <w:jc w:val="left"/>
        <w:rPr>
          <w:rFonts w:ascii="Times New Roman;serif" w:hAnsi="Times New Roman;serif"/>
          <w:b/>
          <w:sz w:val="20"/>
        </w:rPr>
      </w:pPr>
      <w:r>
        <w:rPr>
          <w:rFonts w:ascii="Times New Roman;serif" w:hAnsi="Times New Roman;serif"/>
          <w:b/>
          <w:sz w:val="20"/>
        </w:rPr>
        <w:t>Basis of Presentation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unaudited interim condensed consolidated financial statements have been prepared in accordance with generally accepted accounting principles (GAAP) in the United States (U.S.) for interim financial information and are presented in accordance with the applicable requirements of Regulation S-X.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2022 (the 2022 Annual Report). The significant accounting policies followed by the Company are set forth in Note 2 within the Company’s audited consolidated financial statements included in the 2022 Annual Report. There were no material changes in the Company’s significant accounting policies during the three months ended March 31, 2023.</w:t>
      </w:r>
    </w:p>
    <w:p>
      <w:pPr>
        <w:pStyle w:val="TextBody"/>
        <w:spacing w:before="360" w:after="0"/>
        <w:jc w:val="left"/>
        <w:rPr>
          <w:rFonts w:ascii="Times New Roman;serif" w:hAnsi="Times New Roman;serif"/>
          <w:b/>
          <w:sz w:val="20"/>
        </w:rPr>
      </w:pPr>
      <w:r>
        <w:rPr>
          <w:rFonts w:ascii="Times New Roman;serif" w:hAnsi="Times New Roman;serif"/>
          <w:b/>
          <w:sz w:val="20"/>
        </w:rPr>
        <w:t>Concentrations of Risk and Related Party Transactions</w:t>
      </w:r>
    </w:p>
    <w:p>
      <w:pPr>
        <w:pStyle w:val="TextBody"/>
        <w:spacing w:before="120" w:after="0"/>
        <w:jc w:val="left"/>
        <w:rPr>
          <w:rFonts w:ascii="Times New Roman" w:hAnsi="Times New Roman"/>
          <w:sz w:val="20"/>
        </w:rPr>
      </w:pPr>
      <w:r>
        <w:rPr>
          <w:rFonts w:ascii="Times New Roman;serif" w:hAnsi="Times New Roman;serif"/>
          <w:b w:val="false"/>
          <w:sz w:val="20"/>
        </w:rPr>
        <w:t>Net sales to Comcast Corporation and affiliates (Comcast) accounted for 11% of the Company's total net sales during the three months ended March 31, 2023. No</w:t>
      </w:r>
      <w:r>
        <w:rPr>
          <w:rFonts w:ascii="Times New Roman" w:hAnsi="Times New Roman"/>
          <w:sz w:val="20"/>
        </w:rPr>
        <w:t xml:space="preserve"> </w:t>
      </w:r>
      <w:r>
        <w:rPr>
          <w:rFonts w:ascii="Times New Roman;serif" w:hAnsi="Times New Roman;serif"/>
          <w:b w:val="false"/>
          <w:sz w:val="20"/>
        </w:rPr>
        <w:t>direct customer accounted for 10% or more of the Company's total net sales during the three months ended March 31, 2022. As of March 31, 2023, no</w:t>
      </w:r>
      <w:r>
        <w:rPr>
          <w:rFonts w:ascii="Times New Roman" w:hAnsi="Times New Roman"/>
          <w:sz w:val="20"/>
        </w:rPr>
        <w:t xml:space="preserve"> </w:t>
      </w:r>
      <w:r>
        <w:rPr>
          <w:rFonts w:ascii="Times New Roman;serif" w:hAnsi="Times New Roman;serif"/>
          <w:b w:val="false"/>
          <w:sz w:val="20"/>
        </w:rPr>
        <w:t>direct customer accounted for 10% or more of the Company’s accounts receivable.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pStyle w:val="TextBody"/>
        <w:spacing w:before="240" w:after="0"/>
        <w:jc w:val="left"/>
        <w:rPr>
          <w:rFonts w:ascii="Times New Roman" w:hAnsi="Times New Roman"/>
          <w:sz w:val="20"/>
        </w:rPr>
      </w:pPr>
      <w:r>
        <w:rPr>
          <w:rFonts w:ascii="Times New Roman;serif" w:hAnsi="Times New Roman;serif"/>
          <w:b w:val="false"/>
          <w:sz w:val="20"/>
        </w:rPr>
        <w:t>As of March 31, 2023, funds affiliated with Carlyle Partners VII S1 Holdings, L.P. (Carlyle) owned 100% of the Series A convertible preferred stock (the Convertible Preferred Stock), which was sold to Carlyle to fund a portion of the acquisition of ARRIS International plc (ARRIS) in 2019. See Note 9 for further discussion of the Convertible Preferred Stock. Other than transactions related to the Convertible Preferred Stock, there were no</w:t>
      </w:r>
      <w:r>
        <w:rPr>
          <w:rFonts w:ascii="Times New Roman" w:hAnsi="Times New Roman"/>
          <w:sz w:val="20"/>
        </w:rPr>
        <w:t xml:space="preserve"> </w:t>
      </w:r>
      <w:r>
        <w:rPr>
          <w:rFonts w:ascii="Times New Roman;serif" w:hAnsi="Times New Roman;serif"/>
          <w:b w:val="false"/>
          <w:sz w:val="20"/>
        </w:rPr>
        <w:t>material related party transactions for the three months ended March 31,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Commitments and Contingencies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Product Warranties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recognizes a liability for the estimated claims that may be paid under its customer assurance-type warranty agreements to remedy potential deficiencies of quality or performance of the Company’s products. These product warranties extend over various periods, depending on the product subject to the warranty and the terms of the individual agreements. The Company records a provision for estimated future warranty claims as cost of sales based upon the historical relationship of warranty claims to sales and specifically identified warranty issues. The Company bases its estimates on assumptions that are believed to be reasonable under the circumstances and revises its estimates, as appropriate, when events or changes in circumstances indicate that revisions may be necessary. Such revisions may be material.</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following table summarizes the activity in the product warranty accrual, included in accrued and other liabilities and other noncurrent liabilities on the Condensed Consolidated Balance Sheets:</w:t>
      </w:r>
    </w:p>
    <w:tbl>
      <w:tblPr>
        <w:tblW w:w="5864" w:type="dxa"/>
        <w:jc w:val="left"/>
        <w:tblInd w:w="0" w:type="dxa"/>
        <w:tblCellMar>
          <w:top w:w="28" w:type="dxa"/>
          <w:left w:w="28" w:type="dxa"/>
          <w:bottom w:w="28" w:type="dxa"/>
          <w:right w:w="28" w:type="dxa"/>
        </w:tblCellMar>
      </w:tblPr>
      <w:tblGrid>
        <w:gridCol w:w="3841"/>
        <w:gridCol w:w="146"/>
        <w:gridCol w:w="211"/>
        <w:gridCol w:w="466"/>
        <w:gridCol w:w="166"/>
        <w:gridCol w:w="146"/>
        <w:gridCol w:w="211"/>
        <w:gridCol w:w="466"/>
        <w:gridCol w:w="211"/>
      </w:tblGrid>
      <w:tr>
        <w:trPr/>
        <w:tc>
          <w:tcPr>
            <w:tcW w:w="3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11" w:type="dxa"/>
            <w:tcBorders/>
            <w:shd w:fill="auto" w:val="clear"/>
            <w:vAlign w:val="center"/>
          </w:tcPr>
          <w:p>
            <w:pPr>
              <w:pStyle w:val="TableContents"/>
              <w:spacing w:before="0" w:after="0"/>
              <w:ind w:left="0" w:right="0" w:hanging="0"/>
              <w:jc w:val="center"/>
              <w:rPr/>
            </w:pPr>
            <w:r>
              <w:rPr/>
              <w:t> </w:t>
            </w:r>
          </w:p>
        </w:tc>
      </w:tr>
      <w:tr>
        <w:trPr/>
        <w:tc>
          <w:tcPr>
            <w:tcW w:w="3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warranty accrual,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w:t>
            </w:r>
          </w:p>
        </w:tc>
        <w:tc>
          <w:tcPr>
            <w:tcW w:w="211" w:type="dxa"/>
            <w:tcBorders/>
            <w:shd w:fill="auto" w:val="clear"/>
            <w:vAlign w:val="center"/>
          </w:tcPr>
          <w:p>
            <w:pPr>
              <w:pStyle w:val="TableContents"/>
              <w:spacing w:before="0" w:after="0"/>
              <w:ind w:left="0" w:right="0" w:hanging="0"/>
              <w:jc w:val="left"/>
              <w:rPr/>
            </w:pPr>
            <w:r>
              <w:rPr/>
              <w:t> </w:t>
            </w:r>
          </w:p>
        </w:tc>
      </w:tr>
      <w:tr>
        <w:trPr/>
        <w:tc>
          <w:tcPr>
            <w:tcW w:w="3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warranty claims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211" w:type="dxa"/>
            <w:tcBorders/>
            <w:shd w:fill="auto" w:val="clear"/>
            <w:vAlign w:val="center"/>
          </w:tcPr>
          <w:p>
            <w:pPr>
              <w:pStyle w:val="TableContents"/>
              <w:spacing w:before="0" w:after="0"/>
              <w:ind w:left="0" w:right="0" w:hanging="0"/>
              <w:jc w:val="left"/>
              <w:rPr/>
            </w:pPr>
            <w:r>
              <w:rPr/>
              <w:t> </w:t>
            </w:r>
          </w:p>
        </w:tc>
      </w:tr>
      <w:tr>
        <w:trPr/>
        <w:tc>
          <w:tcPr>
            <w:tcW w:w="3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Warranty claims paid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exchange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warranty accrual,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0"/>
        <w:jc w:val="left"/>
        <w:rPr>
          <w:rFonts w:ascii="Times New Roman;serif" w:hAnsi="Times New Roman;serif"/>
          <w:b w:val="false"/>
          <w:i/>
          <w:sz w:val="20"/>
        </w:rPr>
      </w:pPr>
      <w:r>
        <w:rPr>
          <w:rFonts w:ascii="Times New Roman;serif" w:hAnsi="Times New Roman;serif"/>
          <w:b w:val="false"/>
          <w:i/>
          <w:sz w:val="20"/>
        </w:rPr>
        <w:t>Third-Party Guarantees</w:t>
      </w:r>
    </w:p>
    <w:p>
      <w:pPr>
        <w:pStyle w:val="TextBody"/>
        <w:spacing w:before="120" w:after="0"/>
        <w:jc w:val="left"/>
        <w:rPr>
          <w:rFonts w:ascii="Times New Roman" w:hAnsi="Times New Roman"/>
          <w:sz w:val="20"/>
        </w:rPr>
      </w:pPr>
      <w:r>
        <w:rPr>
          <w:rFonts w:ascii="Times New Roman;serif" w:hAnsi="Times New Roman;serif"/>
          <w:b w:val="false"/>
          <w:sz w:val="20"/>
        </w:rPr>
        <w:t>The Company was contingently liable under open standby letters of credit issued by its banks to support performance obligations of a third-party contractor that totaled $44.0</w:t>
      </w:r>
      <w:r>
        <w:rPr>
          <w:rFonts w:ascii="Times New Roman" w:hAnsi="Times New Roman"/>
          <w:sz w:val="20"/>
        </w:rPr>
        <w:t xml:space="preserve"> </w:t>
      </w:r>
      <w:r>
        <w:rPr>
          <w:rFonts w:ascii="Times New Roman;serif" w:hAnsi="Times New Roman;serif"/>
          <w:b w:val="false"/>
          <w:sz w:val="20"/>
        </w:rPr>
        <w:t>million as of March 31, 2023.</w:t>
      </w:r>
      <w:r>
        <w:rPr>
          <w:rFonts w:ascii="Times New Roman" w:hAnsi="Times New Roman"/>
          <w:sz w:val="20"/>
        </w:rPr>
        <w:t xml:space="preserve"> </w:t>
      </w:r>
      <w:r>
        <w:rPr>
          <w:rFonts w:ascii="Times New Roman;serif" w:hAnsi="Times New Roman;serif"/>
          <w:b w:val="false"/>
          <w:sz w:val="20"/>
        </w:rPr>
        <w:t>These amounts represent an estimate of the maximum amounts the Company would expect to incur upon the contractual non-performance of the third-party contractor, but the Company also has cross-indemnities in place that may enable it to recover amounts in the event of non-performance by the third-party contractor. The Company believes the likelihood of having to perform under these guarantees is remote. There were no</w:t>
      </w:r>
      <w:r>
        <w:rPr>
          <w:rFonts w:ascii="Times New Roman" w:hAnsi="Times New Roman"/>
          <w:sz w:val="20"/>
        </w:rPr>
        <w:t xml:space="preserve"> </w:t>
      </w:r>
      <w:r>
        <w:rPr>
          <w:rFonts w:ascii="Times New Roman;serif" w:hAnsi="Times New Roman;serif"/>
          <w:b w:val="false"/>
          <w:sz w:val="20"/>
        </w:rPr>
        <w:t>material amounts recorded in the condensed consolidated financial statements related to third-party guarantee agreements for the three months ended March 31, 2023 or 2022 and as of March 31, 2023 or December 31, 2022. As of March 31, 2023, these instruments reduced the available borrowings under the senior secured asset-based revolving credit facility (the Revolving Credit Facility).</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Legal Proceedings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is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defend and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pStyle w:val="TextBody"/>
        <w:spacing w:before="240" w:after="0"/>
        <w:jc w:val="left"/>
        <w:rPr>
          <w:rFonts w:ascii="Times New Roman" w:hAnsi="Times New Roman"/>
          <w:sz w:val="20"/>
        </w:rPr>
      </w:pPr>
      <w:r>
        <w:rPr>
          <w:rFonts w:ascii="Times New Roman;serif" w:hAnsi="Times New Roman;serif"/>
          <w:b w:val="false"/>
          <w:sz w:val="20"/>
        </w:rPr>
        <w:t>The Company had liabilities of $27.4</w:t>
      </w:r>
      <w:r>
        <w:rPr>
          <w:rFonts w:ascii="Times New Roman" w:hAnsi="Times New Roman"/>
          <w:sz w:val="20"/>
        </w:rPr>
        <w:t xml:space="preserve"> </w:t>
      </w:r>
      <w:r>
        <w:rPr>
          <w:rFonts w:ascii="Times New Roman;serif" w:hAnsi="Times New Roman;serif"/>
          <w:b w:val="false"/>
          <w:sz w:val="20"/>
        </w:rPr>
        <w:t>million and $37.1</w:t>
      </w:r>
      <w:r>
        <w:rPr>
          <w:rFonts w:ascii="Times New Roman" w:hAnsi="Times New Roman"/>
          <w:sz w:val="20"/>
        </w:rPr>
        <w:t xml:space="preserve"> </w:t>
      </w:r>
      <w:r>
        <w:rPr>
          <w:rFonts w:ascii="Times New Roman;serif" w:hAnsi="Times New Roman;serif"/>
          <w:b w:val="false"/>
          <w:sz w:val="20"/>
        </w:rPr>
        <w:t>million as of March 31, 2023 and December 31, 2022, respectively, recorded in accrued and other liabilities and noncurrent liabilities on the Condensed Consolidated Balance Sheets related to certain intellectual property assertions that have been settled or are in the process of settlement. For the three months ended March 31, 2023, the Company released $11.0</w:t>
      </w:r>
      <w:r>
        <w:rPr>
          <w:rFonts w:ascii="Times New Roman" w:hAnsi="Times New Roman"/>
          <w:sz w:val="20"/>
        </w:rPr>
        <w:t xml:space="preserve"> </w:t>
      </w:r>
      <w:r>
        <w:rPr>
          <w:rFonts w:ascii="Times New Roman;serif" w:hAnsi="Times New Roman;serif"/>
          <w:b w:val="false"/>
          <w:sz w:val="20"/>
        </w:rPr>
        <w:t>million in accrued liabilities related to an intellectual property claim that was settled at an amount that was lower than estimated. Charges related to intellectual property assertions were not material for the three months ended March 31, 2022. The Company did not make any payments to settle intellectual property claims and assertions during the three months ended March 31, 2023. The Company paid $7.1</w:t>
      </w:r>
      <w:r>
        <w:rPr>
          <w:rFonts w:ascii="Times New Roman" w:hAnsi="Times New Roman"/>
          <w:sz w:val="20"/>
        </w:rPr>
        <w:t xml:space="preserve"> </w:t>
      </w:r>
      <w:r>
        <w:rPr>
          <w:rFonts w:ascii="Times New Roman;serif" w:hAnsi="Times New Roman;serif"/>
          <w:b w:val="false"/>
          <w:sz w:val="20"/>
        </w:rPr>
        <w:t>million during the three months ended March 31, 2022 to settle intellectual property claims and assertions.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is also either a plaintiff or a defendant in certain other pending legal matters in the normal course of business. Management believes that, upon final disposition, none of these other pending legal matters will have a material adverse effect on the Company’s business or financial condition.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pStyle w:val="TextBody"/>
        <w:spacing w:before="360" w:after="0"/>
        <w:jc w:val="left"/>
        <w:rPr>
          <w:rFonts w:ascii="Times New Roman;serif" w:hAnsi="Times New Roman;serif"/>
          <w:b/>
          <w:sz w:val="20"/>
        </w:rPr>
      </w:pPr>
      <w:r>
        <w:rPr>
          <w:rFonts w:ascii="Times New Roman;serif" w:hAnsi="Times New Roman;serif"/>
          <w:b/>
          <w:sz w:val="20"/>
        </w:rPr>
        <w:t>Asset Impairments</w:t>
      </w:r>
    </w:p>
    <w:p>
      <w:pPr>
        <w:pStyle w:val="TextBody"/>
        <w:spacing w:before="120" w:after="0"/>
        <w:jc w:val="left"/>
        <w:rPr>
          <w:rFonts w:ascii="Times New Roman" w:hAnsi="Times New Roman"/>
          <w:sz w:val="20"/>
        </w:rPr>
      </w:pPr>
      <w:r>
        <w:rPr>
          <w:rFonts w:ascii="Times New Roman;serif" w:hAnsi="Times New Roman;serif"/>
          <w:b w:val="false"/>
          <w:sz w:val="20"/>
        </w:rPr>
        <w:t>Goodwill is tested for impairment annually or at other times if events have occurred or circumstances exist that indicate the carrying value of the reporting unit may exceed its fair value. There were no</w:t>
      </w:r>
      <w:r>
        <w:rPr>
          <w:rFonts w:ascii="Times New Roman" w:hAnsi="Times New Roman"/>
          <w:sz w:val="20"/>
        </w:rPr>
        <w:t xml:space="preserve"> </w:t>
      </w:r>
      <w:r>
        <w:rPr>
          <w:rFonts w:ascii="Times New Roman;serif" w:hAnsi="Times New Roman;serif"/>
          <w:b w:val="false"/>
          <w:sz w:val="20"/>
        </w:rPr>
        <w:t>goodwill impairments identified during the three months ended March 31, 2023 or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Company’s Access Network Solutions (ANS) reporting unit failed the annual goodwill impairment test and a partial impairment was recorded as of October 1, 2022. Also, the amount by which the Company's Building and Data Center Connectivity (BDCC) reporting unit's fair value exceeded its carrying value was lower year over year. The BDCC reporting unit is in the Connectivity and Cable Solutions (CCS) reportable segment. Considering the headroom going forward for each of the ANS and BDCC reporting units, there is a risk for future impairment in the event of declines in general economic, market or business conditions or any significant unfavorable change in the forecasted cash flows, weighted average cost of capital or growth rates. If current and long-term projections for the ANS and BDCC reporting units are not realized or decrease materially, the Company may be required to recognize additional goodwill impairment charges, and these charges could be material to its results of operations.</w:t>
      </w:r>
    </w:p>
    <w:p>
      <w:pPr>
        <w:pStyle w:val="TextBody"/>
        <w:spacing w:before="240" w:after="0"/>
        <w:jc w:val="left"/>
        <w:rPr>
          <w:rFonts w:ascii="Times New Roman" w:hAnsi="Times New Roman"/>
          <w:sz w:val="20"/>
        </w:rPr>
      </w:pPr>
      <w:r>
        <w:rPr>
          <w:rFonts w:ascii="Times New Roman;serif" w:hAnsi="Times New Roman;serif"/>
          <w:b w:val="false"/>
          <w:sz w:val="20"/>
        </w:rPr>
        <w:t>Property, plant and equipment, intangible assets with finite lives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estimated fair value. Equity investments without readily determinable fair values are evaluated each reporting period for impairment based on a qualitative assessment and are then measured at fair value if an impairment is determined to exist. Other than certain assets impaired as a result of restructuring actions, there were no</w:t>
      </w:r>
      <w:r>
        <w:rPr>
          <w:rFonts w:ascii="Times New Roman" w:hAnsi="Times New Roman"/>
          <w:sz w:val="20"/>
        </w:rPr>
        <w:t xml:space="preserve"> </w:t>
      </w:r>
      <w:r>
        <w:rPr>
          <w:rFonts w:ascii="Times New Roman;serif" w:hAnsi="Times New Roman;serif"/>
          <w:b w:val="false"/>
          <w:sz w:val="20"/>
        </w:rPr>
        <w:t>definite-lived intangible or other long-lived asset impairments identified during the three months ended March 31, 2023 or 2022. Changes in the estimates of forecasted net cash flows or changes in classification from held for use may result in future asset impairments that could be material to the Company's results of operations.</w:t>
      </w:r>
    </w:p>
    <w:p>
      <w:pPr>
        <w:pStyle w:val="TextBody"/>
        <w:spacing w:before="360" w:after="0"/>
        <w:jc w:val="left"/>
        <w:rPr>
          <w:rFonts w:ascii="Times New Roman;serif" w:hAnsi="Times New Roman;serif"/>
          <w:b/>
          <w:sz w:val="20"/>
        </w:rPr>
      </w:pPr>
      <w:r>
        <w:rPr>
          <w:rFonts w:ascii="Times New Roman;serif" w:hAnsi="Times New Roman;serif"/>
          <w:b/>
          <w:sz w:val="20"/>
        </w:rPr>
        <w:t>Income Taxes</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the Company recognized an income tax benefit of $7.8</w:t>
      </w:r>
      <w:r>
        <w:rPr>
          <w:rFonts w:ascii="Times New Roman" w:hAnsi="Times New Roman"/>
          <w:sz w:val="20"/>
        </w:rPr>
        <w:t xml:space="preserve"> </w:t>
      </w:r>
      <w:r>
        <w:rPr>
          <w:rFonts w:ascii="Times New Roman;serif" w:hAnsi="Times New Roman;serif"/>
          <w:b w:val="false"/>
          <w:sz w:val="20"/>
        </w:rPr>
        <w:t>million on a pretax loss of $4.4</w:t>
      </w:r>
      <w:r>
        <w:rPr>
          <w:rFonts w:ascii="Times New Roman" w:hAnsi="Times New Roman"/>
          <w:sz w:val="20"/>
        </w:rPr>
        <w:t xml:space="preserve"> </w:t>
      </w:r>
      <w:r>
        <w:rPr>
          <w:rFonts w:ascii="Times New Roman;serif" w:hAnsi="Times New Roman;serif"/>
          <w:b w:val="false"/>
          <w:sz w:val="20"/>
        </w:rPr>
        <w:t>million. The Company’s tax benefit was higher than the statutory rate of 21.0% due to a reduction in tax expense of $8.3</w:t>
      </w:r>
      <w:r>
        <w:rPr>
          <w:rFonts w:ascii="Times New Roman" w:hAnsi="Times New Roman"/>
          <w:sz w:val="20"/>
        </w:rPr>
        <w:t xml:space="preserve"> </w:t>
      </w:r>
      <w:r>
        <w:rPr>
          <w:rFonts w:ascii="Times New Roman;serif" w:hAnsi="Times New Roman;serif"/>
          <w:b w:val="false"/>
          <w:sz w:val="20"/>
        </w:rPr>
        <w:t>million related to the release of various uncertain tax positions. This benefit was partially offset by the unfavorable impacts of U.S. anti-deferral provisions and non-creditable withholding taxes.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2022, the Company recognized income tax expense of $30.9</w:t>
      </w:r>
      <w:r>
        <w:rPr>
          <w:rFonts w:ascii="Times New Roman" w:hAnsi="Times New Roman"/>
          <w:sz w:val="20"/>
        </w:rPr>
        <w:t xml:space="preserve"> </w:t>
      </w:r>
      <w:r>
        <w:rPr>
          <w:rFonts w:ascii="Times New Roman;serif" w:hAnsi="Times New Roman;serif"/>
          <w:b w:val="false"/>
          <w:sz w:val="20"/>
        </w:rPr>
        <w:t>million on a pretax loss of $109.0</w:t>
      </w:r>
      <w:r>
        <w:rPr>
          <w:rFonts w:ascii="Times New Roman" w:hAnsi="Times New Roman"/>
          <w:sz w:val="20"/>
        </w:rPr>
        <w:t xml:space="preserve"> </w:t>
      </w:r>
      <w:r>
        <w:rPr>
          <w:rFonts w:ascii="Times New Roman;serif" w:hAnsi="Times New Roman;serif"/>
          <w:b w:val="false"/>
          <w:sz w:val="20"/>
        </w:rPr>
        <w:t>million. The Company’s tax expense was driven by the unfavorable impacts of U.S. anti-deferral provisions and non-creditable withholding taxes.</w:t>
      </w:r>
    </w:p>
    <w:p>
      <w:pPr>
        <w:pStyle w:val="TextBody"/>
        <w:spacing w:before="360" w:after="0"/>
        <w:jc w:val="left"/>
        <w:rPr>
          <w:rFonts w:ascii="Times New Roman;serif" w:hAnsi="Times New Roman;serif"/>
          <w:b/>
          <w:sz w:val="20"/>
        </w:rPr>
      </w:pPr>
      <w:r>
        <w:rPr>
          <w:rFonts w:ascii="Times New Roman;serif" w:hAnsi="Times New Roman;serif"/>
          <w:b/>
          <w:sz w:val="20"/>
        </w:rPr>
        <w:t>Earnings (Loss) Per Share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Basic earnings (loss) per share (EPS) is computed by dividing net income (loss), less any dividends and deemed dividends related to the Convertible Preferred Stock, by the weighted average number of common shares outstanding during the period. The numerator in diluted EPS is based on the basic EPS numerator, adjusted to add back any dividends and deemed dividends related to the Convertible Preferred Stock, subject to antidilution requirements. The denominator used in diluted EPS is based on the basic EPS computation plus the effect of potentially dilutive common shares related to the Convertible Preferred Stock and equity-based compensation plans, subject to antidilution requirements.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w:t>
      </w:r>
      <w:r>
        <w:rPr>
          <w:rFonts w:ascii="Times New Roman" w:hAnsi="Times New Roman"/>
          <w:sz w:val="20"/>
        </w:rPr>
        <w:t xml:space="preserve"> </w:t>
      </w:r>
      <w:r>
        <w:rPr>
          <w:rFonts w:ascii="Times New Roman;serif" w:hAnsi="Times New Roman;serif"/>
          <w:b w:val="false"/>
          <w:sz w:val="20"/>
        </w:rPr>
        <w:t>and 2022, 15.4</w:t>
      </w:r>
      <w:r>
        <w:rPr>
          <w:rFonts w:ascii="Times New Roman" w:hAnsi="Times New Roman"/>
          <w:sz w:val="20"/>
        </w:rPr>
        <w:t xml:space="preserve"> </w:t>
      </w:r>
      <w:r>
        <w:rPr>
          <w:rFonts w:ascii="Times New Roman;serif" w:hAnsi="Times New Roman;serif"/>
          <w:b w:val="false"/>
          <w:sz w:val="20"/>
        </w:rPr>
        <w:t>million and 11.5</w:t>
      </w:r>
      <w:r>
        <w:rPr>
          <w:rFonts w:ascii="Times New Roman" w:hAnsi="Times New Roman"/>
          <w:sz w:val="20"/>
        </w:rPr>
        <w:t xml:space="preserve"> </w:t>
      </w:r>
      <w:r>
        <w:rPr>
          <w:rFonts w:ascii="Times New Roman;serif" w:hAnsi="Times New Roman;serif"/>
          <w:b w:val="false"/>
          <w:sz w:val="20"/>
        </w:rPr>
        <w:t>million shares, respectively, of outstanding equity-based compensation awards were not included in the computation of diluted EPS because the effect was antidilutive or the performance conditions were not met. Of those amounts, for the three months ended March 31, 2023 and 2022, 3.2</w:t>
      </w:r>
      <w:r>
        <w:rPr>
          <w:rFonts w:ascii="Times New Roman" w:hAnsi="Times New Roman"/>
          <w:sz w:val="20"/>
        </w:rPr>
        <w:t xml:space="preserve"> </w:t>
      </w:r>
      <w:r>
        <w:rPr>
          <w:rFonts w:ascii="Times New Roman;serif" w:hAnsi="Times New Roman;serif"/>
          <w:b w:val="false"/>
          <w:sz w:val="20"/>
        </w:rPr>
        <w:t>million and 3.6</w:t>
      </w:r>
      <w:r>
        <w:rPr>
          <w:rFonts w:ascii="Times New Roman" w:hAnsi="Times New Roman"/>
          <w:sz w:val="20"/>
        </w:rPr>
        <w:t xml:space="preserve"> </w:t>
      </w:r>
      <w:r>
        <w:rPr>
          <w:rFonts w:ascii="Times New Roman;serif" w:hAnsi="Times New Roman;serif"/>
          <w:b w:val="false"/>
          <w:sz w:val="20"/>
        </w:rPr>
        <w:t>million shares, respectively, would have been considered dilutive if the Company had not been in a net loss attributable to common stockholders position.</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 and 2022, 40.0</w:t>
      </w:r>
      <w:r>
        <w:rPr>
          <w:rFonts w:ascii="Times New Roman" w:hAnsi="Times New Roman"/>
          <w:sz w:val="20"/>
        </w:rPr>
        <w:t xml:space="preserve"> </w:t>
      </w:r>
      <w:r>
        <w:rPr>
          <w:rFonts w:ascii="Times New Roman;serif" w:hAnsi="Times New Roman;serif"/>
          <w:b w:val="false"/>
          <w:sz w:val="20"/>
        </w:rPr>
        <w:t>million and 38.4</w:t>
      </w:r>
      <w:r>
        <w:rPr>
          <w:rFonts w:ascii="Times New Roman" w:hAnsi="Times New Roman"/>
          <w:sz w:val="20"/>
        </w:rPr>
        <w:t xml:space="preserve"> </w:t>
      </w:r>
      <w:r>
        <w:rPr>
          <w:rFonts w:ascii="Times New Roman;serif" w:hAnsi="Times New Roman;serif"/>
          <w:b w:val="false"/>
          <w:sz w:val="20"/>
        </w:rPr>
        <w:t>million, respectively, of as-if converted shares related to the Convertible Preferred Stock were excluded from the diluted share count because they were antidilutive; however, they may have been considered dilutive if the Company had not been in a net loss attributable to common stockholders position.</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following table presents the basis for the EPS computations (in millions, except per share data):</w:t>
      </w:r>
    </w:p>
    <w:tbl>
      <w:tblPr>
        <w:tblW w:w="8244" w:type="dxa"/>
        <w:jc w:val="left"/>
        <w:tblInd w:w="0" w:type="dxa"/>
        <w:tblCellMar>
          <w:top w:w="28" w:type="dxa"/>
          <w:left w:w="28" w:type="dxa"/>
          <w:bottom w:w="28" w:type="dxa"/>
          <w:right w:w="28" w:type="dxa"/>
        </w:tblCellMar>
      </w:tblPr>
      <w:tblGrid>
        <w:gridCol w:w="5671"/>
        <w:gridCol w:w="146"/>
        <w:gridCol w:w="211"/>
        <w:gridCol w:w="571"/>
        <w:gridCol w:w="166"/>
        <w:gridCol w:w="146"/>
        <w:gridCol w:w="211"/>
        <w:gridCol w:w="631"/>
        <w:gridCol w:w="491"/>
      </w:tblGrid>
      <w:tr>
        <w:trPr/>
        <w:tc>
          <w:tcPr>
            <w:tcW w:w="5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491" w:type="dxa"/>
            <w:tcBorders/>
            <w:shd w:fill="auto" w:val="clear"/>
            <w:vAlign w:val="center"/>
          </w:tcPr>
          <w:p>
            <w:pPr>
              <w:pStyle w:val="TableContents"/>
              <w:spacing w:before="0" w:after="0"/>
              <w:ind w:left="0" w:right="0" w:hanging="0"/>
              <w:jc w:val="center"/>
              <w:rPr/>
            </w:pPr>
            <w:r>
              <w:rPr/>
              <w:t> </w:t>
            </w:r>
          </w:p>
        </w:tc>
      </w:tr>
      <w:tr>
        <w:trPr/>
        <w:tc>
          <w:tcPr>
            <w:tcW w:w="5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100"/>
              <w:jc w:val="left"/>
              <w:rPr/>
            </w:pPr>
            <w:r>
              <w:rPr/>
              <w:t> </w:t>
            </w:r>
          </w:p>
        </w:tc>
      </w:tr>
      <w:tr>
        <w:trPr/>
        <w:tc>
          <w:tcPr>
            <w:tcW w:w="56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49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6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Dividends on Series A convertible preferred stock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49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6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(154.4</w:t>
            </w:r>
          </w:p>
        </w:tc>
        <w:tc>
          <w:tcPr>
            <w:tcW w:w="4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671"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5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100"/>
              <w:jc w:val="left"/>
              <w:rPr/>
            </w:pPr>
            <w:r>
              <w:rPr/>
              <w:t> </w:t>
            </w:r>
          </w:p>
        </w:tc>
      </w:tr>
      <w:tr>
        <w:trPr/>
        <w:tc>
          <w:tcPr>
            <w:tcW w:w="56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 average common shares outstanding – 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205.4</w:t>
            </w:r>
          </w:p>
        </w:tc>
        <w:tc>
          <w:tcPr>
            <w:tcW w:w="491" w:type="dxa"/>
            <w:tcBorders/>
            <w:shd w:fill="auto" w:val="clear"/>
            <w:vAlign w:val="center"/>
          </w:tcPr>
          <w:p>
            <w:pPr>
              <w:pStyle w:val="TableContents"/>
              <w:spacing w:before="0" w:after="0"/>
              <w:ind w:left="0" w:right="0" w:firstLine="300"/>
              <w:jc w:val="left"/>
              <w:rPr/>
            </w:pPr>
            <w:r>
              <w:rPr/>
              <w:t> </w:t>
            </w:r>
          </w:p>
        </w:tc>
      </w:tr>
      <w:tr>
        <w:trPr/>
        <w:tc>
          <w:tcPr>
            <w:tcW w:w="567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Dilutive effect of as-if converted Series A convertible preferred stock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491" w:type="dxa"/>
            <w:tcBorders/>
            <w:shd w:fill="auto" w:val="clear"/>
            <w:vAlign w:val="center"/>
          </w:tcPr>
          <w:p>
            <w:pPr>
              <w:pStyle w:val="TableContents"/>
              <w:spacing w:before="0" w:after="0"/>
              <w:ind w:left="0" w:right="0" w:firstLine="300"/>
              <w:jc w:val="left"/>
              <w:rPr/>
            </w:pPr>
            <w:r>
              <w:rPr/>
              <w:t> </w:t>
            </w:r>
          </w:p>
        </w:tc>
      </w:tr>
      <w:tr>
        <w:trPr/>
        <w:tc>
          <w:tcPr>
            <w:tcW w:w="567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Dilutive effect of equity-based awards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56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 average common shares outstanding –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205.4</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5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per share:</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100"/>
              <w:jc w:val="left"/>
              <w:rPr/>
            </w:pPr>
            <w:r>
              <w:rPr/>
              <w:t> </w:t>
            </w:r>
          </w:p>
        </w:tc>
      </w:tr>
      <w:tr>
        <w:trPr/>
        <w:tc>
          <w:tcPr>
            <w:tcW w:w="56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(0.75</w:t>
            </w:r>
          </w:p>
        </w:tc>
        <w:tc>
          <w:tcPr>
            <w:tcW w:w="49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6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(0.75</w:t>
            </w:r>
          </w:p>
        </w:tc>
        <w:tc>
          <w:tcPr>
            <w:tcW w:w="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360" w:after="120"/>
        <w:jc w:val="left"/>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w:t>
      </w:r>
    </w:p>
    <w:p>
      <w:pPr>
        <w:pStyle w:val="TextBody"/>
        <w:spacing w:before="120" w:after="120"/>
        <w:jc w:val="left"/>
        <w:rPr>
          <w:rFonts w:ascii="Times New Roman;serif" w:hAnsi="Times New Roman;serif"/>
          <w:b w:val="false"/>
          <w:i/>
          <w:sz w:val="20"/>
        </w:rPr>
      </w:pPr>
      <w:r>
        <w:rPr>
          <w:rFonts w:ascii="Times New Roman;serif" w:hAnsi="Times New Roman;serif"/>
          <w:b w:val="false"/>
          <w:i/>
          <w:sz w:val="20"/>
        </w:rPr>
        <w:t>Adopted During the Three Months Ended March 31, 2023</w:t>
      </w:r>
    </w:p>
    <w:p>
      <w:pPr>
        <w:pStyle w:val="TextBody"/>
        <w:spacing w:before="120" w:after="0"/>
        <w:jc w:val="left"/>
        <w:rPr>
          <w:rFonts w:ascii="Times New Roman" w:hAnsi="Times New Roman"/>
          <w:sz w:val="20"/>
        </w:rPr>
      </w:pPr>
      <w:r>
        <w:rPr>
          <w:rFonts w:ascii="Times New Roman;serif" w:hAnsi="Times New Roman;serif"/>
          <w:b w:val="false"/>
          <w:sz w:val="20"/>
        </w:rPr>
        <w:t xml:space="preserve">On January 1, 2023, the Company adopted Accounting Standards Update (ASU) No. 2022-04, </w:t>
      </w:r>
      <w:r>
        <w:rPr>
          <w:rFonts w:ascii="Times New Roman;serif" w:hAnsi="Times New Roman;serif"/>
          <w:b w:val="false"/>
          <w:i/>
          <w:sz w:val="20"/>
        </w:rPr>
        <w:t>Liabilities—Supplier Finance Programs (Subtopic 405-50): Disclosure of Supplier Finance Program Obligations</w:t>
      </w:r>
      <w:r>
        <w:rPr>
          <w:rFonts w:ascii="Times New Roman;serif" w:hAnsi="Times New Roman;serif"/>
          <w:b w:val="false"/>
          <w:sz w:val="20"/>
        </w:rPr>
        <w:t>. The new guidance improves the transparency of supplier finance programs by requiring that a buyer in a supplier finance program disclose sufficient qualitative and quantitative information about the program to allow a user of its financial statements to understand the program's nature, activity during the period, changes from period to period and potential effect on an entity's financial statements. This guidance has been applied retrospectively to all periods in which a balance sheet is presented, except for the requirement to disclose rollforward information, which is effective prospectively for the Company as of January 1, 2024. The impact of adopting this new guidance was not material to the condensed consolidated financial statements.</w:t>
      </w:r>
    </w:p>
    <w:p>
      <w:pPr>
        <w:pStyle w:val="TextBody"/>
        <w:spacing w:before="240" w:after="0"/>
        <w:jc w:val="left"/>
        <w:rPr>
          <w:rFonts w:ascii="Times New Roman" w:hAnsi="Times New Roman"/>
          <w:sz w:val="20"/>
        </w:rPr>
      </w:pPr>
      <w:r>
        <w:rPr>
          <w:rFonts w:ascii="Times New Roman;serif" w:hAnsi="Times New Roman;serif"/>
          <w:b w:val="false"/>
          <w:i/>
          <w:sz w:val="20"/>
        </w:rPr>
        <w:t>Issued but Not Adopted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In March 2020, January 2021 and December 2022, the Financial Accounting Standards Board (FASB) issued ASU No. 2020-04, </w:t>
      </w:r>
      <w:r>
        <w:rPr>
          <w:rFonts w:ascii="Times New Roman;serif" w:hAnsi="Times New Roman;serif"/>
          <w:b w:val="false"/>
          <w:i/>
          <w:sz w:val="20"/>
        </w:rPr>
        <w:t xml:space="preserve">Reference Rate Reform (Topic 848): Facilitation of the Effects of Reference Rate Reform on Financial Reporting, </w:t>
      </w:r>
      <w:r>
        <w:rPr>
          <w:rFonts w:ascii="Times New Roman;serif" w:hAnsi="Times New Roman;serif"/>
          <w:b w:val="false"/>
          <w:sz w:val="20"/>
        </w:rPr>
        <w:t>ASU No. 2021-01</w:t>
      </w:r>
      <w:r>
        <w:rPr>
          <w:rFonts w:ascii="Times New Roman;serif" w:hAnsi="Times New Roman;serif"/>
          <w:b w:val="false"/>
          <w:i/>
          <w:sz w:val="20"/>
        </w:rPr>
        <w:t xml:space="preserve">, Reference Rate Reform (Topic 848): Scope </w:t>
      </w:r>
      <w:r>
        <w:rPr>
          <w:rFonts w:ascii="Times New Roman;serif" w:hAnsi="Times New Roman;serif"/>
          <w:b w:val="false"/>
          <w:sz w:val="20"/>
        </w:rPr>
        <w:t>and ASU No. 2022-06,</w:t>
      </w:r>
      <w:r>
        <w:rPr>
          <w:rFonts w:ascii="Times New Roman" w:hAnsi="Times New Roman"/>
          <w:sz w:val="20"/>
        </w:rPr>
        <w:t xml:space="preserve"> </w:t>
      </w:r>
      <w:r>
        <w:rPr>
          <w:rFonts w:ascii="Times New Roman;serif" w:hAnsi="Times New Roman;serif"/>
          <w:b w:val="false"/>
          <w:i/>
          <w:sz w:val="20"/>
        </w:rPr>
        <w:t>Reference Rate Reform (Topic 848): Deferral of the Sunset Date of Topic 848</w:t>
      </w:r>
      <w:r>
        <w:rPr>
          <w:rFonts w:ascii="Times New Roman;serif" w:hAnsi="Times New Roman;serif"/>
          <w:b w:val="false"/>
          <w:sz w:val="20"/>
        </w:rPr>
        <w:t>, respectively. Together, the ASUs provide temporary optional guidance to ease the potential burden in accounting for reference rate reform. The new guidance provides optional expedients and exceptions for applying GAAP to transactions affected by reference rate reform if certain criteria are met. These transactions include contract modifications, hedging relationships, and sale or transfer of debt securities classified as held-to-maturity. The most recent amendment defers the sunset date of Topic 848 from December 31, 2022 to December 31, 2024. As of March 31, 2023, the Company had not utilized any of the expedients discussed within these ASUs; however, management continues to assess the Company's agreements to determine whether the expedients would be utilized through the remainder of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2. GOODWILL</w:t>
      </w:r>
    </w:p>
    <w:p>
      <w:pPr>
        <w:pStyle w:val="TextBody"/>
        <w:spacing w:before="120" w:after="200"/>
        <w:jc w:val="left"/>
        <w:rPr>
          <w:rFonts w:ascii="Times New Roman;serif" w:hAnsi="Times New Roman;serif"/>
          <w:b w:val="false"/>
          <w:sz w:val="20"/>
        </w:rPr>
      </w:pPr>
      <w:r>
        <w:rPr>
          <w:rFonts w:ascii="Times New Roman;serif" w:hAnsi="Times New Roman;serif"/>
          <w:b w:val="false"/>
          <w:sz w:val="20"/>
        </w:rPr>
        <w:t>The following table presents the activity in goodwill by reportable segment:</w:t>
      </w:r>
    </w:p>
    <w:tbl>
      <w:tblPr>
        <w:tblW w:w="11504" w:type="dxa"/>
        <w:jc w:val="left"/>
        <w:tblInd w:w="0" w:type="dxa"/>
        <w:tblCellMar>
          <w:top w:w="28" w:type="dxa"/>
          <w:left w:w="28" w:type="dxa"/>
          <w:bottom w:w="28" w:type="dxa"/>
          <w:right w:w="28" w:type="dxa"/>
        </w:tblCellMar>
      </w:tblPr>
      <w:tblGrid>
        <w:gridCol w:w="601"/>
        <w:gridCol w:w="146"/>
        <w:gridCol w:w="211"/>
        <w:gridCol w:w="721"/>
        <w:gridCol w:w="146"/>
        <w:gridCol w:w="146"/>
        <w:gridCol w:w="211"/>
        <w:gridCol w:w="781"/>
        <w:gridCol w:w="166"/>
        <w:gridCol w:w="146"/>
        <w:gridCol w:w="211"/>
        <w:gridCol w:w="721"/>
        <w:gridCol w:w="146"/>
        <w:gridCol w:w="146"/>
        <w:gridCol w:w="329"/>
        <w:gridCol w:w="542"/>
        <w:gridCol w:w="146"/>
        <w:gridCol w:w="146"/>
        <w:gridCol w:w="329"/>
        <w:gridCol w:w="542"/>
        <w:gridCol w:w="146"/>
        <w:gridCol w:w="146"/>
        <w:gridCol w:w="271"/>
        <w:gridCol w:w="465"/>
        <w:gridCol w:w="146"/>
        <w:gridCol w:w="146"/>
        <w:gridCol w:w="211"/>
        <w:gridCol w:w="721"/>
        <w:gridCol w:w="146"/>
        <w:gridCol w:w="146"/>
        <w:gridCol w:w="211"/>
        <w:gridCol w:w="781"/>
        <w:gridCol w:w="166"/>
        <w:gridCol w:w="146"/>
        <w:gridCol w:w="211"/>
        <w:gridCol w:w="721"/>
        <w:gridCol w:w="191"/>
      </w:tblGrid>
      <w:tr>
        <w:trPr/>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2"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Activity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Goodwill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Accumulated Impairment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Additions (Deductions)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Impairment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Foreign Exchange and Other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Goodwill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Accumulated Impairment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CCS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2,233.4</w:t>
            </w:r>
          </w:p>
        </w:tc>
        <w:tc>
          <w:tcPr>
            <w:tcW w:w="191" w:type="dxa"/>
            <w:tcBorders/>
            <w:shd w:fill="auto" w:val="clear"/>
            <w:vAlign w:val="center"/>
          </w:tcPr>
          <w:p>
            <w:pPr>
              <w:pStyle w:val="TableContents"/>
              <w:spacing w:before="0" w:after="0"/>
              <w:ind w:left="0" w:right="0" w:hanging="0"/>
              <w:jc w:val="left"/>
              <w:rPr/>
            </w:pPr>
            <w:r>
              <w:rPr/>
              <w:t> </w:t>
            </w:r>
          </w:p>
        </w:tc>
      </w:tr>
      <w:tr>
        <w:trPr/>
        <w:tc>
          <w:tcPr>
            <w:tcW w:w="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OWN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501.8</w:t>
            </w:r>
          </w:p>
        </w:tc>
        <w:tc>
          <w:tcPr>
            <w:tcW w:w="191" w:type="dxa"/>
            <w:tcBorders/>
            <w:shd w:fill="auto" w:val="clear"/>
            <w:vAlign w:val="center"/>
          </w:tcPr>
          <w:p>
            <w:pPr>
              <w:pStyle w:val="TableContents"/>
              <w:spacing w:before="0" w:after="0"/>
              <w:ind w:left="0" w:right="0" w:hanging="0"/>
              <w:jc w:val="left"/>
              <w:rPr/>
            </w:pPr>
            <w:r>
              <w:rPr/>
              <w:t> </w:t>
            </w:r>
          </w:p>
        </w:tc>
      </w:tr>
      <w:tr>
        <w:trPr/>
        <w:tc>
          <w:tcPr>
            <w:tcW w:w="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NICS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608.7</w:t>
            </w:r>
          </w:p>
        </w:tc>
        <w:tc>
          <w:tcPr>
            <w:tcW w:w="191" w:type="dxa"/>
            <w:tcBorders/>
            <w:shd w:fill="auto" w:val="clear"/>
            <w:vAlign w:val="center"/>
          </w:tcPr>
          <w:p>
            <w:pPr>
              <w:pStyle w:val="TableContents"/>
              <w:spacing w:before="0" w:after="0"/>
              <w:ind w:left="0" w:right="0" w:hanging="0"/>
              <w:jc w:val="left"/>
              <w:rPr/>
            </w:pPr>
            <w:r>
              <w:rPr/>
              <w:t> </w:t>
            </w:r>
          </w:p>
        </w:tc>
      </w:tr>
      <w:tr>
        <w:trPr/>
        <w:tc>
          <w:tcPr>
            <w:tcW w:w="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pPr>
            <w:r>
              <w:rPr/>
              <w:t> </w:t>
            </w:r>
          </w:p>
        </w:tc>
        <w:tc>
          <w:tcPr>
            <w:tcW w:w="5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734.1</w:t>
            </w:r>
          </w:p>
        </w:tc>
        <w:tc>
          <w:tcPr>
            <w:tcW w:w="191" w:type="dxa"/>
            <w:tcBorders/>
            <w:shd w:fill="auto" w:val="clear"/>
            <w:vAlign w:val="center"/>
          </w:tcPr>
          <w:p>
            <w:pPr>
              <w:pStyle w:val="TableContents"/>
              <w:spacing w:before="0" w:after="0"/>
              <w:ind w:left="0" w:right="0" w:hanging="0"/>
              <w:jc w:val="left"/>
              <w:rPr/>
            </w:pPr>
            <w:r>
              <w:rPr/>
              <w:t> </w:t>
            </w:r>
          </w:p>
        </w:tc>
      </w:tr>
      <w:tr>
        <w:trPr/>
        <w:tc>
          <w:tcPr>
            <w:tcW w:w="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5,999.5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(1,927.1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(1,927.1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4,078.0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3. REVENUE FROM CONTRACTS WITH CUSTOMERS</w:t>
      </w:r>
    </w:p>
    <w:p>
      <w:pPr>
        <w:pStyle w:val="TextBody"/>
        <w:spacing w:before="120" w:after="0"/>
        <w:jc w:val="left"/>
        <w:rPr>
          <w:rFonts w:ascii="Times New Roman;serif" w:hAnsi="Times New Roman;serif"/>
          <w:b/>
          <w:sz w:val="20"/>
        </w:rPr>
      </w:pPr>
      <w:r>
        <w:rPr>
          <w:rFonts w:ascii="Times New Roman;serif" w:hAnsi="Times New Roman;serif"/>
          <w:b/>
          <w:sz w:val="20"/>
        </w:rPr>
        <w:t>Disaggregated Net Sales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See Note 7 for the presentation of net sales by segment and geographic region.</w:t>
      </w:r>
    </w:p>
    <w:p>
      <w:pPr>
        <w:pStyle w:val="TextBody"/>
        <w:spacing w:before="360" w:after="200"/>
        <w:jc w:val="left"/>
        <w:rPr>
          <w:rFonts w:ascii="Times New Roman" w:hAnsi="Times New Roman"/>
          <w:sz w:val="20"/>
        </w:rPr>
      </w:pPr>
      <w:r>
        <w:rPr>
          <w:rFonts w:ascii="Times New Roman;serif" w:hAnsi="Times New Roman;serif"/>
          <w:b/>
          <w:sz w:val="20"/>
        </w:rPr>
        <w:t>Allowance for Doubtful Accounts</w:t>
      </w:r>
      <w:r>
        <w:rPr>
          <w:rFonts w:ascii="Times New Roman" w:hAnsi="Times New Roman"/>
          <w:sz w:val="20"/>
        </w:rPr>
        <w:t xml:space="preserve"> </w:t>
      </w:r>
    </w:p>
    <w:tbl>
      <w:tblPr>
        <w:tblW w:w="6509" w:type="dxa"/>
        <w:jc w:val="left"/>
        <w:tblInd w:w="0" w:type="dxa"/>
        <w:tblCellMar>
          <w:top w:w="28" w:type="dxa"/>
          <w:left w:w="28" w:type="dxa"/>
          <w:bottom w:w="28" w:type="dxa"/>
          <w:right w:w="28" w:type="dxa"/>
        </w:tblCellMar>
      </w:tblPr>
      <w:tblGrid>
        <w:gridCol w:w="4486"/>
        <w:gridCol w:w="146"/>
        <w:gridCol w:w="211"/>
        <w:gridCol w:w="466"/>
        <w:gridCol w:w="166"/>
        <w:gridCol w:w="146"/>
        <w:gridCol w:w="211"/>
        <w:gridCol w:w="466"/>
        <w:gridCol w:w="211"/>
      </w:tblGrid>
      <w:tr>
        <w:trPr/>
        <w:tc>
          <w:tcPr>
            <w:tcW w:w="4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4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11" w:type="dxa"/>
            <w:tcBorders/>
            <w:shd w:fill="auto" w:val="clear"/>
            <w:vAlign w:val="center"/>
          </w:tcPr>
          <w:p>
            <w:pPr>
              <w:pStyle w:val="TableContents"/>
              <w:spacing w:before="0" w:after="0"/>
              <w:ind w:left="0" w:right="0" w:hanging="0"/>
              <w:jc w:val="center"/>
              <w:rPr/>
            </w:pPr>
            <w:r>
              <w:rPr/>
              <w:t> </w:t>
            </w:r>
          </w:p>
        </w:tc>
      </w:tr>
      <w:tr>
        <w:trPr/>
        <w:tc>
          <w:tcPr>
            <w:tcW w:w="44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doubtful accounts,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63.7</w:t>
            </w:r>
          </w:p>
        </w:tc>
        <w:tc>
          <w:tcPr>
            <w:tcW w:w="211" w:type="dxa"/>
            <w:tcBorders/>
            <w:shd w:fill="auto" w:val="clear"/>
            <w:vAlign w:val="center"/>
          </w:tcPr>
          <w:p>
            <w:pPr>
              <w:pStyle w:val="TableContents"/>
              <w:spacing w:before="0" w:after="0"/>
              <w:ind w:left="0" w:right="0" w:hanging="0"/>
              <w:jc w:val="left"/>
              <w:rPr/>
            </w:pPr>
            <w:r>
              <w:rPr/>
              <w:t> </w:t>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11" w:type="dxa"/>
            <w:tcBorders/>
            <w:shd w:fill="auto" w:val="clear"/>
            <w:vAlign w:val="center"/>
          </w:tcPr>
          <w:p>
            <w:pPr>
              <w:pStyle w:val="TableContents"/>
              <w:spacing w:before="0" w:after="0"/>
              <w:ind w:left="0" w:right="0" w:hanging="0"/>
              <w:jc w:val="left"/>
              <w:rPr/>
            </w:pPr>
            <w:r>
              <w:rPr/>
              <w:t> </w:t>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exchange and 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doubtful accounts,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0"/>
        <w:jc w:val="left"/>
        <w:rPr>
          <w:rFonts w:ascii="Times New Roman;serif" w:hAnsi="Times New Roman;serif"/>
          <w:b/>
          <w:sz w:val="20"/>
        </w:rPr>
      </w:pPr>
      <w:r>
        <w:rPr>
          <w:rFonts w:ascii="Times New Roman;serif" w:hAnsi="Times New Roman;serif"/>
          <w:b/>
          <w:sz w:val="20"/>
        </w:rPr>
        <w:t>Customer Contract Balances</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 provides the balance sheet location and amounts of contract assets, or unbilled accounts receivable, and contract liabilities, or deferred revenue, from contracts with customers:</w:t>
      </w:r>
    </w:p>
    <w:tbl>
      <w:tblPr>
        <w:tblW w:w="10205" w:type="dxa"/>
        <w:jc w:val="left"/>
        <w:tblInd w:w="0" w:type="dxa"/>
        <w:tblCellMar>
          <w:top w:w="28" w:type="dxa"/>
          <w:left w:w="28" w:type="dxa"/>
          <w:bottom w:w="28" w:type="dxa"/>
          <w:right w:w="28" w:type="dxa"/>
        </w:tblCellMar>
      </w:tblPr>
      <w:tblGrid>
        <w:gridCol w:w="2508"/>
        <w:gridCol w:w="146"/>
        <w:gridCol w:w="4889"/>
        <w:gridCol w:w="146"/>
        <w:gridCol w:w="242"/>
        <w:gridCol w:w="655"/>
        <w:gridCol w:w="146"/>
        <w:gridCol w:w="146"/>
        <w:gridCol w:w="304"/>
        <w:gridCol w:w="829"/>
        <w:gridCol w:w="194"/>
      </w:tblGrid>
      <w:tr>
        <w:trPr/>
        <w:tc>
          <w:tcPr>
            <w:tcW w:w="25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2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Contract Balance Type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Sheet Location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March 31, </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0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Unbilled accounts receivable</w:t>
            </w:r>
          </w:p>
        </w:tc>
        <w:tc>
          <w:tcPr>
            <w:tcW w:w="146" w:type="dxa"/>
            <w:tcBorders/>
            <w:shd w:fill="auto" w:val="clear"/>
            <w:vAlign w:val="center"/>
          </w:tcPr>
          <w:p>
            <w:pPr>
              <w:pStyle w:val="TableContents"/>
              <w:spacing w:before="0" w:after="0"/>
              <w:ind w:left="0" w:right="0" w:hanging="0"/>
              <w:jc w:val="left"/>
              <w:rPr/>
            </w:pPr>
            <w:r>
              <w:rPr/>
              <w:t> </w:t>
            </w:r>
          </w:p>
        </w:tc>
        <w:tc>
          <w:tcPr>
            <w:tcW w:w="48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 of allowance for doubtful accounts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w:t>
            </w:r>
          </w:p>
        </w:tc>
        <w:tc>
          <w:tcPr>
            <w:tcW w:w="194" w:type="dxa"/>
            <w:tcBorders/>
            <w:shd w:fill="auto" w:val="clear"/>
            <w:vAlign w:val="center"/>
          </w:tcPr>
          <w:p>
            <w:pPr>
              <w:pStyle w:val="TableContents"/>
              <w:spacing w:before="0" w:after="0"/>
              <w:ind w:left="0" w:right="0" w:hanging="0"/>
              <w:jc w:val="left"/>
              <w:rPr/>
            </w:pPr>
            <w:r>
              <w:rPr/>
              <w:t> </w:t>
            </w:r>
          </w:p>
        </w:tc>
      </w:tr>
      <w:tr>
        <w:trPr/>
        <w:tc>
          <w:tcPr>
            <w:tcW w:w="25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33" w:type="dxa"/>
            <w:gridSpan w:val="2"/>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r>
      <w:tr>
        <w:trPr/>
        <w:tc>
          <w:tcPr>
            <w:tcW w:w="250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 current</w:t>
            </w:r>
          </w:p>
        </w:tc>
        <w:tc>
          <w:tcPr>
            <w:tcW w:w="146" w:type="dxa"/>
            <w:tcBorders/>
            <w:shd w:fill="auto" w:val="clear"/>
            <w:vAlign w:val="center"/>
          </w:tcPr>
          <w:p>
            <w:pPr>
              <w:pStyle w:val="TableContents"/>
              <w:spacing w:before="0" w:after="0"/>
              <w:ind w:left="0" w:right="0" w:hanging="0"/>
              <w:jc w:val="left"/>
              <w:rPr/>
            </w:pPr>
            <w:r>
              <w:rPr/>
              <w:t> </w:t>
            </w:r>
          </w:p>
        </w:tc>
        <w:tc>
          <w:tcPr>
            <w:tcW w:w="48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97.9</w:t>
            </w:r>
          </w:p>
        </w:tc>
        <w:tc>
          <w:tcPr>
            <w:tcW w:w="194" w:type="dxa"/>
            <w:tcBorders/>
            <w:shd w:fill="auto" w:val="clear"/>
            <w:vAlign w:val="center"/>
          </w:tcPr>
          <w:p>
            <w:pPr>
              <w:pStyle w:val="TableContents"/>
              <w:spacing w:before="0" w:after="0"/>
              <w:ind w:left="0" w:right="0" w:hanging="0"/>
              <w:jc w:val="left"/>
              <w:rPr/>
            </w:pPr>
            <w:r>
              <w:rPr/>
              <w:t> </w:t>
            </w:r>
          </w:p>
        </w:tc>
      </w:tr>
      <w:tr>
        <w:trPr/>
        <w:tc>
          <w:tcPr>
            <w:tcW w:w="250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 noncurrent</w:t>
            </w:r>
          </w:p>
        </w:tc>
        <w:tc>
          <w:tcPr>
            <w:tcW w:w="146" w:type="dxa"/>
            <w:tcBorders/>
            <w:shd w:fill="auto" w:val="clear"/>
            <w:vAlign w:val="center"/>
          </w:tcPr>
          <w:p>
            <w:pPr>
              <w:pStyle w:val="TableContents"/>
              <w:spacing w:before="0" w:after="0"/>
              <w:ind w:left="0" w:right="0" w:hanging="0"/>
              <w:jc w:val="left"/>
              <w:rPr/>
            </w:pPr>
            <w:r>
              <w:rPr/>
              <w:t> </w:t>
            </w:r>
          </w:p>
        </w:tc>
        <w:tc>
          <w:tcPr>
            <w:tcW w:w="48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08"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 contract liabilities</w:t>
            </w:r>
          </w:p>
        </w:tc>
        <w:tc>
          <w:tcPr>
            <w:tcW w:w="146" w:type="dxa"/>
            <w:tcBorders/>
            <w:shd w:fill="auto" w:val="clear"/>
            <w:vAlign w:val="center"/>
          </w:tcPr>
          <w:p>
            <w:pPr>
              <w:pStyle w:val="TableContents"/>
              <w:spacing w:before="0" w:after="0"/>
              <w:ind w:left="0" w:right="0" w:hanging="0"/>
              <w:jc w:val="left"/>
              <w:rPr/>
            </w:pPr>
            <w:r>
              <w:rPr/>
              <w:t> </w:t>
            </w:r>
          </w:p>
        </w:tc>
        <w:tc>
          <w:tcPr>
            <w:tcW w:w="48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161.3</w:t>
            </w:r>
          </w:p>
        </w:tc>
        <w:tc>
          <w:tcPr>
            <w:tcW w:w="1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There were no material changes to contract asset balances for the three months ended March 31, 2023 as a result of changes in estimates or impairments. The change in the contract liability balance from December 31, 2022 to March 31, 2023 was primarily due to upfront support billings to be recognized over the support term. During the three months ended March 31, 2023, the Company recognized $38.1</w:t>
      </w:r>
      <w:r>
        <w:rPr>
          <w:rFonts w:ascii="Times New Roman" w:hAnsi="Times New Roman"/>
          <w:sz w:val="20"/>
        </w:rPr>
        <w:t xml:space="preserve"> </w:t>
      </w:r>
      <w:r>
        <w:rPr>
          <w:rFonts w:ascii="Times New Roman;serif" w:hAnsi="Times New Roman;serif"/>
          <w:b w:val="false"/>
          <w:sz w:val="20"/>
        </w:rPr>
        <w:t>million of revenue related to contract liabilities recorded as of December 31,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4. SUPPLEMENTAL FINANCIAL STATEMENT INFORMATION</w:t>
      </w:r>
    </w:p>
    <w:p>
      <w:pPr>
        <w:pStyle w:val="TextBody"/>
        <w:spacing w:before="360" w:after="200"/>
        <w:jc w:val="left"/>
        <w:rPr>
          <w:rFonts w:ascii="Times New Roman;serif" w:hAnsi="Times New Roman;serif"/>
          <w:b/>
          <w:sz w:val="20"/>
        </w:rPr>
      </w:pPr>
      <w:r>
        <w:rPr>
          <w:rFonts w:ascii="Times New Roman;serif" w:hAnsi="Times New Roman;serif"/>
          <w:b/>
          <w:sz w:val="20"/>
        </w:rPr>
        <w:t>Accounts Receivable</w:t>
      </w:r>
    </w:p>
    <w:tbl>
      <w:tblPr>
        <w:tblW w:w="5877" w:type="dxa"/>
        <w:jc w:val="left"/>
        <w:tblInd w:w="0" w:type="dxa"/>
        <w:tblCellMar>
          <w:top w:w="28" w:type="dxa"/>
          <w:left w:w="28" w:type="dxa"/>
          <w:bottom w:w="28" w:type="dxa"/>
          <w:right w:w="28" w:type="dxa"/>
        </w:tblCellMar>
      </w:tblPr>
      <w:tblGrid>
        <w:gridCol w:w="2776"/>
        <w:gridCol w:w="146"/>
        <w:gridCol w:w="211"/>
        <w:gridCol w:w="721"/>
        <w:gridCol w:w="166"/>
        <w:gridCol w:w="146"/>
        <w:gridCol w:w="339"/>
        <w:gridCol w:w="1161"/>
        <w:gridCol w:w="211"/>
      </w:tblGrid>
      <w:tr>
        <w:trPr/>
        <w:tc>
          <w:tcPr>
            <w:tcW w:w="27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7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March 31, </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 trade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1,545.3</w:t>
            </w:r>
          </w:p>
        </w:tc>
        <w:tc>
          <w:tcPr>
            <w:tcW w:w="211" w:type="dxa"/>
            <w:tcBorders/>
            <w:shd w:fill="auto" w:val="clear"/>
            <w:vAlign w:val="center"/>
          </w:tcPr>
          <w:p>
            <w:pPr>
              <w:pStyle w:val="TableContents"/>
              <w:spacing w:before="0" w:after="0"/>
              <w:ind w:left="0" w:right="0" w:hanging="0"/>
              <w:jc w:val="left"/>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 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11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61.1</w:t>
            </w:r>
          </w:p>
        </w:tc>
        <w:tc>
          <w:tcPr>
            <w:tcW w:w="211" w:type="dxa"/>
            <w:tcBorders/>
            <w:shd w:fill="auto" w:val="clear"/>
            <w:vAlign w:val="center"/>
          </w:tcPr>
          <w:p>
            <w:pPr>
              <w:pStyle w:val="TableContents"/>
              <w:spacing w:before="0" w:after="0"/>
              <w:ind w:left="0" w:right="0" w:hanging="0"/>
              <w:jc w:val="left"/>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doubtful accounts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1,523.6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200"/>
        <w:jc w:val="left"/>
        <w:rPr>
          <w:rFonts w:ascii="Times New Roman;serif" w:hAnsi="Times New Roman;serif"/>
          <w:b/>
          <w:sz w:val="20"/>
        </w:rPr>
      </w:pPr>
      <w:r>
        <w:rPr>
          <w:rFonts w:ascii="Times New Roman;serif" w:hAnsi="Times New Roman;serif"/>
          <w:b/>
          <w:sz w:val="20"/>
        </w:rPr>
        <w:t>Inventories</w:t>
      </w:r>
    </w:p>
    <w:tbl>
      <w:tblPr>
        <w:tblW w:w="4562" w:type="dxa"/>
        <w:jc w:val="left"/>
        <w:tblInd w:w="0" w:type="dxa"/>
        <w:tblCellMar>
          <w:top w:w="28" w:type="dxa"/>
          <w:left w:w="28" w:type="dxa"/>
          <w:bottom w:w="28" w:type="dxa"/>
          <w:right w:w="28" w:type="dxa"/>
        </w:tblCellMar>
      </w:tblPr>
      <w:tblGrid>
        <w:gridCol w:w="1861"/>
        <w:gridCol w:w="146"/>
        <w:gridCol w:w="211"/>
        <w:gridCol w:w="721"/>
        <w:gridCol w:w="146"/>
        <w:gridCol w:w="146"/>
        <w:gridCol w:w="258"/>
        <w:gridCol w:w="882"/>
        <w:gridCol w:w="191"/>
      </w:tblGrid>
      <w:tr>
        <w:trPr/>
        <w:tc>
          <w:tcPr>
            <w:tcW w:w="1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March 31, </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535.8</w:t>
            </w:r>
          </w:p>
        </w:tc>
        <w:tc>
          <w:tcPr>
            <w:tcW w:w="191" w:type="dxa"/>
            <w:tcBorders/>
            <w:shd w:fill="auto" w:val="clear"/>
            <w:vAlign w:val="center"/>
          </w:tcPr>
          <w:p>
            <w:pPr>
              <w:pStyle w:val="TableContents"/>
              <w:spacing w:before="0" w:after="0"/>
              <w:ind w:left="0" w:right="0" w:hanging="0"/>
              <w:jc w:val="left"/>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 in process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212.7</w:t>
            </w:r>
          </w:p>
        </w:tc>
        <w:tc>
          <w:tcPr>
            <w:tcW w:w="191" w:type="dxa"/>
            <w:tcBorders/>
            <w:shd w:fill="auto" w:val="clear"/>
            <w:vAlign w:val="center"/>
          </w:tcPr>
          <w:p>
            <w:pPr>
              <w:pStyle w:val="TableContents"/>
              <w:spacing w:before="0" w:after="0"/>
              <w:ind w:left="0" w:right="0" w:hanging="0"/>
              <w:jc w:val="left"/>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839.6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inventories,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1,588.1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200"/>
        <w:jc w:val="left"/>
        <w:rPr>
          <w:rFonts w:ascii="Times New Roman;serif" w:hAnsi="Times New Roman;serif"/>
          <w:b/>
          <w:sz w:val="20"/>
        </w:rPr>
      </w:pPr>
      <w:r>
        <w:rPr>
          <w:rFonts w:ascii="Times New Roman;serif" w:hAnsi="Times New Roman;serif"/>
          <w:b/>
          <w:sz w:val="20"/>
        </w:rPr>
        <w:t>Accrued and Other Liabilities</w:t>
      </w:r>
    </w:p>
    <w:tbl>
      <w:tblPr>
        <w:tblW w:w="7260" w:type="dxa"/>
        <w:jc w:val="left"/>
        <w:tblInd w:w="0" w:type="dxa"/>
        <w:tblCellMar>
          <w:top w:w="28" w:type="dxa"/>
          <w:left w:w="28" w:type="dxa"/>
          <w:bottom w:w="28" w:type="dxa"/>
          <w:right w:w="28" w:type="dxa"/>
        </w:tblCellMar>
      </w:tblPr>
      <w:tblGrid>
        <w:gridCol w:w="4591"/>
        <w:gridCol w:w="146"/>
        <w:gridCol w:w="243"/>
        <w:gridCol w:w="657"/>
        <w:gridCol w:w="146"/>
        <w:gridCol w:w="146"/>
        <w:gridCol w:w="258"/>
        <w:gridCol w:w="882"/>
        <w:gridCol w:w="191"/>
      </w:tblGrid>
      <w:tr>
        <w:trPr/>
        <w:tc>
          <w:tcPr>
            <w:tcW w:w="4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5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March 31, </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and employee benefit liabilities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301.3</w:t>
            </w:r>
          </w:p>
        </w:tc>
        <w:tc>
          <w:tcPr>
            <w:tcW w:w="191" w:type="dxa"/>
            <w:tcBorders/>
            <w:shd w:fill="auto" w:val="clear"/>
            <w:vAlign w:val="center"/>
          </w:tcPr>
          <w:p>
            <w:pPr>
              <w:pStyle w:val="TableContents"/>
              <w:spacing w:before="0" w:after="0"/>
              <w:ind w:left="0" w:right="0" w:hanging="0"/>
              <w:jc w:val="left"/>
              <w:rPr/>
            </w:pPr>
            <w:r>
              <w:rPr/>
              <w:t> </w:t>
            </w:r>
          </w:p>
        </w:tc>
      </w:tr>
      <w:tr>
        <w:trPr/>
        <w:tc>
          <w:tcPr>
            <w:tcW w:w="4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97.9</w:t>
            </w:r>
          </w:p>
        </w:tc>
        <w:tc>
          <w:tcPr>
            <w:tcW w:w="191" w:type="dxa"/>
            <w:tcBorders/>
            <w:shd w:fill="auto" w:val="clear"/>
            <w:vAlign w:val="center"/>
          </w:tcPr>
          <w:p>
            <w:pPr>
              <w:pStyle w:val="TableContents"/>
              <w:spacing w:before="0" w:after="0"/>
              <w:ind w:left="0" w:right="0" w:hanging="0"/>
              <w:jc w:val="left"/>
              <w:rPr/>
            </w:pPr>
            <w:r>
              <w:rPr/>
              <w:t> </w:t>
            </w:r>
          </w:p>
        </w:tc>
      </w:tr>
      <w:tr>
        <w:trPr/>
        <w:tc>
          <w:tcPr>
            <w:tcW w:w="4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manufacturer inventory repurchase obligation</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79.1</w:t>
            </w:r>
          </w:p>
        </w:tc>
        <w:tc>
          <w:tcPr>
            <w:tcW w:w="191" w:type="dxa"/>
            <w:tcBorders/>
            <w:shd w:fill="auto" w:val="clear"/>
            <w:vAlign w:val="center"/>
          </w:tcPr>
          <w:p>
            <w:pPr>
              <w:pStyle w:val="TableContents"/>
              <w:spacing w:before="0" w:after="0"/>
              <w:ind w:left="0" w:right="0" w:hanging="0"/>
              <w:jc w:val="left"/>
              <w:rPr/>
            </w:pPr>
            <w:r>
              <w:rPr/>
              <w:t> </w:t>
            </w:r>
          </w:p>
        </w:tc>
      </w:tr>
      <w:tr>
        <w:trPr/>
        <w:tc>
          <w:tcPr>
            <w:tcW w:w="4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liabilities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w:t>
            </w:r>
          </w:p>
        </w:tc>
        <w:tc>
          <w:tcPr>
            <w:tcW w:w="191" w:type="dxa"/>
            <w:tcBorders/>
            <w:shd w:fill="auto" w:val="clear"/>
            <w:vAlign w:val="center"/>
          </w:tcPr>
          <w:p>
            <w:pPr>
              <w:pStyle w:val="TableContents"/>
              <w:spacing w:before="0" w:after="0"/>
              <w:ind w:left="0" w:right="0" w:hanging="0"/>
              <w:jc w:val="left"/>
              <w:rPr/>
            </w:pPr>
            <w:r>
              <w:rPr/>
              <w:t> </w:t>
            </w:r>
          </w:p>
        </w:tc>
      </w:tr>
      <w:tr>
        <w:trPr/>
        <w:tc>
          <w:tcPr>
            <w:tcW w:w="4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interest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118.1</w:t>
            </w:r>
          </w:p>
        </w:tc>
        <w:tc>
          <w:tcPr>
            <w:tcW w:w="191" w:type="dxa"/>
            <w:tcBorders/>
            <w:shd w:fill="auto" w:val="clear"/>
            <w:vAlign w:val="center"/>
          </w:tcPr>
          <w:p>
            <w:pPr>
              <w:pStyle w:val="TableContents"/>
              <w:spacing w:before="0" w:after="0"/>
              <w:ind w:left="0" w:right="0" w:hanging="0"/>
              <w:jc w:val="left"/>
              <w:rPr/>
            </w:pPr>
            <w:r>
              <w:rPr/>
              <w:t> </w:t>
            </w:r>
          </w:p>
        </w:tc>
      </w:tr>
      <w:tr>
        <w:trPr/>
        <w:tc>
          <w:tcPr>
            <w:tcW w:w="4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w:t>
            </w:r>
          </w:p>
        </w:tc>
        <w:tc>
          <w:tcPr>
            <w:tcW w:w="191" w:type="dxa"/>
            <w:tcBorders/>
            <w:shd w:fill="auto" w:val="clear"/>
            <w:vAlign w:val="center"/>
          </w:tcPr>
          <w:p>
            <w:pPr>
              <w:pStyle w:val="TableContents"/>
              <w:spacing w:before="0" w:after="0"/>
              <w:ind w:left="0" w:right="0" w:hanging="0"/>
              <w:jc w:val="left"/>
              <w:rPr/>
            </w:pPr>
            <w:r>
              <w:rPr/>
              <w:t> </w:t>
            </w:r>
          </w:p>
        </w:tc>
      </w:tr>
      <w:tr>
        <w:trPr/>
        <w:tc>
          <w:tcPr>
            <w:tcW w:w="4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warranty accrual</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w:t>
            </w:r>
          </w:p>
        </w:tc>
        <w:tc>
          <w:tcPr>
            <w:tcW w:w="191" w:type="dxa"/>
            <w:tcBorders/>
            <w:shd w:fill="auto" w:val="clear"/>
            <w:vAlign w:val="center"/>
          </w:tcPr>
          <w:p>
            <w:pPr>
              <w:pStyle w:val="TableContents"/>
              <w:spacing w:before="0" w:after="0"/>
              <w:ind w:left="0" w:right="0" w:hanging="0"/>
              <w:jc w:val="left"/>
              <w:rPr/>
            </w:pPr>
            <w:r>
              <w:rPr/>
              <w:t> </w:t>
            </w:r>
          </w:p>
        </w:tc>
      </w:tr>
      <w:tr>
        <w:trPr/>
        <w:tc>
          <w:tcPr>
            <w:tcW w:w="4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1,050.0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200"/>
        <w:jc w:val="left"/>
        <w:rPr>
          <w:rFonts w:ascii="Times New Roman;serif" w:hAnsi="Times New Roman;serif"/>
          <w:b/>
          <w:sz w:val="20"/>
        </w:rPr>
      </w:pPr>
      <w:r>
        <w:rPr>
          <w:rFonts w:ascii="Times New Roman;serif" w:hAnsi="Times New Roman;serif"/>
          <w:b/>
          <w:sz w:val="20"/>
        </w:rPr>
        <w:t>Operating Lease Information</w:t>
      </w:r>
    </w:p>
    <w:tbl>
      <w:tblPr>
        <w:tblW w:w="7591" w:type="dxa"/>
        <w:jc w:val="left"/>
        <w:tblInd w:w="0" w:type="dxa"/>
        <w:tblCellMar>
          <w:top w:w="28" w:type="dxa"/>
          <w:left w:w="28" w:type="dxa"/>
          <w:bottom w:w="28" w:type="dxa"/>
          <w:right w:w="28" w:type="dxa"/>
        </w:tblCellMar>
      </w:tblPr>
      <w:tblGrid>
        <w:gridCol w:w="2446"/>
        <w:gridCol w:w="2476"/>
        <w:gridCol w:w="146"/>
        <w:gridCol w:w="243"/>
        <w:gridCol w:w="657"/>
        <w:gridCol w:w="146"/>
        <w:gridCol w:w="146"/>
        <w:gridCol w:w="306"/>
        <w:gridCol w:w="834"/>
        <w:gridCol w:w="191"/>
      </w:tblGrid>
      <w:tr>
        <w:trPr/>
        <w:tc>
          <w:tcPr>
            <w:tcW w:w="2446"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before="0" w:after="0"/>
              <w:ind w:left="0" w:right="0" w:hanging="0"/>
              <w:jc w:val="left"/>
              <w:rPr/>
            </w:pPr>
            <w:r>
              <w:rPr/>
              <w:t> </w:t>
            </w:r>
          </w:p>
        </w:tc>
        <w:tc>
          <w:tcPr>
            <w:tcW w:w="24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Sheet Location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March 31, </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 of use assets</w:t>
            </w:r>
          </w:p>
        </w:tc>
        <w:tc>
          <w:tcPr>
            <w:tcW w:w="247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149.0</w:t>
            </w:r>
          </w:p>
        </w:tc>
        <w:tc>
          <w:tcPr>
            <w:tcW w:w="1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 current</w:t>
            </w:r>
          </w:p>
        </w:tc>
        <w:tc>
          <w:tcPr>
            <w:tcW w:w="247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Accrued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w:t>
            </w:r>
          </w:p>
        </w:tc>
        <w:tc>
          <w:tcPr>
            <w:tcW w:w="191" w:type="dxa"/>
            <w:tcBorders/>
            <w:shd w:fill="auto" w:val="cle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 noncurrent</w:t>
            </w:r>
          </w:p>
        </w:tc>
        <w:tc>
          <w:tcPr>
            <w:tcW w:w="247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2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360" w:after="0"/>
        <w:jc w:val="left"/>
        <w:rPr>
          <w:rFonts w:ascii="Times New Roman" w:hAnsi="Times New Roman"/>
          <w:sz w:val="20"/>
        </w:rPr>
      </w:pPr>
      <w:r>
        <w:rPr>
          <w:rFonts w:ascii="Times New Roman;serif" w:hAnsi="Times New Roman;serif"/>
          <w:b/>
          <w:sz w:val="20"/>
        </w:rPr>
        <w:t>Accumulated Other Comprehensive Loss</w:t>
      </w:r>
      <w:r>
        <w:rPr>
          <w:rFonts w:ascii="Times New Roman" w:hAnsi="Times New Roman"/>
          <w:sz w:val="20"/>
        </w:rPr>
        <w:t xml:space="preserve"> </w:t>
      </w:r>
    </w:p>
    <w:p>
      <w:pPr>
        <w:pStyle w:val="TextBody"/>
        <w:spacing w:before="120" w:after="200"/>
        <w:jc w:val="left"/>
        <w:rPr>
          <w:rFonts w:ascii="Times New Roman;serif" w:hAnsi="Times New Roman;serif"/>
          <w:b w:val="false"/>
          <w:sz w:val="20"/>
        </w:rPr>
      </w:pPr>
      <w:r>
        <w:rPr>
          <w:rFonts w:ascii="Times New Roman;serif" w:hAnsi="Times New Roman;serif"/>
          <w:b w:val="false"/>
          <w:sz w:val="20"/>
        </w:rPr>
        <w:t>The following table presents changes in accumulated other comprehensive loss (AOCL), net of tax:</w:t>
      </w:r>
    </w:p>
    <w:tbl>
      <w:tblPr>
        <w:tblW w:w="5324" w:type="dxa"/>
        <w:jc w:val="left"/>
        <w:tblInd w:w="0" w:type="dxa"/>
        <w:tblCellMar>
          <w:top w:w="28" w:type="dxa"/>
          <w:left w:w="28" w:type="dxa"/>
          <w:bottom w:w="28" w:type="dxa"/>
          <w:right w:w="28" w:type="dxa"/>
        </w:tblCellMar>
      </w:tblPr>
      <w:tblGrid>
        <w:gridCol w:w="2971"/>
        <w:gridCol w:w="146"/>
        <w:gridCol w:w="211"/>
        <w:gridCol w:w="631"/>
        <w:gridCol w:w="166"/>
        <w:gridCol w:w="146"/>
        <w:gridCol w:w="211"/>
        <w:gridCol w:w="631"/>
        <w:gridCol w:w="211"/>
      </w:tblGrid>
      <w:tr>
        <w:trPr/>
        <w:tc>
          <w:tcPr>
            <w:tcW w:w="2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11" w:type="dxa"/>
            <w:tcBorders/>
            <w:shd w:fill="auto" w:val="cle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Foreign currency translation</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(249.9</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(182.5</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Defined benefit plan activity</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Amounts reclassified from AOCL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Hedging instruments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AOCL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Amounts reclassified from net AOCL related to defined benefit plans are recorded in other income, net in the Condensed Consolidated Statements of Operations.</w:t>
      </w:r>
    </w:p>
    <w:p>
      <w:pPr>
        <w:pStyle w:val="TextBody"/>
        <w:spacing w:before="360" w:after="200"/>
        <w:jc w:val="left"/>
        <w:rPr>
          <w:rFonts w:ascii="Times New Roman;serif" w:hAnsi="Times New Roman;serif"/>
          <w:b/>
          <w:sz w:val="20"/>
        </w:rPr>
      </w:pPr>
      <w:r>
        <w:rPr>
          <w:rFonts w:ascii="Times New Roman;serif" w:hAnsi="Times New Roman;serif"/>
          <w:b/>
          <w:sz w:val="20"/>
        </w:rPr>
        <w:t>Cash Flow Information</w:t>
      </w:r>
    </w:p>
    <w:tbl>
      <w:tblPr>
        <w:tblW w:w="5009" w:type="dxa"/>
        <w:jc w:val="left"/>
        <w:tblInd w:w="0" w:type="dxa"/>
        <w:tblCellMar>
          <w:top w:w="28" w:type="dxa"/>
          <w:left w:w="28" w:type="dxa"/>
          <w:bottom w:w="28" w:type="dxa"/>
          <w:right w:w="28" w:type="dxa"/>
        </w:tblCellMar>
      </w:tblPr>
      <w:tblGrid>
        <w:gridCol w:w="2716"/>
        <w:gridCol w:w="146"/>
        <w:gridCol w:w="211"/>
        <w:gridCol w:w="571"/>
        <w:gridCol w:w="146"/>
        <w:gridCol w:w="146"/>
        <w:gridCol w:w="211"/>
        <w:gridCol w:w="571"/>
        <w:gridCol w:w="291"/>
      </w:tblGrid>
      <w:tr>
        <w:trPr/>
        <w:tc>
          <w:tcPr>
            <w:tcW w:w="27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91" w:type="dxa"/>
            <w:tcBorders/>
            <w:shd w:fill="auto" w:val="clear"/>
            <w:vAlign w:val="center"/>
          </w:tcPr>
          <w:p>
            <w:pPr>
              <w:pStyle w:val="TableContents"/>
              <w:spacing w:before="0" w:after="0"/>
              <w:ind w:left="0" w:right="0" w:hanging="0"/>
              <w:jc w:val="center"/>
              <w:rPr/>
            </w:pPr>
            <w:r>
              <w:rPr/>
              <w:t> </w:t>
            </w:r>
          </w:p>
        </w:tc>
      </w:tr>
      <w:tr>
        <w:trPr/>
        <w:tc>
          <w:tcPr>
            <w:tcW w:w="27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during the period for:</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27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taxes, net of refunds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w:t>
            </w:r>
          </w:p>
        </w:tc>
        <w:tc>
          <w:tcPr>
            <w:tcW w:w="291" w:type="dxa"/>
            <w:tcBorders/>
            <w:shd w:fill="auto" w:val="clear"/>
            <w:vAlign w:val="center"/>
          </w:tcPr>
          <w:p>
            <w:pPr>
              <w:pStyle w:val="TableContents"/>
              <w:spacing w:before="0" w:after="0"/>
              <w:ind w:left="0" w:right="0" w:firstLine="100"/>
              <w:jc w:val="left"/>
              <w:rPr/>
            </w:pPr>
            <w:r>
              <w:rPr/>
              <w:t> </w:t>
            </w:r>
          </w:p>
        </w:tc>
      </w:tr>
      <w:tr>
        <w:trPr/>
        <w:tc>
          <w:tcPr>
            <w:tcW w:w="27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191.7</w:t>
            </w:r>
          </w:p>
        </w:tc>
        <w:tc>
          <w:tcPr>
            <w:tcW w:w="2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200"/>
        <w:jc w:val="left"/>
        <w:rPr>
          <w:rFonts w:ascii="Times New Roman;serif" w:hAnsi="Times New Roman;serif"/>
          <w:b/>
          <w:sz w:val="20"/>
        </w:rPr>
      </w:pPr>
      <w:r>
        <w:rPr>
          <w:rFonts w:ascii="Times New Roman;serif" w:hAnsi="Times New Roman;serif"/>
          <w:b/>
          <w:sz w:val="20"/>
        </w:rPr>
        <w:t>5. FINANCING</w:t>
      </w:r>
    </w:p>
    <w:tbl>
      <w:tblPr>
        <w:tblW w:w="6837" w:type="dxa"/>
        <w:jc w:val="left"/>
        <w:tblInd w:w="0" w:type="dxa"/>
        <w:tblCellMar>
          <w:top w:w="28" w:type="dxa"/>
          <w:left w:w="28" w:type="dxa"/>
          <w:bottom w:w="28" w:type="dxa"/>
          <w:right w:w="28" w:type="dxa"/>
        </w:tblCellMar>
      </w:tblPr>
      <w:tblGrid>
        <w:gridCol w:w="4096"/>
        <w:gridCol w:w="146"/>
        <w:gridCol w:w="211"/>
        <w:gridCol w:w="721"/>
        <w:gridCol w:w="166"/>
        <w:gridCol w:w="146"/>
        <w:gridCol w:w="258"/>
        <w:gridCol w:w="882"/>
        <w:gridCol w:w="211"/>
      </w:tblGrid>
      <w:tr>
        <w:trPr/>
        <w:tc>
          <w:tcPr>
            <w:tcW w:w="40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0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March 31, </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7.125% senior notes due July 2028</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700.0</w:t>
            </w:r>
          </w:p>
        </w:tc>
        <w:tc>
          <w:tcPr>
            <w:tcW w:w="21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5.00% senior notes due March 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21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8.25% senior notes due March 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21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6.00% senior notes due June 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1,300.0</w:t>
            </w:r>
          </w:p>
        </w:tc>
        <w:tc>
          <w:tcPr>
            <w:tcW w:w="21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4.75% senior secured notes due September 2029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21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6.00% senior secured notes due March 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21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Senior secured term loan due April 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3,096.0</w:t>
            </w:r>
          </w:p>
        </w:tc>
        <w:tc>
          <w:tcPr>
            <w:tcW w:w="21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Senior secured revolving credit facility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principal amount of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9,596.0</w:t>
            </w:r>
          </w:p>
        </w:tc>
        <w:tc>
          <w:tcPr>
            <w:tcW w:w="211" w:type="dxa"/>
            <w:tcBorders/>
            <w:shd w:fill="auto" w:val="clear"/>
            <w:vAlign w:val="center"/>
          </w:tcPr>
          <w:p>
            <w:pPr>
              <w:pStyle w:val="TableContents"/>
              <w:spacing w:before="0" w:after="0"/>
              <w:ind w:left="0" w:right="0" w:hanging="0"/>
              <w:jc w:val="left"/>
              <w:rPr/>
            </w:pPr>
            <w:r>
              <w:rPr/>
              <w:t> </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Original issue discount, net of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Debt issuance costs, net of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long-term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9,410.5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9,469.6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See Note 7 within the Company’s audited consolidated financial statements included in the 2022 Annual Report for additional information on the terms and conditions of the Company’s debt obligations.</w:t>
      </w:r>
    </w:p>
    <w:p>
      <w:pPr>
        <w:pStyle w:val="TextBody"/>
        <w:spacing w:before="360" w:after="0"/>
        <w:jc w:val="left"/>
        <w:rPr>
          <w:rFonts w:ascii="Times New Roman;serif" w:hAnsi="Times New Roman;serif"/>
          <w:b/>
          <w:sz w:val="20"/>
        </w:rPr>
      </w:pPr>
      <w:r>
        <w:rPr>
          <w:rFonts w:ascii="Times New Roman;serif" w:hAnsi="Times New Roman;serif"/>
          <w:b/>
          <w:sz w:val="20"/>
        </w:rPr>
        <w:t>Senior Secured Credit Facilities</w:t>
      </w:r>
    </w:p>
    <w:p>
      <w:pPr>
        <w:pStyle w:val="TextBody"/>
        <w:spacing w:before="120" w:after="0"/>
        <w:jc w:val="left"/>
        <w:rPr>
          <w:rFonts w:ascii="Times New Roman" w:hAnsi="Times New Roman"/>
          <w:sz w:val="20"/>
        </w:rPr>
      </w:pPr>
      <w:r>
        <w:rPr>
          <w:rFonts w:ascii="Times New Roman;serif" w:hAnsi="Times New Roman;serif"/>
          <w:b w:val="false"/>
          <w:sz w:val="20"/>
        </w:rPr>
        <w:t>During the three months ended March 31, 2023, the Company did not borrow under the Revolving Credit Facility. As of March 31, 2023, the Company had no</w:t>
      </w:r>
      <w:r>
        <w:rPr>
          <w:rFonts w:ascii="Times New Roman" w:hAnsi="Times New Roman"/>
          <w:sz w:val="20"/>
        </w:rPr>
        <w:t xml:space="preserve"> </w:t>
      </w:r>
      <w:r>
        <w:rPr>
          <w:rFonts w:ascii="Times New Roman;serif" w:hAnsi="Times New Roman;serif"/>
          <w:b w:val="false"/>
          <w:sz w:val="20"/>
        </w:rPr>
        <w:t>outstanding borrowings under the Revolving Credit Facility and had availability of $907.3</w:t>
      </w:r>
      <w:r>
        <w:rPr>
          <w:rFonts w:ascii="Times New Roman" w:hAnsi="Times New Roman"/>
          <w:sz w:val="20"/>
        </w:rPr>
        <w:t xml:space="preserve"> </w:t>
      </w:r>
      <w:r>
        <w:rPr>
          <w:rFonts w:ascii="Times New Roman;serif" w:hAnsi="Times New Roman;serif"/>
          <w:b w:val="false"/>
          <w:sz w:val="20"/>
        </w:rPr>
        <w:t>million, after giving effect to borrowing base limitations and outstanding letters of credit.</w:t>
      </w:r>
    </w:p>
    <w:p>
      <w:pPr>
        <w:pStyle w:val="TextBody"/>
        <w:spacing w:before="240" w:after="0"/>
        <w:jc w:val="left"/>
        <w:rPr>
          <w:rFonts w:ascii="Times New Roman" w:hAnsi="Times New Roman"/>
          <w:sz w:val="20"/>
        </w:rPr>
      </w:pPr>
      <w:r>
        <w:rPr>
          <w:rFonts w:ascii="Times New Roman;serif" w:hAnsi="Times New Roman;serif"/>
          <w:b w:val="false"/>
          <w:sz w:val="20"/>
        </w:rPr>
        <w:t>During the three months ended March 31, 2023, the Company made the quarterly scheduled amortization payment of $8.0</w:t>
      </w:r>
      <w:r>
        <w:rPr>
          <w:rFonts w:ascii="Times New Roman" w:hAnsi="Times New Roman"/>
          <w:sz w:val="20"/>
        </w:rPr>
        <w:t xml:space="preserve"> </w:t>
      </w:r>
      <w:r>
        <w:rPr>
          <w:rFonts w:ascii="Times New Roman;serif" w:hAnsi="Times New Roman;serif"/>
          <w:b w:val="false"/>
          <w:sz w:val="20"/>
        </w:rPr>
        <w:t>million on the senior secured term loan due in 2026 (the 2026 Term Loan). The current portion of long-term debt reflects $32.0</w:t>
      </w:r>
      <w:r>
        <w:rPr>
          <w:rFonts w:ascii="Times New Roman" w:hAnsi="Times New Roman"/>
          <w:sz w:val="20"/>
        </w:rPr>
        <w:t xml:space="preserve"> </w:t>
      </w:r>
      <w:r>
        <w:rPr>
          <w:rFonts w:ascii="Times New Roman;serif" w:hAnsi="Times New Roman;serif"/>
          <w:b w:val="false"/>
          <w:sz w:val="20"/>
        </w:rPr>
        <w:t>million of repayments due under the 2026 Term Loan.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the Company did not reflect any portion of the 2026 Term Loan as a current portion of long-term debt related to the potentially required excess cash flow payment because the amount that may be payable in 2023, if any, cannot currently be reliably estimated. There is no excess cash flow payment required in 2023 related to 2022.</w:t>
      </w:r>
    </w:p>
    <w:p>
      <w:pPr>
        <w:pStyle w:val="TextBody"/>
        <w:spacing w:before="360" w:after="0"/>
        <w:jc w:val="left"/>
        <w:rPr>
          <w:rFonts w:ascii="Times New Roman;serif" w:hAnsi="Times New Roman;serif"/>
          <w:b/>
          <w:sz w:val="20"/>
        </w:rPr>
      </w:pPr>
      <w:r>
        <w:rPr>
          <w:rFonts w:ascii="Times New Roman;serif" w:hAnsi="Times New Roman;serif"/>
          <w:b/>
          <w:sz w:val="20"/>
        </w:rPr>
        <w:t>Other Matters</w:t>
      </w:r>
    </w:p>
    <w:p>
      <w:pPr>
        <w:pStyle w:val="TextBody"/>
        <w:spacing w:before="120" w:after="0"/>
        <w:jc w:val="left"/>
        <w:rPr>
          <w:rFonts w:ascii="Times New Roman" w:hAnsi="Times New Roman"/>
          <w:sz w:val="20"/>
        </w:rPr>
      </w:pPr>
      <w:r>
        <w:rPr>
          <w:rFonts w:ascii="Times New Roman;serif" w:hAnsi="Times New Roman;serif"/>
          <w:b w:val="false"/>
          <w:sz w:val="20"/>
        </w:rPr>
        <w:t>In March 2023, the Company repurchased a portion of its long-term debt. During the three months ended March 31, 2023, the Company repurchased $47.4</w:t>
      </w:r>
      <w:r>
        <w:rPr>
          <w:rFonts w:ascii="Times New Roman" w:hAnsi="Times New Roman"/>
          <w:sz w:val="20"/>
        </w:rPr>
        <w:t xml:space="preserve"> </w:t>
      </w:r>
      <w:r>
        <w:rPr>
          <w:rFonts w:ascii="Times New Roman;serif" w:hAnsi="Times New Roman;serif"/>
          <w:b w:val="false"/>
          <w:sz w:val="20"/>
        </w:rPr>
        <w:t>million aggregate principal amount of the Company's 8.25% senior notes due 2027 for cash consideration of $40.7</w:t>
      </w:r>
      <w:r>
        <w:rPr>
          <w:rFonts w:ascii="Times New Roman" w:hAnsi="Times New Roman"/>
          <w:sz w:val="20"/>
        </w:rPr>
        <w:t xml:space="preserve"> </w:t>
      </w:r>
      <w:r>
        <w:rPr>
          <w:rFonts w:ascii="Times New Roman;serif" w:hAnsi="Times New Roman;serif"/>
          <w:b w:val="false"/>
          <w:sz w:val="20"/>
        </w:rPr>
        <w:t>million, $3.1</w:t>
      </w:r>
      <w:r>
        <w:rPr>
          <w:rFonts w:ascii="Times New Roman" w:hAnsi="Times New Roman"/>
          <w:sz w:val="20"/>
        </w:rPr>
        <w:t xml:space="preserve"> </w:t>
      </w:r>
      <w:r>
        <w:rPr>
          <w:rFonts w:ascii="Times New Roman;serif" w:hAnsi="Times New Roman;serif"/>
          <w:b w:val="false"/>
          <w:sz w:val="20"/>
        </w:rPr>
        <w:t>million aggregate principal amount of the Company's 7.125% senior notes due 2028 for cash consideration of $2.5</w:t>
      </w:r>
      <w:r>
        <w:rPr>
          <w:rFonts w:ascii="Times New Roman" w:hAnsi="Times New Roman"/>
          <w:sz w:val="20"/>
        </w:rPr>
        <w:t xml:space="preserve"> </w:t>
      </w:r>
      <w:r>
        <w:rPr>
          <w:rFonts w:ascii="Times New Roman;serif" w:hAnsi="Times New Roman;serif"/>
          <w:b w:val="false"/>
          <w:sz w:val="20"/>
        </w:rPr>
        <w:t>million and $7.0</w:t>
      </w:r>
      <w:r>
        <w:rPr>
          <w:rFonts w:ascii="Times New Roman" w:hAnsi="Times New Roman"/>
          <w:sz w:val="20"/>
        </w:rPr>
        <w:t xml:space="preserve"> </w:t>
      </w:r>
      <w:r>
        <w:rPr>
          <w:rFonts w:ascii="Times New Roman;serif" w:hAnsi="Times New Roman;serif"/>
          <w:b w:val="false"/>
          <w:sz w:val="20"/>
        </w:rPr>
        <w:t>million aggregate principal amount of the Company's 6.00% senior notes due 2025 for cash consideration of $6.8</w:t>
      </w:r>
      <w:r>
        <w:rPr>
          <w:rFonts w:ascii="Times New Roman" w:hAnsi="Times New Roman"/>
          <w:sz w:val="20"/>
        </w:rPr>
        <w:t xml:space="preserve"> </w:t>
      </w:r>
      <w:r>
        <w:rPr>
          <w:rFonts w:ascii="Times New Roman;serif" w:hAnsi="Times New Roman;serif"/>
          <w:b w:val="false"/>
          <w:sz w:val="20"/>
        </w:rPr>
        <w:t>million, resulting in a total repurchase of $57.5</w:t>
      </w:r>
      <w:r>
        <w:rPr>
          <w:rFonts w:ascii="Times New Roman" w:hAnsi="Times New Roman"/>
          <w:sz w:val="20"/>
        </w:rPr>
        <w:t xml:space="preserve"> </w:t>
      </w:r>
      <w:r>
        <w:rPr>
          <w:rFonts w:ascii="Times New Roman;serif" w:hAnsi="Times New Roman;serif"/>
          <w:b w:val="false"/>
          <w:sz w:val="20"/>
        </w:rPr>
        <w:t>million aggregate principal amount of senior notes for total cash consideration of $50.0</w:t>
      </w:r>
      <w:r>
        <w:rPr>
          <w:rFonts w:ascii="Times New Roman" w:hAnsi="Times New Roman"/>
          <w:sz w:val="20"/>
        </w:rPr>
        <w:t xml:space="preserve"> </w:t>
      </w:r>
      <w:r>
        <w:rPr>
          <w:rFonts w:ascii="Times New Roman;serif" w:hAnsi="Times New Roman;serif"/>
          <w:b w:val="false"/>
          <w:sz w:val="20"/>
        </w:rPr>
        <w:t>million. The repurchase of debt resulted in a gain on the early extinguishment of debt of $7.5</w:t>
      </w:r>
      <w:r>
        <w:rPr>
          <w:rFonts w:ascii="Times New Roman" w:hAnsi="Times New Roman"/>
          <w:sz w:val="20"/>
        </w:rPr>
        <w:t xml:space="preserve"> </w:t>
      </w:r>
      <w:r>
        <w:rPr>
          <w:rFonts w:ascii="Times New Roman;serif" w:hAnsi="Times New Roman;serif"/>
          <w:b w:val="false"/>
          <w:sz w:val="20"/>
        </w:rPr>
        <w:t>million reflected in other income, net and a write-off of debt issuance costs of $0.5</w:t>
      </w:r>
      <w:r>
        <w:rPr>
          <w:rFonts w:ascii="Times New Roman" w:hAnsi="Times New Roman"/>
          <w:sz w:val="20"/>
        </w:rPr>
        <w:t xml:space="preserve"> </w:t>
      </w:r>
      <w:r>
        <w:rPr>
          <w:rFonts w:ascii="Times New Roman;serif" w:hAnsi="Times New Roman;serif"/>
          <w:b w:val="false"/>
          <w:sz w:val="20"/>
        </w:rPr>
        <w:t>million reflected in interest expense, in the Condensed Consolidated Statements of Operations during the three months ended March 31, 2023.</w:t>
      </w:r>
    </w:p>
    <w:p>
      <w:pPr>
        <w:pStyle w:val="TextBody"/>
        <w:spacing w:before="240" w:after="0"/>
        <w:jc w:val="left"/>
        <w:rPr>
          <w:rFonts w:ascii="Times New Roman" w:hAnsi="Times New Roman"/>
          <w:sz w:val="20"/>
        </w:rPr>
      </w:pPr>
      <w:r>
        <w:rPr>
          <w:rFonts w:ascii="Times New Roman;serif" w:hAnsi="Times New Roman;serif"/>
          <w:b w:val="false"/>
          <w:sz w:val="20"/>
        </w:rPr>
        <w:t>The Company’s non-guarantor subsidiaries held $3,450</w:t>
      </w:r>
      <w:r>
        <w:rPr>
          <w:rFonts w:ascii="Times New Roman" w:hAnsi="Times New Roman"/>
          <w:sz w:val="20"/>
        </w:rPr>
        <w:t xml:space="preserve"> </w:t>
      </w:r>
      <w:r>
        <w:rPr>
          <w:rFonts w:ascii="Times New Roman;serif" w:hAnsi="Times New Roman;serif"/>
          <w:b w:val="false"/>
          <w:sz w:val="20"/>
        </w:rPr>
        <w:t>million, or 30%, of total assets and $905</w:t>
      </w:r>
      <w:r>
        <w:rPr>
          <w:rFonts w:ascii="Times New Roman" w:hAnsi="Times New Roman"/>
          <w:sz w:val="20"/>
        </w:rPr>
        <w:t xml:space="preserve"> </w:t>
      </w:r>
      <w:r>
        <w:rPr>
          <w:rFonts w:ascii="Times New Roman;serif" w:hAnsi="Times New Roman;serif"/>
          <w:b w:val="false"/>
          <w:sz w:val="20"/>
        </w:rPr>
        <w:t>million, or 8%, of total liabilities as of March 31, 2023</w:t>
      </w:r>
      <w:r>
        <w:rPr>
          <w:rFonts w:ascii="Times New Roman" w:hAnsi="Times New Roman"/>
          <w:sz w:val="20"/>
        </w:rPr>
        <w:t xml:space="preserve"> </w:t>
      </w:r>
      <w:r>
        <w:rPr>
          <w:rFonts w:ascii="Times New Roman;serif" w:hAnsi="Times New Roman;serif"/>
          <w:b w:val="false"/>
          <w:sz w:val="20"/>
        </w:rPr>
        <w:t>and accounted for $528</w:t>
      </w:r>
      <w:r>
        <w:rPr>
          <w:rFonts w:ascii="Times New Roman" w:hAnsi="Times New Roman"/>
          <w:sz w:val="20"/>
        </w:rPr>
        <w:t xml:space="preserve"> </w:t>
      </w:r>
      <w:r>
        <w:rPr>
          <w:rFonts w:ascii="Times New Roman;serif" w:hAnsi="Times New Roman;serif"/>
          <w:b w:val="false"/>
          <w:sz w:val="20"/>
        </w:rPr>
        <w:t>million, or 26% of net sales for the three months ended March 31, 2023. All amounts presented exclude intercompany balances.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weighted average effective interest rate on outstanding borrowings, including the impact of the interest rate swap contracts and the amortization of debt issuance costs and original issue discount, was 7.06% and 6.91% as of March 31, 2023 and December 31, 2022, respectively.</w:t>
      </w:r>
    </w:p>
    <w:p>
      <w:pPr>
        <w:pStyle w:val="TextBody"/>
        <w:spacing w:before="360" w:after="0"/>
        <w:jc w:val="left"/>
        <w:rPr>
          <w:rFonts w:ascii="Times New Roman;serif" w:hAnsi="Times New Roman;serif"/>
          <w:b/>
          <w:sz w:val="20"/>
        </w:rPr>
      </w:pPr>
      <w:r>
        <w:rPr>
          <w:rFonts w:ascii="Times New Roman;serif" w:hAnsi="Times New Roman;serif"/>
          <w:b/>
          <w:sz w:val="20"/>
        </w:rPr>
        <w:t>6. FAIR VALUE MEASUREMENTS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financial instruments consist primarily of cash and cash equivalents, trade receivables, trade payables, debt instruments, interest rate swap contracts and foreign currency contracts. For cash and cash equivalents, trade receivables and trade payables, the carrying amounts of these financial instruments as of March 31, 2023 and December 31, 2022 were considered representative of their fair values due to their short terms to maturity. The fair values of the Company’s debt instruments, interest rate swap contracts and foreign currency contracts were based on indicative quotes.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Fair value measurements using quoted prices in active markets for identical assets and liabilities fall within Level 1 of the fair value hierarchy, measurements using significant other observable inputs fall within Level 2, and measurements using significant unobservable inputs fall within Level 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carrying amounts, estimated fair values and valuation input levels of the Company’s debt instruments, interest rate swap contracts and foreign currency contracts as of March 31, 2023 and December 31, 2022, are as follows:</w:t>
      </w:r>
    </w:p>
    <w:p>
      <w:pPr>
        <w:pStyle w:val="TextBody"/>
        <w:spacing w:before="0" w:after="0"/>
        <w:jc w:val="left"/>
        <w:rPr/>
      </w:pPr>
      <w:r>
        <w:rPr/>
        <w:t> </w:t>
      </w:r>
    </w:p>
    <w:tbl>
      <w:tblPr>
        <w:tblW w:w="9149" w:type="dxa"/>
        <w:jc w:val="left"/>
        <w:tblInd w:w="0" w:type="dxa"/>
        <w:tblCellMar>
          <w:top w:w="28" w:type="dxa"/>
          <w:left w:w="28" w:type="dxa"/>
          <w:bottom w:w="28" w:type="dxa"/>
          <w:right w:w="28" w:type="dxa"/>
        </w:tblCellMar>
      </w:tblPr>
      <w:tblGrid>
        <w:gridCol w:w="3236"/>
        <w:gridCol w:w="146"/>
        <w:gridCol w:w="211"/>
        <w:gridCol w:w="721"/>
        <w:gridCol w:w="146"/>
        <w:gridCol w:w="146"/>
        <w:gridCol w:w="211"/>
        <w:gridCol w:w="721"/>
        <w:gridCol w:w="146"/>
        <w:gridCol w:w="146"/>
        <w:gridCol w:w="211"/>
        <w:gridCol w:w="721"/>
        <w:gridCol w:w="146"/>
        <w:gridCol w:w="146"/>
        <w:gridCol w:w="211"/>
        <w:gridCol w:w="721"/>
        <w:gridCol w:w="146"/>
        <w:gridCol w:w="146"/>
        <w:gridCol w:w="871"/>
      </w:tblGrid>
      <w:tr>
        <w:trPr/>
        <w:tc>
          <w:tcPr>
            <w:tcW w:w="32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r>
      <w:tr>
        <w:trPr/>
        <w:tc>
          <w:tcPr>
            <w:tcW w:w="32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center"/>
              <w:rPr/>
            </w:pPr>
            <w:r>
              <w:rPr/>
              <w:t> </w:t>
            </w:r>
          </w:p>
        </w:tc>
      </w:tr>
      <w:tr>
        <w:trPr/>
        <w:tc>
          <w:tcPr>
            <w:tcW w:w="32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Valuation</w:t>
              <w:br/>
              <w:t>Inputs</w:t>
            </w:r>
          </w:p>
        </w:tc>
      </w:tr>
      <w:tr>
        <w:trPr/>
        <w:tc>
          <w:tcPr>
            <w:tcW w:w="3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firstLine="100"/>
              <w:jc w:val="center"/>
              <w:rPr/>
            </w:pPr>
            <w:r>
              <w:rPr/>
              <w:t> </w:t>
            </w:r>
          </w:p>
        </w:tc>
      </w:tr>
      <w:tr>
        <w:trPr/>
        <w:tc>
          <w:tcPr>
            <w:tcW w:w="323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Foreign currency contracts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firstLine="100"/>
              <w:jc w:val="center"/>
              <w:rPr>
                <w:rFonts w:ascii="Times New Roman;serif" w:hAnsi="Times New Roman;serif"/>
                <w:b w:val="false"/>
                <w:sz w:val="20"/>
              </w:rPr>
            </w:pPr>
            <w:r>
              <w:rPr>
                <w:rFonts w:ascii="Times New Roman;serif" w:hAnsi="Times New Roman;serif"/>
                <w:b w:val="false"/>
                <w:sz w:val="20"/>
              </w:rPr>
              <w:t>Level 2</w:t>
            </w:r>
          </w:p>
        </w:tc>
      </w:tr>
      <w:tr>
        <w:trPr/>
        <w:tc>
          <w:tcPr>
            <w:tcW w:w="323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rate swap contracts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r>
      <w:tr>
        <w:trPr/>
        <w:tc>
          <w:tcPr>
            <w:tcW w:w="3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firstLine="100"/>
              <w:jc w:val="center"/>
              <w:rPr/>
            </w:pPr>
            <w:r>
              <w:rPr/>
              <w:t> </w:t>
            </w:r>
          </w:p>
        </w:tc>
      </w:tr>
      <w:tr>
        <w:trPr/>
        <w:tc>
          <w:tcPr>
            <w:tcW w:w="323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7.125% senior notes due 2028</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firstLine="100"/>
              <w:jc w:val="center"/>
              <w:rPr>
                <w:rFonts w:ascii="Times New Roman;serif" w:hAnsi="Times New Roman;serif"/>
                <w:b w:val="false"/>
                <w:sz w:val="20"/>
              </w:rPr>
            </w:pPr>
            <w:r>
              <w:rPr>
                <w:rFonts w:ascii="Times New Roman;serif" w:hAnsi="Times New Roman;serif"/>
                <w:b w:val="false"/>
                <w:sz w:val="20"/>
              </w:rPr>
              <w:t>Level 2</w:t>
            </w:r>
          </w:p>
        </w:tc>
      </w:tr>
      <w:tr>
        <w:trPr/>
        <w:tc>
          <w:tcPr>
            <w:tcW w:w="32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5.00% senior notes due 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firstLine="100"/>
              <w:jc w:val="center"/>
              <w:rPr>
                <w:rFonts w:ascii="Times New Roman;serif" w:hAnsi="Times New Roman;serif"/>
                <w:b w:val="false"/>
                <w:sz w:val="20"/>
              </w:rPr>
            </w:pPr>
            <w:r>
              <w:rPr>
                <w:rFonts w:ascii="Times New Roman;serif" w:hAnsi="Times New Roman;serif"/>
                <w:b w:val="false"/>
                <w:sz w:val="20"/>
              </w:rPr>
              <w:t>Level 2</w:t>
            </w:r>
          </w:p>
        </w:tc>
      </w:tr>
      <w:tr>
        <w:trPr/>
        <w:tc>
          <w:tcPr>
            <w:tcW w:w="32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8.25% senior notes due 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firstLine="100"/>
              <w:jc w:val="center"/>
              <w:rPr>
                <w:rFonts w:ascii="Times New Roman;serif" w:hAnsi="Times New Roman;serif"/>
                <w:b w:val="false"/>
                <w:sz w:val="20"/>
              </w:rPr>
            </w:pPr>
            <w:r>
              <w:rPr>
                <w:rFonts w:ascii="Times New Roman;serif" w:hAnsi="Times New Roman;serif"/>
                <w:b w:val="false"/>
                <w:sz w:val="20"/>
              </w:rPr>
              <w:t>Level 2</w:t>
            </w:r>
          </w:p>
        </w:tc>
      </w:tr>
      <w:tr>
        <w:trPr/>
        <w:tc>
          <w:tcPr>
            <w:tcW w:w="323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6.00% senior notes due 2025</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firstLine="100"/>
              <w:jc w:val="center"/>
              <w:rPr>
                <w:rFonts w:ascii="Times New Roman;serif" w:hAnsi="Times New Roman;serif"/>
                <w:b w:val="false"/>
                <w:sz w:val="20"/>
              </w:rPr>
            </w:pPr>
            <w:r>
              <w:rPr>
                <w:rFonts w:ascii="Times New Roman;serif" w:hAnsi="Times New Roman;serif"/>
                <w:b w:val="false"/>
                <w:sz w:val="20"/>
              </w:rPr>
              <w:t>Level 2</w:t>
            </w:r>
          </w:p>
        </w:tc>
      </w:tr>
      <w:tr>
        <w:trPr/>
        <w:tc>
          <w:tcPr>
            <w:tcW w:w="323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4.75% senior secured notes due 2029</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firstLine="100"/>
              <w:jc w:val="center"/>
              <w:rPr>
                <w:rFonts w:ascii="Times New Roman;serif" w:hAnsi="Times New Roman;serif"/>
                <w:b w:val="false"/>
                <w:sz w:val="20"/>
              </w:rPr>
            </w:pPr>
            <w:r>
              <w:rPr>
                <w:rFonts w:ascii="Times New Roman;serif" w:hAnsi="Times New Roman;serif"/>
                <w:b w:val="false"/>
                <w:sz w:val="20"/>
              </w:rPr>
              <w:t>Level 2</w:t>
            </w:r>
          </w:p>
        </w:tc>
      </w:tr>
      <w:tr>
        <w:trPr/>
        <w:tc>
          <w:tcPr>
            <w:tcW w:w="323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6.00% senior secured notes due 2026</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firstLine="100"/>
              <w:jc w:val="center"/>
              <w:rPr>
                <w:rFonts w:ascii="Times New Roman;serif" w:hAnsi="Times New Roman;serif"/>
                <w:b w:val="false"/>
                <w:sz w:val="20"/>
              </w:rPr>
            </w:pPr>
            <w:r>
              <w:rPr>
                <w:rFonts w:ascii="Times New Roman;serif" w:hAnsi="Times New Roman;serif"/>
                <w:b w:val="false"/>
                <w:sz w:val="20"/>
              </w:rPr>
              <w:t>Level 2</w:t>
            </w:r>
          </w:p>
        </w:tc>
      </w:tr>
      <w:tr>
        <w:trPr/>
        <w:tc>
          <w:tcPr>
            <w:tcW w:w="323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Senior secured term loan due 2026</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firstLine="100"/>
              <w:jc w:val="center"/>
              <w:rPr>
                <w:rFonts w:ascii="Times New Roman;serif" w:hAnsi="Times New Roman;serif"/>
                <w:b w:val="false"/>
                <w:sz w:val="20"/>
              </w:rPr>
            </w:pPr>
            <w:r>
              <w:rPr>
                <w:rFonts w:ascii="Times New Roman;serif" w:hAnsi="Times New Roman;serif"/>
                <w:b w:val="false"/>
                <w:sz w:val="20"/>
              </w:rPr>
              <w:t>Level 2</w:t>
            </w:r>
          </w:p>
        </w:tc>
      </w:tr>
      <w:tr>
        <w:trPr/>
        <w:tc>
          <w:tcPr>
            <w:tcW w:w="323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Foreign currency contracts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These fair value estimates are based on pertinent information available to management as of the valuation date. Although management is not aware of any factors that would significantly affect these fair value estimates, such amounts have not been comprehensively revalued for purposes of these financial statements since those dates, and current estimates of fair value may differ significantly from the amounts presented.</w:t>
      </w:r>
    </w:p>
    <w:p>
      <w:pPr>
        <w:pStyle w:val="TextBody"/>
        <w:spacing w:before="360" w:after="0"/>
        <w:jc w:val="left"/>
        <w:rPr>
          <w:rFonts w:ascii="Times New Roman;serif" w:hAnsi="Times New Roman;serif"/>
          <w:b/>
          <w:sz w:val="20"/>
        </w:rPr>
      </w:pPr>
      <w:r>
        <w:rPr>
          <w:rFonts w:ascii="Times New Roman;serif" w:hAnsi="Times New Roman;serif"/>
          <w:b/>
          <w:sz w:val="20"/>
        </w:rPr>
        <w:t>7. SEGMENTS AND GEOGRAPHIC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has five reportable segments as described below.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Connectivity and Cable Solutions (CCS) segment provides fiber optic and copper connectivity and cable solutions for use in telecommunications, cable television, residential broadband networks, data centers and business enterprises. The CCS portfolio includes network solutions for indoor and outdoor network applications. Indoor network solutions include optical fiber and twisted pair structured cable solutions, intelligent infrastructure management hardware and software and network rack and cabinet enclosures. Outdoor network solutions are used in both local-area and wide-area networks and “last mile” fiber-to-the-home installations, including deployments of fiber-to-the-node, fiber-to-the-premises and fiber-to-the-distribution point to homes, businesses and cell sites.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Outdoor Wireless Networks (OWN) segment focuses on the macro and metro cell markets. The segment includes base station antennas, radio frequency (RF) filters, tower connectivity, microwave antennas, metro cell products, cabinets, steel, accessories and the wireless spectrum management business, Comsearch.</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Networking, Intelligent Cellular and Security Solutions (NICS) segment provides wireless networks for enterprises and service providers. Product offerings include indoor and outdoor Wi-Fi and long-term evolution (LTE) access points, access and aggregation switches; an Internet of Things suite, on-premises and cloud-based control and management systems; and software and software-as-a-service applications addressing security, location, reporting and analytics.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Access Network Solutions (ANS) segment’s product solutions include cable modem termination systems, video infrastructure, distribution and transmission equipment and cloud solutions that enable facility-based service providers to construct a state-of-the-art residential and metro distribution network.</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Home Networks (Home) segment includes subscriber-based solutions that support broadband and video applications. The broadband offerings in the Home segment include devices that provide residential connectivity to a service provider’s network, such as digital subscriber line and cable modems and telephony and data gateways which incorporate routing and Wi-Fi functionality. Video offerings include set top boxes that support cable, satellite and IP television content delivery and include products such as digital video recorders, high definition set top boxes and hybrid set top devices.</w:t>
      </w:r>
    </w:p>
    <w:p>
      <w:pPr>
        <w:pStyle w:val="TextBody"/>
        <w:spacing w:before="240" w:after="200"/>
        <w:jc w:val="left"/>
        <w:rPr>
          <w:rFonts w:ascii="Times New Roman;serif" w:hAnsi="Times New Roman;serif"/>
          <w:b w:val="false"/>
          <w:sz w:val="20"/>
        </w:rPr>
      </w:pPr>
      <w:r>
        <w:rPr>
          <w:rFonts w:ascii="Times New Roman;serif" w:hAnsi="Times New Roman;serif"/>
          <w:b w:val="false"/>
          <w:sz w:val="20"/>
        </w:rPr>
        <w:t>The following table provides summary financial information by reportable segment:</w:t>
      </w:r>
    </w:p>
    <w:tbl>
      <w:tblPr>
        <w:tblW w:w="6297" w:type="dxa"/>
        <w:jc w:val="left"/>
        <w:tblInd w:w="0" w:type="dxa"/>
        <w:tblCellMar>
          <w:top w:w="28" w:type="dxa"/>
          <w:left w:w="28" w:type="dxa"/>
          <w:bottom w:w="28" w:type="dxa"/>
          <w:right w:w="28" w:type="dxa"/>
        </w:tblCellMar>
      </w:tblPr>
      <w:tblGrid>
        <w:gridCol w:w="3391"/>
        <w:gridCol w:w="146"/>
        <w:gridCol w:w="211"/>
        <w:gridCol w:w="826"/>
        <w:gridCol w:w="146"/>
        <w:gridCol w:w="146"/>
        <w:gridCol w:w="232"/>
        <w:gridCol w:w="908"/>
        <w:gridCol w:w="291"/>
      </w:tblGrid>
      <w:tr>
        <w:trPr/>
        <w:tc>
          <w:tcPr>
            <w:tcW w:w="3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March 31, </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Identifiable segment-related assets:</w:t>
            </w:r>
          </w:p>
        </w:tc>
        <w:tc>
          <w:tcPr>
            <w:tcW w:w="146" w:type="dxa"/>
            <w:tcBorders/>
            <w:shd w:fill="auto" w:val="clear"/>
            <w:vAlign w:val="center"/>
          </w:tcPr>
          <w:p>
            <w:pPr>
              <w:pStyle w:val="TableContents"/>
              <w:spacing w:before="0" w:after="0"/>
              <w:ind w:left="0" w:right="0" w:hanging="0"/>
              <w:jc w:val="left"/>
              <w:rPr/>
            </w:pPr>
            <w:r>
              <w:rPr/>
              <w:t> </w:t>
            </w:r>
          </w:p>
        </w:tc>
        <w:tc>
          <w:tcPr>
            <w:tcW w:w="103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33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CCS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4,263.8</w:t>
            </w:r>
          </w:p>
        </w:tc>
        <w:tc>
          <w:tcPr>
            <w:tcW w:w="291" w:type="dxa"/>
            <w:tcBorders/>
            <w:shd w:fill="auto" w:val="clear"/>
            <w:vAlign w:val="center"/>
          </w:tcPr>
          <w:p>
            <w:pPr>
              <w:pStyle w:val="TableContents"/>
              <w:spacing w:before="0" w:after="0"/>
              <w:ind w:left="0" w:right="0" w:firstLine="100"/>
              <w:jc w:val="left"/>
              <w:rPr/>
            </w:pPr>
            <w:r>
              <w:rPr/>
              <w:t> </w:t>
            </w:r>
          </w:p>
        </w:tc>
      </w:tr>
      <w:tr>
        <w:trPr/>
        <w:tc>
          <w:tcPr>
            <w:tcW w:w="33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OWN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1,166.8</w:t>
            </w:r>
          </w:p>
        </w:tc>
        <w:tc>
          <w:tcPr>
            <w:tcW w:w="291" w:type="dxa"/>
            <w:tcBorders/>
            <w:shd w:fill="auto" w:val="clear"/>
            <w:vAlign w:val="center"/>
          </w:tcPr>
          <w:p>
            <w:pPr>
              <w:pStyle w:val="TableContents"/>
              <w:spacing w:before="0" w:after="0"/>
              <w:ind w:left="0" w:right="0" w:firstLine="100"/>
              <w:jc w:val="left"/>
              <w:rPr/>
            </w:pPr>
            <w:r>
              <w:rPr/>
              <w:t> </w:t>
            </w:r>
          </w:p>
        </w:tc>
      </w:tr>
      <w:tr>
        <w:trPr/>
        <w:tc>
          <w:tcPr>
            <w:tcW w:w="33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NICS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1,338.1</w:t>
            </w:r>
          </w:p>
        </w:tc>
        <w:tc>
          <w:tcPr>
            <w:tcW w:w="291" w:type="dxa"/>
            <w:tcBorders/>
            <w:shd w:fill="auto" w:val="clear"/>
            <w:vAlign w:val="center"/>
          </w:tcPr>
          <w:p>
            <w:pPr>
              <w:pStyle w:val="TableContents"/>
              <w:spacing w:before="0" w:after="0"/>
              <w:ind w:left="0" w:right="0" w:firstLine="100"/>
              <w:jc w:val="left"/>
              <w:rPr/>
            </w:pPr>
            <w:r>
              <w:rPr/>
              <w:t> </w:t>
            </w:r>
          </w:p>
        </w:tc>
      </w:tr>
      <w:tr>
        <w:trPr/>
        <w:tc>
          <w:tcPr>
            <w:tcW w:w="33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2,632.6</w:t>
            </w:r>
          </w:p>
        </w:tc>
        <w:tc>
          <w:tcPr>
            <w:tcW w:w="291" w:type="dxa"/>
            <w:tcBorders/>
            <w:shd w:fill="auto" w:val="clear"/>
            <w:vAlign w:val="center"/>
          </w:tcPr>
          <w:p>
            <w:pPr>
              <w:pStyle w:val="TableContents"/>
              <w:spacing w:before="0" w:after="0"/>
              <w:ind w:left="0" w:right="0" w:firstLine="100"/>
              <w:jc w:val="left"/>
              <w:rPr/>
            </w:pPr>
            <w:r>
              <w:rPr/>
              <w:t> </w:t>
            </w:r>
          </w:p>
        </w:tc>
      </w:tr>
      <w:tr>
        <w:trPr/>
        <w:tc>
          <w:tcPr>
            <w:tcW w:w="33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Home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1,379.3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identifiable segment-related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10,482.6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10,780.6</w:t>
            </w:r>
          </w:p>
        </w:tc>
        <w:tc>
          <w:tcPr>
            <w:tcW w:w="291" w:type="dxa"/>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Reconciliation to total assets:</w:t>
            </w:r>
          </w:p>
        </w:tc>
        <w:tc>
          <w:tcPr>
            <w:tcW w:w="146" w:type="dxa"/>
            <w:tcBorders/>
            <w:shd w:fill="auto" w:val="clear"/>
            <w:vAlign w:val="center"/>
          </w:tcPr>
          <w:p>
            <w:pPr>
              <w:pStyle w:val="TableContents"/>
              <w:spacing w:before="0" w:after="0"/>
              <w:ind w:left="0" w:right="0" w:hanging="0"/>
              <w:jc w:val="left"/>
              <w:rPr/>
            </w:pPr>
            <w:r>
              <w:rPr/>
              <w:t> </w:t>
            </w:r>
          </w:p>
        </w:tc>
        <w:tc>
          <w:tcPr>
            <w:tcW w:w="103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33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398.1</w:t>
            </w:r>
          </w:p>
        </w:tc>
        <w:tc>
          <w:tcPr>
            <w:tcW w:w="291" w:type="dxa"/>
            <w:tcBorders/>
            <w:shd w:fill="auto" w:val="clear"/>
            <w:vAlign w:val="center"/>
          </w:tcPr>
          <w:p>
            <w:pPr>
              <w:pStyle w:val="TableContents"/>
              <w:spacing w:before="0" w:after="0"/>
              <w:ind w:left="0" w:right="0" w:firstLine="100"/>
              <w:jc w:val="left"/>
              <w:rPr/>
            </w:pPr>
            <w:r>
              <w:rPr/>
              <w:t> </w:t>
            </w:r>
          </w:p>
        </w:tc>
      </w:tr>
      <w:tr>
        <w:trPr/>
        <w:tc>
          <w:tcPr>
            <w:tcW w:w="33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Deferred income tax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527.1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506.7</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11,337.0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11,685.4</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core business.</w:t>
      </w:r>
    </w:p>
    <w:p>
      <w:pPr>
        <w:pStyle w:val="TextBody"/>
        <w:spacing w:before="240" w:after="200"/>
        <w:jc w:val="left"/>
        <w:rPr>
          <w:rFonts w:ascii="Times New Roman;serif" w:hAnsi="Times New Roman;serif"/>
          <w:b w:val="false"/>
          <w:sz w:val="20"/>
        </w:rPr>
      </w:pPr>
      <w:r>
        <w:rPr>
          <w:rFonts w:ascii="Times New Roman;serif" w:hAnsi="Times New Roman;serif"/>
          <w:b w:val="false"/>
          <w:sz w:val="20"/>
        </w:rPr>
        <w:t>The following table provides net sales, adjusted EBITDA, depreciation expense and additions to property, plant and equipment by reportable segment:</w:t>
      </w:r>
    </w:p>
    <w:tbl>
      <w:tblPr>
        <w:tblW w:w="7574" w:type="dxa"/>
        <w:jc w:val="left"/>
        <w:tblInd w:w="0" w:type="dxa"/>
        <w:tblCellMar>
          <w:top w:w="28" w:type="dxa"/>
          <w:left w:w="28" w:type="dxa"/>
          <w:bottom w:w="28" w:type="dxa"/>
          <w:right w:w="28" w:type="dxa"/>
        </w:tblCellMar>
      </w:tblPr>
      <w:tblGrid>
        <w:gridCol w:w="4741"/>
        <w:gridCol w:w="146"/>
        <w:gridCol w:w="211"/>
        <w:gridCol w:w="721"/>
        <w:gridCol w:w="266"/>
        <w:gridCol w:w="146"/>
        <w:gridCol w:w="211"/>
        <w:gridCol w:w="721"/>
        <w:gridCol w:w="411"/>
      </w:tblGrid>
      <w:tr>
        <w:trPr/>
        <w:tc>
          <w:tcPr>
            <w:tcW w:w="4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411" w:type="dxa"/>
            <w:tcBorders/>
            <w:shd w:fill="auto" w:val="cle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sales:</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CCS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822.8</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838.0</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OWN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258.4</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390.1</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NICS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284.5</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188.0</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ANS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298.7</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316.8</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Home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337.1</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Consolidated net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2,001.5</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2,228.6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adjusted EBITDA:</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CCS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147.7</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OWN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NICS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ANS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74.2</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Home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segment adjusted EBITDA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312.0</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253.3</w:t>
            </w:r>
          </w:p>
        </w:tc>
        <w:tc>
          <w:tcPr>
            <w:tcW w:w="411" w:type="dxa"/>
            <w:tcBorders/>
            <w:shd w:fill="auto" w:val="cle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intangible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(126.4</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(140.7</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(costs) credits,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Transaction, transformation and integration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accounting adjustments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Patent claims and litigation settlements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Reserve of Russian 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Consolidated operating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152.5</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CCS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OWN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NICS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ANS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26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Home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Consolidated depreciation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741"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 to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CCS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OWN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NICS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411" w:type="dxa"/>
            <w:tcBorders/>
            <w:shd w:fill="auto" w:val="clear"/>
            <w:vAlign w:val="center"/>
          </w:tcPr>
          <w:p>
            <w:pPr>
              <w:pStyle w:val="TableContents"/>
              <w:spacing w:before="0" w:after="0"/>
              <w:ind w:left="0" w:right="0" w:firstLine="200"/>
              <w:jc w:val="left"/>
              <w:rPr/>
            </w:pPr>
            <w:r>
              <w:rPr/>
              <w:t> </w:t>
            </w:r>
          </w:p>
        </w:tc>
      </w:tr>
      <w:tr>
        <w:trPr/>
        <w:tc>
          <w:tcPr>
            <w:tcW w:w="47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Home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Consolidated additions to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240" w:after="200"/>
        <w:jc w:val="left"/>
        <w:rPr>
          <w:rFonts w:ascii="Times New Roman" w:hAnsi="Times New Roman"/>
          <w:sz w:val="20"/>
        </w:rPr>
      </w:pPr>
      <w:r>
        <w:rPr>
          <w:rFonts w:ascii="Times New Roman;serif" w:hAnsi="Times New Roman;serif"/>
          <w:b w:val="false"/>
          <w:sz w:val="20"/>
        </w:rPr>
        <w:t>Sales to customers located outside of the U.S. comprised 34.1%</w:t>
      </w:r>
      <w:r>
        <w:rPr>
          <w:rFonts w:ascii="Times New Roman" w:hAnsi="Times New Roman"/>
          <w:sz w:val="20"/>
        </w:rPr>
        <w:t xml:space="preserve"> </w:t>
      </w:r>
      <w:r>
        <w:rPr>
          <w:rFonts w:ascii="Times New Roman;serif" w:hAnsi="Times New Roman;serif"/>
          <w:b w:val="false"/>
          <w:sz w:val="20"/>
        </w:rPr>
        <w:t>of total net sales for the three months ended March 31, 2023 compared to 39.6%</w:t>
      </w:r>
      <w:r>
        <w:rPr>
          <w:rFonts w:ascii="Times New Roman" w:hAnsi="Times New Roman"/>
          <w:sz w:val="20"/>
        </w:rPr>
        <w:t xml:space="preserve"> </w:t>
      </w:r>
      <w:r>
        <w:rPr>
          <w:rFonts w:ascii="Times New Roman;serif" w:hAnsi="Times New Roman;serif"/>
          <w:b w:val="false"/>
          <w:sz w:val="20"/>
        </w:rPr>
        <w:t>of total net sales for the three months ended March 31, 2022. Sales by geographic region, based on the destination of product shipments or service provided, were as follows:</w:t>
      </w:r>
    </w:p>
    <w:tbl>
      <w:tblPr>
        <w:tblW w:w="9310" w:type="dxa"/>
        <w:jc w:val="left"/>
        <w:tblInd w:w="0" w:type="dxa"/>
        <w:tblCellMar>
          <w:top w:w="28" w:type="dxa"/>
          <w:left w:w="28" w:type="dxa"/>
          <w:bottom w:w="28" w:type="dxa"/>
          <w:right w:w="28" w:type="dxa"/>
        </w:tblCellMar>
      </w:tblPr>
      <w:tblGrid>
        <w:gridCol w:w="2671"/>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721"/>
        <w:gridCol w:w="191"/>
      </w:tblGrid>
      <w:tr>
        <w:trPr/>
        <w:tc>
          <w:tcPr>
            <w:tcW w:w="2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2"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CCS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OWN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NICS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Geographic Region:</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1,318.0</w:t>
            </w:r>
          </w:p>
        </w:tc>
        <w:tc>
          <w:tcPr>
            <w:tcW w:w="191" w:type="dxa"/>
            <w:tcBorders/>
            <w:shd w:fill="auto" w:val="cle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Europe, Middle East and Africa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326.5</w:t>
            </w:r>
          </w:p>
        </w:tc>
        <w:tc>
          <w:tcPr>
            <w:tcW w:w="191" w:type="dxa"/>
            <w:tcBorders/>
            <w:shd w:fill="auto" w:val="cle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Asia Pacific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158.9</w:t>
            </w:r>
          </w:p>
        </w:tc>
        <w:tc>
          <w:tcPr>
            <w:tcW w:w="191" w:type="dxa"/>
            <w:tcBorders/>
            <w:shd w:fill="auto" w:val="cle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Caribbean and Latin America</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107.9</w:t>
            </w:r>
          </w:p>
        </w:tc>
        <w:tc>
          <w:tcPr>
            <w:tcW w:w="191" w:type="dxa"/>
            <w:tcBorders/>
            <w:shd w:fill="auto" w:val="cle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Canada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Consolidated net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2,001.5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2"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CCS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OWN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NICS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Geographic Region:</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1,347.1</w:t>
            </w:r>
          </w:p>
        </w:tc>
        <w:tc>
          <w:tcPr>
            <w:tcW w:w="191" w:type="dxa"/>
            <w:tcBorders/>
            <w:shd w:fill="auto" w:val="cle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Europe, Middle East and Africa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406.4</w:t>
            </w:r>
          </w:p>
        </w:tc>
        <w:tc>
          <w:tcPr>
            <w:tcW w:w="191" w:type="dxa"/>
            <w:tcBorders/>
            <w:shd w:fill="auto" w:val="cle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Asia Pacific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203.4</w:t>
            </w:r>
          </w:p>
        </w:tc>
        <w:tc>
          <w:tcPr>
            <w:tcW w:w="191" w:type="dxa"/>
            <w:tcBorders/>
            <w:shd w:fill="auto" w:val="cle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Caribbean and Latin America</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162.3</w:t>
            </w:r>
          </w:p>
        </w:tc>
        <w:tc>
          <w:tcPr>
            <w:tcW w:w="191" w:type="dxa"/>
            <w:tcBorders/>
            <w:shd w:fill="auto" w:val="cle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Canada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Consolidated net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2,228.6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8. RESTRUCTURING COSTS (CREDITS),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to the employee-related costs, the Company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pStyle w:val="TextBody"/>
        <w:spacing w:before="240" w:after="200"/>
        <w:jc w:val="left"/>
        <w:rPr>
          <w:rFonts w:ascii="Times New Roman;serif" w:hAnsi="Times New Roman;serif"/>
          <w:b w:val="false"/>
          <w:sz w:val="20"/>
        </w:rPr>
      </w:pPr>
      <w:r>
        <w:rPr>
          <w:rFonts w:ascii="Times New Roman;serif" w:hAnsi="Times New Roman;serif"/>
          <w:b w:val="false"/>
          <w:sz w:val="20"/>
        </w:rPr>
        <w:t>The Company’s net pretax restructuring activity included in restructuring costs (credits), net on the Condensed Consolidated Statements of Operations, by segment, was as follows:</w:t>
      </w:r>
    </w:p>
    <w:tbl>
      <w:tblPr>
        <w:tblW w:w="2664" w:type="dxa"/>
        <w:jc w:val="left"/>
        <w:tblInd w:w="0" w:type="dxa"/>
        <w:tblCellMar>
          <w:top w:w="28" w:type="dxa"/>
          <w:left w:w="28" w:type="dxa"/>
          <w:bottom w:w="28" w:type="dxa"/>
          <w:right w:w="28" w:type="dxa"/>
        </w:tblCellMar>
      </w:tblPr>
      <w:tblGrid>
        <w:gridCol w:w="601"/>
        <w:gridCol w:w="146"/>
        <w:gridCol w:w="211"/>
        <w:gridCol w:w="526"/>
        <w:gridCol w:w="166"/>
        <w:gridCol w:w="146"/>
        <w:gridCol w:w="211"/>
        <w:gridCol w:w="466"/>
        <w:gridCol w:w="191"/>
      </w:tblGrid>
      <w:tr>
        <w:trPr/>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91" w:type="dxa"/>
            <w:tcBorders/>
            <w:shd w:fill="auto" w:val="clear"/>
            <w:vAlign w:val="center"/>
          </w:tcPr>
          <w:p>
            <w:pPr>
              <w:pStyle w:val="TableContents"/>
              <w:spacing w:before="0" w:after="0"/>
              <w:ind w:left="0" w:right="0" w:hanging="0"/>
              <w:jc w:val="center"/>
              <w:rPr/>
            </w:pPr>
            <w:r>
              <w:rPr/>
              <w:t> </w:t>
            </w:r>
          </w:p>
        </w:tc>
      </w:tr>
      <w:tr>
        <w:trPr/>
        <w:tc>
          <w:tcPr>
            <w:tcW w:w="6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CCS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91" w:type="dxa"/>
            <w:tcBorders/>
            <w:shd w:fill="auto" w:val="clear"/>
            <w:vAlign w:val="center"/>
          </w:tcPr>
          <w:p>
            <w:pPr>
              <w:pStyle w:val="TableContents"/>
              <w:spacing w:before="0" w:after="0"/>
              <w:ind w:left="0" w:right="0" w:hanging="0"/>
              <w:jc w:val="left"/>
              <w:rPr/>
            </w:pPr>
            <w:r>
              <w:rPr/>
              <w:t> </w:t>
            </w:r>
          </w:p>
        </w:tc>
      </w:tr>
      <w:tr>
        <w:trPr/>
        <w:tc>
          <w:tcPr>
            <w:tcW w:w="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OWN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91" w:type="dxa"/>
            <w:tcBorders/>
            <w:shd w:fill="auto" w:val="clear"/>
            <w:vAlign w:val="center"/>
          </w:tcPr>
          <w:p>
            <w:pPr>
              <w:pStyle w:val="TableContents"/>
              <w:spacing w:before="0" w:after="0"/>
              <w:ind w:left="0" w:right="0" w:hanging="0"/>
              <w:jc w:val="left"/>
              <w:rPr/>
            </w:pPr>
            <w:r>
              <w:rPr/>
              <w:t> </w:t>
            </w:r>
          </w:p>
        </w:tc>
      </w:tr>
      <w:tr>
        <w:trPr/>
        <w:tc>
          <w:tcPr>
            <w:tcW w:w="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NICS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91" w:type="dxa"/>
            <w:tcBorders/>
            <w:shd w:fill="auto" w:val="clear"/>
            <w:vAlign w:val="center"/>
          </w:tcPr>
          <w:p>
            <w:pPr>
              <w:pStyle w:val="TableContents"/>
              <w:spacing w:before="0" w:after="0"/>
              <w:ind w:left="0" w:right="0" w:hanging="0"/>
              <w:jc w:val="left"/>
              <w:rPr/>
            </w:pPr>
            <w:r>
              <w:rPr/>
              <w:t> </w:t>
            </w:r>
          </w:p>
        </w:tc>
      </w:tr>
      <w:tr>
        <w:trPr/>
        <w:tc>
          <w:tcPr>
            <w:tcW w:w="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91" w:type="dxa"/>
            <w:tcBorders/>
            <w:shd w:fill="auto" w:val="clear"/>
            <w:vAlign w:val="center"/>
          </w:tcPr>
          <w:p>
            <w:pPr>
              <w:pStyle w:val="TableContents"/>
              <w:spacing w:before="0" w:after="0"/>
              <w:ind w:left="0" w:right="0" w:hanging="0"/>
              <w:jc w:val="left"/>
              <w:rPr/>
            </w:pPr>
            <w:r>
              <w:rPr/>
              <w:t> </w:t>
            </w:r>
          </w:p>
        </w:tc>
      </w:tr>
      <w:tr>
        <w:trPr/>
        <w:tc>
          <w:tcPr>
            <w:tcW w:w="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00"/>
        <w:jc w:val="left"/>
        <w:rPr>
          <w:rFonts w:ascii="Times New Roman;serif" w:hAnsi="Times New Roman;serif"/>
          <w:b w:val="false"/>
          <w:sz w:val="20"/>
        </w:rPr>
      </w:pPr>
      <w:r>
        <w:rPr>
          <w:rFonts w:ascii="Times New Roman;serif" w:hAnsi="Times New Roman;serif"/>
          <w:b w:val="false"/>
          <w:sz w:val="20"/>
        </w:rPr>
        <w:t>Restructuring liabilities were included in the Company’s Condensed Consolidated Balance Sheets as follows:</w:t>
      </w:r>
    </w:p>
    <w:tbl>
      <w:tblPr>
        <w:tblW w:w="5130" w:type="dxa"/>
        <w:jc w:val="left"/>
        <w:tblInd w:w="0" w:type="dxa"/>
        <w:tblCellMar>
          <w:top w:w="28" w:type="dxa"/>
          <w:left w:w="28" w:type="dxa"/>
          <w:bottom w:w="28" w:type="dxa"/>
          <w:right w:w="28" w:type="dxa"/>
        </w:tblCellMar>
      </w:tblPr>
      <w:tblGrid>
        <w:gridCol w:w="2461"/>
        <w:gridCol w:w="146"/>
        <w:gridCol w:w="280"/>
        <w:gridCol w:w="620"/>
        <w:gridCol w:w="146"/>
        <w:gridCol w:w="146"/>
        <w:gridCol w:w="355"/>
        <w:gridCol w:w="785"/>
        <w:gridCol w:w="191"/>
      </w:tblGrid>
      <w:tr>
        <w:trPr/>
        <w:tc>
          <w:tcPr>
            <w:tcW w:w="24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March 31, </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w:t>
            </w:r>
          </w:p>
        </w:tc>
        <w:tc>
          <w:tcPr>
            <w:tcW w:w="191" w:type="dxa"/>
            <w:tcBorders/>
            <w:shd w:fill="auto" w:val="clear"/>
            <w:vAlign w:val="center"/>
          </w:tcPr>
          <w:p>
            <w:pPr>
              <w:pStyle w:val="TableContents"/>
              <w:spacing w:before="0" w:after="0"/>
              <w:ind w:left="0" w:right="0" w:hanging="0"/>
              <w:jc w:val="left"/>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restructuring liabilities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CommScope NEXT Restructuring Actions</w:t>
      </w:r>
    </w:p>
    <w:p>
      <w:pPr>
        <w:pStyle w:val="TextBody"/>
        <w:spacing w:before="120" w:after="200"/>
        <w:jc w:val="left"/>
        <w:rPr>
          <w:rFonts w:ascii="Times New Roman;serif" w:hAnsi="Times New Roman;serif"/>
          <w:b w:val="false"/>
          <w:sz w:val="20"/>
        </w:rPr>
      </w:pPr>
      <w:r>
        <w:rPr>
          <w:rFonts w:ascii="Times New Roman;serif" w:hAnsi="Times New Roman;serif"/>
          <w:b w:val="false"/>
          <w:sz w:val="20"/>
        </w:rPr>
        <w:t>In the first quarter of 2021, the Company announced and began implementing a business transformation initiative called CommScope NEXT. This initiative is designed to drive shareholder value through three pillars: profitable growth, operational efficiency and portfolio optimization. The activity within the liability established for CommScope NEXT restructuring actions was as follows:</w:t>
      </w:r>
    </w:p>
    <w:tbl>
      <w:tblPr>
        <w:tblW w:w="7961" w:type="dxa"/>
        <w:jc w:val="left"/>
        <w:tblInd w:w="0" w:type="dxa"/>
        <w:tblCellMar>
          <w:top w:w="28" w:type="dxa"/>
          <w:left w:w="28" w:type="dxa"/>
          <w:bottom w:w="28" w:type="dxa"/>
          <w:right w:w="28" w:type="dxa"/>
        </w:tblCellMar>
      </w:tblPr>
      <w:tblGrid>
        <w:gridCol w:w="3646"/>
        <w:gridCol w:w="146"/>
        <w:gridCol w:w="532"/>
        <w:gridCol w:w="1328"/>
        <w:gridCol w:w="166"/>
        <w:gridCol w:w="146"/>
        <w:gridCol w:w="211"/>
        <w:gridCol w:w="526"/>
        <w:gridCol w:w="166"/>
        <w:gridCol w:w="146"/>
        <w:gridCol w:w="211"/>
        <w:gridCol w:w="526"/>
        <w:gridCol w:w="211"/>
      </w:tblGrid>
      <w:tr>
        <w:trPr/>
        <w:tc>
          <w:tcPr>
            <w:tcW w:w="3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6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8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Employee-Related Costs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w:t>
            </w:r>
          </w:p>
        </w:tc>
        <w:tc>
          <w:tcPr>
            <w:tcW w:w="211" w:type="dxa"/>
            <w:tcBorders/>
            <w:shd w:fill="auto" w:val="cle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expense (credits), net</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left"/>
              <w:rPr/>
            </w:pPr>
            <w:r>
              <w:rPr/>
              <w:t> </w:t>
            </w:r>
          </w:p>
        </w:tc>
        <w:tc>
          <w:tcPr>
            <w:tcW w:w="13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received (paid)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2" w:type="dxa"/>
            <w:tcBorders/>
            <w:shd w:fill="auto" w:val="clear"/>
            <w:vAlign w:val="center"/>
          </w:tcPr>
          <w:p>
            <w:pPr>
              <w:pStyle w:val="TableContents"/>
              <w:spacing w:before="0" w:after="0"/>
              <w:ind w:left="0" w:right="0" w:hanging="0"/>
              <w:jc w:val="left"/>
              <w:rPr/>
            </w:pPr>
            <w:r>
              <w:rPr/>
              <w:t> </w:t>
            </w:r>
          </w:p>
        </w:tc>
        <w:tc>
          <w:tcPr>
            <w:tcW w:w="13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211" w:type="dxa"/>
            <w:tcBorders/>
            <w:shd w:fill="auto" w:val="cle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exchange and other non-cash items</w:t>
            </w:r>
          </w:p>
        </w:tc>
        <w:tc>
          <w:tcPr>
            <w:tcW w:w="146" w:type="dxa"/>
            <w:tcBorders/>
            <w:shd w:fill="auto" w:val="clear"/>
            <w:vAlign w:val="center"/>
          </w:tcPr>
          <w:p>
            <w:pPr>
              <w:pStyle w:val="TableContents"/>
              <w:spacing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CommScope NEXT actions to date have included the closure of an international manufacturing facility, as well as headcount reductions in other manufacturing locations and engineering, marketing, sales and administrative functions. During the three months ended March 31, 2023, the Company completed the sale of an international manufacturing facility. The Company determined it had transferred control of the building to the buyer, and as a result, it has recorded net proceeds of $38.4</w:t>
      </w:r>
      <w:r>
        <w:rPr>
          <w:rFonts w:ascii="Times New Roman" w:hAnsi="Times New Roman"/>
          <w:sz w:val="20"/>
        </w:rPr>
        <w:t xml:space="preserve"> </w:t>
      </w:r>
      <w:r>
        <w:rPr>
          <w:rFonts w:ascii="Times New Roman;serif" w:hAnsi="Times New Roman;serif"/>
          <w:b w:val="false"/>
          <w:sz w:val="20"/>
        </w:rPr>
        <w:t>million, resulting in a gain on the sale of $20.2</w:t>
      </w:r>
      <w:r>
        <w:rPr>
          <w:rFonts w:ascii="Times New Roman" w:hAnsi="Times New Roman"/>
          <w:sz w:val="20"/>
        </w:rPr>
        <w:t xml:space="preserve"> </w:t>
      </w:r>
      <w:r>
        <w:rPr>
          <w:rFonts w:ascii="Times New Roman;serif" w:hAnsi="Times New Roman;serif"/>
          <w:b w:val="false"/>
          <w:sz w:val="20"/>
        </w:rPr>
        <w:t>million which is included in the other category in the table above and in restructuring costs (credits), net</w:t>
      </w:r>
      <w:r>
        <w:rPr>
          <w:rFonts w:ascii="Times New Roman" w:hAnsi="Times New Roman"/>
          <w:sz w:val="20"/>
        </w:rPr>
        <w:t xml:space="preserve"> </w:t>
      </w:r>
      <w:r>
        <w:rPr>
          <w:rFonts w:ascii="Times New Roman;serif" w:hAnsi="Times New Roman;serif"/>
          <w:b w:val="false"/>
          <w:sz w:val="20"/>
        </w:rPr>
        <w:t>on the Condensed Consolidated Statements of Operations. The Company simultaneously entered into a sale leaseback transaction where a minor portion of the building used to support research and development operations was then leased back for a term of nine years</w:t>
      </w:r>
      <w:r>
        <w:rPr>
          <w:rFonts w:ascii="Calibri;sans-serif" w:hAnsi="Calibri;sans-serif"/>
          <w:sz w:val="22"/>
        </w:rPr>
        <w:t xml:space="preserve"> </w:t>
      </w:r>
      <w:r>
        <w:rPr>
          <w:rFonts w:ascii="Times New Roman;serif" w:hAnsi="Times New Roman;serif"/>
          <w:b w:val="false"/>
          <w:sz w:val="20"/>
        </w:rPr>
        <w:t xml:space="preserve">with annual payments that range from </w:t>
      </w:r>
      <w:r>
        <w:rPr>
          <w:rFonts w:ascii="Calibri;sans-serif" w:hAnsi="Calibri;sans-serif"/>
          <w:sz w:val="22"/>
        </w:rPr>
        <w:t>€</w:t>
      </w:r>
      <w:r>
        <w:rPr>
          <w:rFonts w:ascii="Times New Roman;serif" w:hAnsi="Times New Roman;serif"/>
          <w:b w:val="false"/>
          <w:sz w:val="20"/>
        </w:rPr>
        <w:t>800</w:t>
      </w:r>
      <w:r>
        <w:rPr>
          <w:rFonts w:ascii="Calibri;sans-serif" w:hAnsi="Calibri;sans-serif"/>
          <w:sz w:val="22"/>
        </w:rPr>
        <w:t xml:space="preserve"> </w:t>
      </w:r>
      <w:r>
        <w:rPr>
          <w:rFonts w:ascii="Times New Roman;serif" w:hAnsi="Times New Roman;serif"/>
          <w:b w:val="false"/>
          <w:sz w:val="20"/>
        </w:rPr>
        <w:t xml:space="preserve">thousand to </w:t>
      </w:r>
      <w:r>
        <w:rPr>
          <w:rFonts w:ascii="Calibri;sans-serif" w:hAnsi="Calibri;sans-serif"/>
          <w:sz w:val="22"/>
        </w:rPr>
        <w:t>€</w:t>
      </w:r>
      <w:r>
        <w:rPr>
          <w:rFonts w:ascii="Times New Roman;serif" w:hAnsi="Times New Roman;serif"/>
          <w:b w:val="false"/>
          <w:sz w:val="20"/>
        </w:rPr>
        <w:t>1.5</w:t>
      </w:r>
      <w:r>
        <w:rPr>
          <w:rFonts w:ascii="Calibri;sans-serif" w:hAnsi="Calibri;sans-serif"/>
          <w:sz w:val="22"/>
        </w:rPr>
        <w:t xml:space="preserve"> </w:t>
      </w:r>
      <w:r>
        <w:rPr>
          <w:rFonts w:ascii="Times New Roman;serif" w:hAnsi="Times New Roman;serif"/>
          <w:b w:val="false"/>
          <w:sz w:val="20"/>
        </w:rPr>
        <w:t>million. The Company determined the lease to be an operating lease and recognized a right of use asset and operating lease liability of $7.5</w:t>
      </w:r>
      <w:r>
        <w:rPr>
          <w:rFonts w:ascii="Calibri;sans-serif" w:hAnsi="Calibri;sans-serif"/>
          <w:sz w:val="22"/>
        </w:rPr>
        <w:t xml:space="preserve"> </w:t>
      </w:r>
      <w:r>
        <w:rPr>
          <w:rFonts w:ascii="Times New Roman;serif" w:hAnsi="Times New Roman;serif"/>
          <w:b w:val="false"/>
          <w:sz w:val="20"/>
        </w:rPr>
        <w:t>million based on the present value of the minimum lease payments discounted using an incremental borrowing rate of 7.15%.</w:t>
      </w:r>
    </w:p>
    <w:p>
      <w:pPr>
        <w:pStyle w:val="TextBody"/>
        <w:spacing w:before="240" w:after="0"/>
        <w:jc w:val="left"/>
        <w:rPr>
          <w:rFonts w:ascii="Times New Roman" w:hAnsi="Times New Roman"/>
          <w:sz w:val="20"/>
        </w:rPr>
      </w:pPr>
      <w:r>
        <w:rPr>
          <w:rFonts w:ascii="Times New Roman;serif" w:hAnsi="Times New Roman;serif"/>
          <w:b w:val="false"/>
          <w:sz w:val="20"/>
        </w:rPr>
        <w:t>The Company has recognized restructuring charges of $146.3</w:t>
      </w:r>
      <w:r>
        <w:rPr>
          <w:rFonts w:ascii="Times New Roman" w:hAnsi="Times New Roman"/>
          <w:sz w:val="20"/>
        </w:rPr>
        <w:t xml:space="preserve"> </w:t>
      </w:r>
      <w:r>
        <w:rPr>
          <w:rFonts w:ascii="Times New Roman;serif" w:hAnsi="Times New Roman;serif"/>
          <w:b w:val="false"/>
          <w:sz w:val="20"/>
        </w:rPr>
        <w:t>million to date related to CommScope NEXT actions. The Company expects to make cash payments of $55.5</w:t>
      </w:r>
      <w:r>
        <w:rPr>
          <w:rFonts w:ascii="Times New Roman" w:hAnsi="Times New Roman"/>
          <w:sz w:val="20"/>
        </w:rPr>
        <w:t xml:space="preserve"> </w:t>
      </w:r>
      <w:r>
        <w:rPr>
          <w:rFonts w:ascii="Times New Roman;serif" w:hAnsi="Times New Roman;serif"/>
          <w:b w:val="false"/>
          <w:sz w:val="20"/>
        </w:rPr>
        <w:t>million during the remainder of 2023 and additional cash payments of $1.2</w:t>
      </w:r>
      <w:r>
        <w:rPr>
          <w:rFonts w:ascii="Times New Roman" w:hAnsi="Times New Roman"/>
          <w:sz w:val="20"/>
        </w:rPr>
        <w:t xml:space="preserve"> </w:t>
      </w:r>
      <w:r>
        <w:rPr>
          <w:rFonts w:ascii="Times New Roman;serif" w:hAnsi="Times New Roman;serif"/>
          <w:b w:val="false"/>
          <w:sz w:val="20"/>
        </w:rPr>
        <w:t>million in 2024 to settle CommScope NEXT restructuring actions. Additional restructuring actions related to CommScope NEXT are expected to be identified, and the resulting charges and cash requirements could be material.</w:t>
      </w:r>
    </w:p>
    <w:p>
      <w:pPr>
        <w:pStyle w:val="TextBody"/>
        <w:spacing w:before="360" w:after="0"/>
        <w:jc w:val="left"/>
        <w:rPr>
          <w:rFonts w:ascii="Times New Roman;serif" w:hAnsi="Times New Roman;serif"/>
          <w:b/>
          <w:sz w:val="20"/>
        </w:rPr>
      </w:pPr>
      <w:r>
        <w:rPr>
          <w:rFonts w:ascii="Times New Roman;serif" w:hAnsi="Times New Roman;serif"/>
          <w:b/>
          <w:sz w:val="20"/>
        </w:rPr>
        <w:t>9. SERIES A CONVERTIBLE PREFERRED STOCK</w:t>
      </w:r>
    </w:p>
    <w:p>
      <w:pPr>
        <w:pStyle w:val="TextBody"/>
        <w:spacing w:before="120" w:after="0"/>
        <w:jc w:val="left"/>
        <w:rPr>
          <w:rFonts w:ascii="Times New Roman" w:hAnsi="Times New Roman"/>
          <w:sz w:val="20"/>
        </w:rPr>
      </w:pPr>
      <w:r>
        <w:rPr>
          <w:rFonts w:ascii="Times New Roman;serif" w:hAnsi="Times New Roman;serif"/>
          <w:b w:val="false"/>
          <w:sz w:val="20"/>
        </w:rPr>
        <w:t>On April 4, 2019, the Company issued and sold 1,000,000</w:t>
      </w:r>
      <w:r>
        <w:rPr>
          <w:rFonts w:ascii="Times New Roman" w:hAnsi="Times New Roman"/>
          <w:sz w:val="20"/>
        </w:rPr>
        <w:t xml:space="preserve"> </w:t>
      </w:r>
      <w:r>
        <w:rPr>
          <w:rFonts w:ascii="Times New Roman;serif" w:hAnsi="Times New Roman;serif"/>
          <w:b w:val="false"/>
          <w:sz w:val="20"/>
        </w:rPr>
        <w:t>shares of the Convertible Preferred Stock to Carlyle for $1.0</w:t>
      </w:r>
      <w:r>
        <w:rPr>
          <w:rFonts w:ascii="Times New Roman" w:hAnsi="Times New Roman"/>
          <w:sz w:val="20"/>
        </w:rPr>
        <w:t xml:space="preserve"> </w:t>
      </w:r>
      <w:r>
        <w:rPr>
          <w:rFonts w:ascii="Times New Roman;serif" w:hAnsi="Times New Roman;serif"/>
          <w:b w:val="false"/>
          <w:sz w:val="20"/>
        </w:rPr>
        <w:t>billion, or $1,000</w:t>
      </w:r>
      <w:r>
        <w:rPr>
          <w:rFonts w:ascii="Times New Roman" w:hAnsi="Times New Roman"/>
          <w:sz w:val="20"/>
        </w:rPr>
        <w:t xml:space="preserve"> </w:t>
      </w:r>
      <w:r>
        <w:rPr>
          <w:rFonts w:ascii="Times New Roman;serif" w:hAnsi="Times New Roman;serif"/>
          <w:b w:val="false"/>
          <w:sz w:val="20"/>
        </w:rPr>
        <w:t>per share, pursuant to an Investment Agreement between the Company and Carlyle, dated November 8, 2018. The Convertible Preferred Stock is convertible, at the option of the holders, at any time into shares of CommScope common stock at an initial conversion rate of 36.3636</w:t>
      </w:r>
      <w:r>
        <w:rPr>
          <w:rFonts w:ascii="Times New Roman" w:hAnsi="Times New Roman"/>
          <w:sz w:val="20"/>
        </w:rPr>
        <w:t xml:space="preserve"> </w:t>
      </w:r>
      <w:r>
        <w:rPr>
          <w:rFonts w:ascii="Times New Roman;serif" w:hAnsi="Times New Roman;serif"/>
          <w:b w:val="false"/>
          <w:sz w:val="20"/>
        </w:rPr>
        <w:t>shares of common stock per share of the Convertible Preferred Stock (equivalent to $27.50</w:t>
      </w:r>
      <w:r>
        <w:rPr>
          <w:rFonts w:ascii="Times New Roman" w:hAnsi="Times New Roman"/>
          <w:sz w:val="20"/>
        </w:rPr>
        <w:t xml:space="preserve"> </w:t>
      </w:r>
      <w:r>
        <w:rPr>
          <w:rFonts w:ascii="Times New Roman;serif" w:hAnsi="Times New Roman;serif"/>
          <w:b w:val="false"/>
          <w:sz w:val="20"/>
        </w:rPr>
        <w:t>per common share). The conversion rate is subject to customary antidilution and other adjustments. As of March 31, 2023, the Company had authorized 1,200,000</w:t>
      </w:r>
      <w:r>
        <w:rPr>
          <w:rFonts w:ascii="Times New Roman" w:hAnsi="Times New Roman"/>
          <w:sz w:val="20"/>
        </w:rPr>
        <w:t xml:space="preserve"> </w:t>
      </w:r>
      <w:r>
        <w:rPr>
          <w:rFonts w:ascii="Times New Roman;serif" w:hAnsi="Times New Roman;serif"/>
          <w:b w:val="false"/>
          <w:sz w:val="20"/>
        </w:rPr>
        <w:t>shares of the Convertible Preferred Stock.</w:t>
      </w:r>
    </w:p>
    <w:p>
      <w:pPr>
        <w:pStyle w:val="TextBody"/>
        <w:spacing w:before="240" w:after="0"/>
        <w:jc w:val="left"/>
        <w:rPr>
          <w:rFonts w:ascii="Times New Roman" w:hAnsi="Times New Roman"/>
          <w:sz w:val="20"/>
        </w:rPr>
      </w:pPr>
      <w:r>
        <w:rPr>
          <w:rFonts w:ascii="Times New Roman;serif" w:hAnsi="Times New Roman;serif"/>
          <w:b w:val="false"/>
          <w:sz w:val="20"/>
        </w:rPr>
        <w:t>Holders of the Convertible Preferred Stock are entitled to a cumulative dividend at the rate of 5.5% per year, payable quarterly in arrears. Dividends can be paid in cash, in-kind through the issuance of additional shares of the Convertible Preferred Stock or any combination of the two, at the Company’s option. The Company paid dividends in-kind of $15.1</w:t>
      </w:r>
      <w:r>
        <w:rPr>
          <w:rFonts w:ascii="Times New Roman" w:hAnsi="Times New Roman"/>
          <w:sz w:val="20"/>
        </w:rPr>
        <w:t xml:space="preserve"> </w:t>
      </w:r>
      <w:r>
        <w:rPr>
          <w:rFonts w:ascii="Times New Roman;serif" w:hAnsi="Times New Roman;serif"/>
          <w:b w:val="false"/>
          <w:sz w:val="20"/>
        </w:rPr>
        <w:t>million and $14.5</w:t>
      </w:r>
      <w:r>
        <w:rPr>
          <w:rFonts w:ascii="Times New Roman" w:hAnsi="Times New Roman"/>
          <w:sz w:val="20"/>
        </w:rPr>
        <w:t xml:space="preserve"> </w:t>
      </w:r>
      <w:r>
        <w:rPr>
          <w:rFonts w:ascii="Times New Roman;serif" w:hAnsi="Times New Roman;serif"/>
          <w:b w:val="false"/>
          <w:sz w:val="20"/>
        </w:rPr>
        <w:t>million during the three months ended March 31, 2023 and 2022, respectively, which was recorded as additional Convertible Preferred Stock in the Condensed Consolidated Balance Sheets.</w:t>
      </w:r>
    </w:p>
    <w:p>
      <w:pPr>
        <w:pStyle w:val="TextBody"/>
        <w:spacing w:before="360" w:after="0"/>
        <w:jc w:val="left"/>
        <w:rPr>
          <w:rFonts w:ascii="Times New Roman;serif" w:hAnsi="Times New Roman;serif"/>
          <w:b/>
          <w:sz w:val="20"/>
        </w:rPr>
      </w:pPr>
      <w:r>
        <w:rPr>
          <w:rFonts w:ascii="Times New Roman;serif" w:hAnsi="Times New Roman;serif"/>
          <w:b/>
          <w:sz w:val="20"/>
        </w:rPr>
        <w:t>10. STOCKHOLDERS’ EQUITY</w:t>
      </w:r>
    </w:p>
    <w:p>
      <w:pPr>
        <w:pStyle w:val="TextBody"/>
        <w:spacing w:before="120" w:after="0"/>
        <w:jc w:val="left"/>
        <w:rPr>
          <w:rFonts w:ascii="Times New Roman;serif" w:hAnsi="Times New Roman;serif"/>
          <w:b/>
          <w:sz w:val="20"/>
        </w:rPr>
      </w:pPr>
      <w:r>
        <w:rPr>
          <w:rFonts w:ascii="Times New Roman;serif" w:hAnsi="Times New Roman;serif"/>
          <w:b/>
          <w:sz w:val="20"/>
        </w:rPr>
        <w:t>Equity-Based Compensation Plans</w:t>
      </w:r>
    </w:p>
    <w:p>
      <w:pPr>
        <w:pStyle w:val="TextBody"/>
        <w:spacing w:before="120" w:after="0"/>
        <w:jc w:val="left"/>
        <w:rPr>
          <w:rFonts w:ascii="Times New Roman" w:hAnsi="Times New Roman"/>
          <w:sz w:val="20"/>
        </w:rPr>
      </w:pPr>
      <w:r>
        <w:rPr>
          <w:rFonts w:ascii="Times New Roman;serif" w:hAnsi="Times New Roman;serif"/>
          <w:b w:val="false"/>
          <w:sz w:val="20"/>
        </w:rPr>
        <w:t>As of March 31, 2023, $91.1</w:t>
      </w:r>
      <w:r>
        <w:rPr>
          <w:rFonts w:ascii="Times New Roman" w:hAnsi="Times New Roman"/>
          <w:sz w:val="20"/>
        </w:rPr>
        <w:t xml:space="preserve"> </w:t>
      </w:r>
      <w:r>
        <w:rPr>
          <w:rFonts w:ascii="Times New Roman;serif" w:hAnsi="Times New Roman;serif"/>
          <w:b w:val="false"/>
          <w:sz w:val="20"/>
        </w:rPr>
        <w:t>million of total unrecognized compensation expense related to unvested stock options, restricted stock units (RSUs) and performance share units (PSUs) is expected to be recognized over a remaining weighted average period of 2.1 years. There were no</w:t>
      </w:r>
      <w:r>
        <w:rPr>
          <w:rFonts w:ascii="Times New Roman" w:hAnsi="Times New Roman"/>
          <w:sz w:val="20"/>
        </w:rPr>
        <w:t xml:space="preserve"> </w:t>
      </w:r>
      <w:r>
        <w:rPr>
          <w:rFonts w:ascii="Times New Roman;serif" w:hAnsi="Times New Roman;serif"/>
          <w:b w:val="false"/>
          <w:sz w:val="20"/>
        </w:rPr>
        <w:t>significant capitalized equity-based compensation costs at March 31,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240" w:after="200"/>
        <w:jc w:val="left"/>
        <w:rPr>
          <w:rFonts w:ascii="Times New Roman;serif" w:hAnsi="Times New Roman;serif"/>
          <w:b w:val="false"/>
          <w:sz w:val="20"/>
        </w:rPr>
      </w:pPr>
      <w:r>
        <w:rPr>
          <w:rFonts w:ascii="Times New Roman;serif" w:hAnsi="Times New Roman;serif"/>
          <w:b w:val="false"/>
          <w:sz w:val="20"/>
        </w:rPr>
        <w:t>The following table shows a summary of the equity-based compensation expense included in the Condensed Consolidated Statements of Operations:</w:t>
      </w:r>
    </w:p>
    <w:tbl>
      <w:tblPr>
        <w:tblW w:w="5724" w:type="dxa"/>
        <w:jc w:val="left"/>
        <w:tblInd w:w="0" w:type="dxa"/>
        <w:tblCellMar>
          <w:top w:w="28" w:type="dxa"/>
          <w:left w:w="28" w:type="dxa"/>
          <w:bottom w:w="28" w:type="dxa"/>
          <w:right w:w="28" w:type="dxa"/>
        </w:tblCellMar>
      </w:tblPr>
      <w:tblGrid>
        <w:gridCol w:w="3541"/>
        <w:gridCol w:w="146"/>
        <w:gridCol w:w="211"/>
        <w:gridCol w:w="466"/>
        <w:gridCol w:w="146"/>
        <w:gridCol w:w="146"/>
        <w:gridCol w:w="211"/>
        <w:gridCol w:w="466"/>
        <w:gridCol w:w="391"/>
      </w:tblGrid>
      <w:tr>
        <w:trPr/>
        <w:tc>
          <w:tcPr>
            <w:tcW w:w="3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5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35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391" w:type="dxa"/>
            <w:tcBorders/>
            <w:shd w:fill="auto" w:val="cle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391" w:type="dxa"/>
            <w:tcBorders/>
            <w:shd w:fill="auto" w:val="cle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5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equity-based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0"/>
        <w:jc w:val="left"/>
        <w:rPr>
          <w:rFonts w:ascii="Times New Roman" w:hAnsi="Times New Roman"/>
          <w:sz w:val="20"/>
        </w:rPr>
      </w:pPr>
      <w:r>
        <w:rPr>
          <w:rFonts w:ascii="Times New Roman;serif" w:hAnsi="Times New Roman;serif"/>
          <w:b/>
          <w:sz w:val="20"/>
        </w:rPr>
        <w:t>Restricted Stock Units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RSUs entitle the holder to shares of common stock after a vesting period of generally three years. The fair value of the awards is determined on the grant date based on the Company’s stock price.</w:t>
      </w:r>
    </w:p>
    <w:p>
      <w:pPr>
        <w:pStyle w:val="TextBody"/>
        <w:spacing w:before="240" w:after="200"/>
        <w:jc w:val="left"/>
        <w:rPr>
          <w:rFonts w:ascii="Times New Roman;serif" w:hAnsi="Times New Roman;serif"/>
          <w:b w:val="false"/>
          <w:sz w:val="20"/>
        </w:rPr>
      </w:pPr>
      <w:r>
        <w:rPr>
          <w:rFonts w:ascii="Times New Roman;serif" w:hAnsi="Times New Roman;serif"/>
          <w:b w:val="false"/>
          <w:sz w:val="20"/>
        </w:rPr>
        <w:t>The following table summarizes the RSU activity (in millions, except per share data):</w:t>
      </w:r>
    </w:p>
    <w:tbl>
      <w:tblPr>
        <w:tblW w:w="6590" w:type="dxa"/>
        <w:jc w:val="left"/>
        <w:tblInd w:w="0" w:type="dxa"/>
        <w:tblCellMar>
          <w:top w:w="28" w:type="dxa"/>
          <w:left w:w="28" w:type="dxa"/>
          <w:bottom w:w="28" w:type="dxa"/>
          <w:right w:w="28" w:type="dxa"/>
        </w:tblCellMar>
      </w:tblPr>
      <w:tblGrid>
        <w:gridCol w:w="3781"/>
        <w:gridCol w:w="146"/>
        <w:gridCol w:w="210"/>
        <w:gridCol w:w="675"/>
        <w:gridCol w:w="166"/>
        <w:gridCol w:w="146"/>
        <w:gridCol w:w="343"/>
        <w:gridCol w:w="932"/>
        <w:gridCol w:w="191"/>
      </w:tblGrid>
      <w:tr>
        <w:trPr/>
        <w:tc>
          <w:tcPr>
            <w:tcW w:w="3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Restricted </w:t>
              <w:br/>
              <w:t>Stock</w:t>
              <w:br/>
              <w:t>Units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 Grant</w:t>
              <w:br/>
              <w:t>Date Fair Value</w:t>
              <w:br/>
              <w:t>Per Share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share units at December 31, 2022</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10.66</w:t>
            </w:r>
          </w:p>
        </w:tc>
        <w:tc>
          <w:tcPr>
            <w:tcW w:w="19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19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shares issued</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10.36</w:t>
            </w:r>
          </w:p>
        </w:tc>
        <w:tc>
          <w:tcPr>
            <w:tcW w:w="19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10.50</w:t>
            </w:r>
          </w:p>
        </w:tc>
        <w:tc>
          <w:tcPr>
            <w:tcW w:w="19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share units at March 31, 2023</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10.38</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360" w:after="0"/>
        <w:jc w:val="left"/>
        <w:rPr>
          <w:rFonts w:ascii="Times New Roman;serif" w:hAnsi="Times New Roman;serif"/>
          <w:b/>
          <w:sz w:val="20"/>
        </w:rPr>
      </w:pPr>
      <w:r>
        <w:rPr>
          <w:rFonts w:ascii="Times New Roman;serif" w:hAnsi="Times New Roman;serif"/>
          <w:b/>
          <w:sz w:val="20"/>
        </w:rPr>
        <w:t>Performance Share Units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PSUs are stock awards in which the number of shares ultimately received by the employee depends on achievement towards a performance measure. Certain of CommScope’s PSUs have an internal performance measure, and the awards vest at the end of three years. The number of shares issued under these awards can vary between 0% and 300% of the number of PSUs granted. The fair value of these awards is determined on the date of grant based on the Company's stock price.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CommScope also has PSUs with a market condition performance measure based on stock price milestones over a three-year period. The number of shares issued under these awards can vary between 0% to 100% of the number of PSUs granted. In addition, the Company has PSUs with a market condition based on the Company's total stockholder return (TSR) ranking relative to the S&amp;P 500 TSR for a three-year period. The number of shares issued under these awards can vary between 0% to 200% of the number of PSUs granted. The Company uses a Monte Carlo simulation model to estimate the fair value of PSUs with a market condition performance measure at the date of grant. Key assumptions used in the model include the risk-free interest rate, which reflects the yield on zero-coupon U.S. treasury securities, and stock price volatility, which is derived based on the historical volatility of the Company's stock.</w:t>
      </w:r>
    </w:p>
    <w:p>
      <w:pPr>
        <w:pStyle w:val="TextBody"/>
        <w:spacing w:before="240" w:after="200"/>
        <w:jc w:val="left"/>
        <w:rPr>
          <w:rFonts w:ascii="Times New Roman;serif" w:hAnsi="Times New Roman;serif"/>
          <w:b w:val="false"/>
          <w:sz w:val="20"/>
        </w:rPr>
      </w:pPr>
      <w:r>
        <w:rPr>
          <w:rFonts w:ascii="Times New Roman;serif" w:hAnsi="Times New Roman;serif"/>
          <w:b w:val="false"/>
          <w:sz w:val="20"/>
        </w:rPr>
        <w:t>The following table presents the weighted average assumptions used to estimate the fair value of the awards granted:</w:t>
      </w:r>
    </w:p>
    <w:tbl>
      <w:tblPr>
        <w:tblW w:w="6311" w:type="dxa"/>
        <w:jc w:val="left"/>
        <w:tblInd w:w="0" w:type="dxa"/>
        <w:tblCellMar>
          <w:top w:w="28" w:type="dxa"/>
          <w:left w:w="28" w:type="dxa"/>
          <w:bottom w:w="28" w:type="dxa"/>
          <w:right w:w="28" w:type="dxa"/>
        </w:tblCellMar>
      </w:tblPr>
      <w:tblGrid>
        <w:gridCol w:w="3451"/>
        <w:gridCol w:w="146"/>
        <w:gridCol w:w="270"/>
        <w:gridCol w:w="596"/>
        <w:gridCol w:w="346"/>
        <w:gridCol w:w="186"/>
        <w:gridCol w:w="270"/>
        <w:gridCol w:w="730"/>
        <w:gridCol w:w="316"/>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10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fair value at grant date</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9.67</w:t>
            </w:r>
          </w:p>
        </w:tc>
        <w:tc>
          <w:tcPr>
            <w:tcW w:w="3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11.47</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TextBody"/>
        <w:spacing w:before="24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CommScope Holding Company, Inc.</w:t>
      </w:r>
    </w:p>
    <w:p>
      <w:pPr>
        <w:pStyle w:val="TextBody"/>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(In millions, unless otherwise noted)</w:t>
      </w:r>
    </w:p>
    <w:p>
      <w:pPr>
        <w:pStyle w:val="TextBody"/>
        <w:spacing w:before="0" w:after="0"/>
        <w:jc w:val="center"/>
        <w:rPr/>
      </w:pPr>
      <w:r>
        <w:rPr/>
        <w:t> </w:t>
      </w:r>
    </w:p>
    <w:p>
      <w:pPr>
        <w:pStyle w:val="TextBody"/>
        <w:spacing w:before="240" w:after="200"/>
        <w:jc w:val="left"/>
        <w:rPr>
          <w:rFonts w:ascii="Times New Roman;serif" w:hAnsi="Times New Roman;serif"/>
          <w:b w:val="false"/>
          <w:sz w:val="20"/>
        </w:rPr>
      </w:pPr>
      <w:r>
        <w:rPr>
          <w:rFonts w:ascii="Times New Roman;serif" w:hAnsi="Times New Roman;serif"/>
          <w:b w:val="false"/>
          <w:sz w:val="20"/>
        </w:rPr>
        <w:t>The following table summarizes the PSU activity (in millions, except per share data):</w:t>
      </w:r>
    </w:p>
    <w:tbl>
      <w:tblPr>
        <w:tblW w:w="6756" w:type="dxa"/>
        <w:jc w:val="left"/>
        <w:tblInd w:w="0" w:type="dxa"/>
        <w:tblCellMar>
          <w:top w:w="28" w:type="dxa"/>
          <w:left w:w="28" w:type="dxa"/>
          <w:bottom w:w="28" w:type="dxa"/>
          <w:right w:w="28" w:type="dxa"/>
        </w:tblCellMar>
      </w:tblPr>
      <w:tblGrid>
        <w:gridCol w:w="3781"/>
        <w:gridCol w:w="146"/>
        <w:gridCol w:w="270"/>
        <w:gridCol w:w="781"/>
        <w:gridCol w:w="166"/>
        <w:gridCol w:w="146"/>
        <w:gridCol w:w="397"/>
        <w:gridCol w:w="878"/>
        <w:gridCol w:w="191"/>
      </w:tblGrid>
      <w:tr>
        <w:trPr/>
        <w:tc>
          <w:tcPr>
            <w:tcW w:w="3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Performance</w:t>
              <w:br/>
              <w:t>Share Units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 Grant</w:t>
              <w:br/>
              <w:t>Date Fair Value</w:t>
              <w:br/>
              <w:t>Per Share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share units at December 31, 2022</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w:t>
            </w:r>
          </w:p>
        </w:tc>
        <w:tc>
          <w:tcPr>
            <w:tcW w:w="19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w:t>
            </w:r>
          </w:p>
        </w:tc>
        <w:tc>
          <w:tcPr>
            <w:tcW w:w="19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shares issued</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9.51</w:t>
            </w:r>
          </w:p>
        </w:tc>
        <w:tc>
          <w:tcPr>
            <w:tcW w:w="19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share units at March 31, 2023</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8.11</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12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narrative is an analysis of the three months ended March 31, 2023 compared to the three months ended March 31, 2022. The discussion is provided to increase the understanding of, and should be read in conjunction with, the unaudited condensed consolidated financial statements and accompanying notes included in this report as well as the audited consolidated financial statements, related notes thereto and management’s discussion and analysis of financial condition and results of operations, including management’s discussion and analysis regarding the application of critical accounting policies and the risk factors in our Annual Report on Form 10-K for the year ended December 31, 2022 (2022 Annual Report).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discuss certain financial measures in management’s discussion and analysis of financial condition and results of operations, including adjusted EBITDA, that differ from measures calculated in accordance with generally accepted accounting principles (GAAP) in the United States (U.S.). See "Reconciliation of Non-GAAP Measures" included below for more information about these non-GAAP financial measures, including our reasons for including the measures and material limitations with respect to the usefulness of the measures.</w:t>
      </w:r>
    </w:p>
    <w:p>
      <w:pPr>
        <w:pStyle w:val="TextBody"/>
        <w:spacing w:before="360" w:after="0"/>
        <w:jc w:val="left"/>
        <w:rPr>
          <w:rFonts w:ascii="Times New Roman;serif" w:hAnsi="Times New Roman;serif"/>
          <w:b/>
          <w:sz w:val="20"/>
        </w:rPr>
      </w:pPr>
      <w:r>
        <w:rPr>
          <w:rFonts w:ascii="Times New Roman;serif" w:hAnsi="Times New Roman;serif"/>
          <w:b/>
          <w:sz w:val="20"/>
        </w:rPr>
        <w:t>Overview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global provider of infrastructure solutions for communication, data center and entertainment networks. Our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CommScope NEXT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Since 2021, we have been engaged in a transformation initiative referred to as CommScope NEXT, which is designed to drive shareholder value through three pillars: profitable growth, operational efficiency and portfolio optimization. We believe these efforts are critical to making us more competitive and allowing us to invest in growth, de-lever and maximize stockholder and other stakeholder value in the future. In 2022, we saw positive impacts from CommScope NEXT on net sales, profitability and cash flow from executing on our pricing initiatives, expanding capacity and driving operational efficiencies, and we expect certain of these trends to continue in 2023. We incurred restructuring costs and transaction, transformation and integration costs related to CommScope NEXT during the three months ended March 31, 2023 and 2022. We expect to continue to incur such costs during the remainder of 2023 as we continue executing on CommScope NEXT initiatives and the resulting charges and cash requirements could be material.</w:t>
      </w:r>
    </w:p>
    <w:p>
      <w:pPr>
        <w:pStyle w:val="TextBody"/>
        <w:spacing w:before="240" w:after="0"/>
        <w:jc w:val="left"/>
        <w:rPr>
          <w:rFonts w:ascii="Times New Roman" w:hAnsi="Times New Roman"/>
          <w:sz w:val="20"/>
        </w:rPr>
      </w:pPr>
      <w:r>
        <w:rPr>
          <w:rFonts w:ascii="Times New Roman;serif" w:hAnsi="Times New Roman;serif"/>
          <w:b w:val="false"/>
          <w:sz w:val="20"/>
        </w:rPr>
        <w:t>As a step in our CommScope NEXT transformation plan, in 2021, we announced a plan to separate the Home Networks (Home) segment. Due to the impact of the uncertain supply chain environment, capital spending pattern of customers and other macroeconomic factors related to the Home segment, we have delayed our separation plan but we continue to analyze the financial results of our “Core” business separately from Home. As such, below we refer to certain supplementary Core financial measures, which reflect the results of our Connectivity and Cable Solutions (CCS), Outdoor Wireless Networks (OWN), Networking, Intelligent Cellular and Security Solutions (NICS) and Access Network Solutions (ANS) segments in the aggregate. See the Segment Results section below for the aggregation of our Core financial measures.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Impacts of Current Economic Conditions</w:t>
      </w:r>
    </w:p>
    <w:p>
      <w:pPr>
        <w:pStyle w:val="TextBody"/>
        <w:spacing w:before="120" w:after="0"/>
        <w:jc w:val="left"/>
        <w:rPr>
          <w:rFonts w:ascii="Times New Roman" w:hAnsi="Times New Roman"/>
          <w:sz w:val="20"/>
        </w:rPr>
      </w:pPr>
      <w:r>
        <w:rPr>
          <w:rFonts w:ascii="Times New Roman;serif" w:hAnsi="Times New Roman;serif"/>
          <w:b w:val="false"/>
          <w:sz w:val="20"/>
        </w:rPr>
        <w:t>Macroeconomic factors such as higher interest rates, inflation and concerns about a global economic slow-down have softened demand for our products, with certain customers reducing purchases as they right-size their inventories and others pausing capital spending. This has negatively impacted our net sales for the first quarter of 2023 and may continue to negatively impact net sales further into 2023. While supply chain constraints are loosening in some segments, we continue to experience shortages of memory devices, capacitors and silicon chips, which has decreased net sales and increased costs and inventory balances for certain of our segments. These shortages could continue throughout 2023. Conversely, we have seen favorable pricing impacts and declining freight costs that have offset the impact of lower demand and supply chain constraints. We have also proactively implemented cost savings initiatives that have favorably impacted our profitability in the first quarter of 2023.</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2022, our ANS reporting unit failed the annual goodwill impairment test and a partial impairment of $1,119.6 million was recorded as of October 1, 2022. Also, the amount by which our Building and Data Center Connectivity (BDCC) reporting unit's fair value exceeded its carrying value was lower year over year. The BDCC reporting unit is in our CCS reportable segment. Although we did not identify any indicators of impairment during the three months ended March 31, 2023, considering the low headroom coming out of 2022 for the ANS and BDCC reporting units, there is a risk for future impairment in the event of declines in general economic, market or business conditions or any significant unfavorable change in the forecasted cash flows, weighted average cost of capital or growth rates. If current and long-term projections for our ANS and BDCC reporting units are not realized or decrease materially, we may be required to recognize additional goodwill impairment charges and these charges could be material to our results of operations.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fourth quarter of 2022, our Home Networks reporting unit had an indicator of impairment as its carrying amount exceeded its estimated fair value, and as such, we performed a definite-lived asset recoverability test. We did not identify any impairments of definite-lived intangible assets as a result of this test in 2022, and we do not have any indicators of impairment during the three months ended March 31, 2023. However, changes in the estimates of forecasted net cash flows or changes in classification from held for use may result in future asset impairments that could be material to our results of operations.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more discussion on risks related to our customers, our supply chain and future impairments, see Part I, Item 1A, “Risk Factors” in our 2022 Annual Report.</w:t>
      </w:r>
    </w:p>
    <w:p>
      <w:pPr>
        <w:pStyle w:val="TextBody"/>
        <w:spacing w:before="360" w:after="0"/>
        <w:jc w:val="left"/>
        <w:rPr>
          <w:rFonts w:ascii="Times New Roman;serif" w:hAnsi="Times New Roman;serif"/>
          <w:b/>
          <w:sz w:val="20"/>
        </w:rPr>
      </w:pPr>
      <w:r>
        <w:rPr>
          <w:rFonts w:ascii="Times New Roman;serif" w:hAnsi="Times New Roman;serif"/>
          <w:b/>
          <w:sz w:val="20"/>
        </w:rPr>
        <w:t>CRITICAL ACCOUNTING POLICIES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have been no changes in our critical accounting policies as disclosed in our 2022 Annual Report.</w:t>
      </w:r>
    </w:p>
    <w:p>
      <w:pPr>
        <w:pStyle w:val="TextBody"/>
        <w:spacing w:before="360" w:after="0"/>
        <w:jc w:val="left"/>
        <w:rPr>
          <w:rFonts w:ascii="Times New Roman;serif" w:hAnsi="Times New Roman;serif"/>
          <w:b/>
          <w:sz w:val="20"/>
        </w:rPr>
      </w:pPr>
      <w:r>
        <w:rPr>
          <w:rFonts w:ascii="Times New Roman;serif" w:hAnsi="Times New Roman;serif"/>
          <w:b/>
          <w:sz w:val="20"/>
        </w:rPr>
        <w:t>COMPARISON OF RESULTS OF OPERATIONS FOR THE THREE MONTHS ENDED MARCH 31, 2023 WITH THE THREE MONTHS ENDED MARCH 31, 2022</w:t>
      </w:r>
    </w:p>
    <w:tbl>
      <w:tblPr>
        <w:tblW w:w="10066" w:type="dxa"/>
        <w:jc w:val="left"/>
        <w:tblInd w:w="0" w:type="dxa"/>
        <w:tblCellMar>
          <w:top w:w="28" w:type="dxa"/>
          <w:left w:w="28" w:type="dxa"/>
          <w:bottom w:w="28" w:type="dxa"/>
          <w:right w:w="28" w:type="dxa"/>
        </w:tblCellMar>
      </w:tblPr>
      <w:tblGrid>
        <w:gridCol w:w="2731"/>
        <w:gridCol w:w="146"/>
        <w:gridCol w:w="211"/>
        <w:gridCol w:w="721"/>
        <w:gridCol w:w="166"/>
        <w:gridCol w:w="146"/>
        <w:gridCol w:w="165"/>
        <w:gridCol w:w="645"/>
        <w:gridCol w:w="271"/>
        <w:gridCol w:w="146"/>
        <w:gridCol w:w="211"/>
        <w:gridCol w:w="721"/>
        <w:gridCol w:w="166"/>
        <w:gridCol w:w="146"/>
        <w:gridCol w:w="165"/>
        <w:gridCol w:w="645"/>
        <w:gridCol w:w="271"/>
        <w:gridCol w:w="146"/>
        <w:gridCol w:w="211"/>
        <w:gridCol w:w="631"/>
        <w:gridCol w:w="166"/>
        <w:gridCol w:w="146"/>
        <w:gridCol w:w="146"/>
        <w:gridCol w:w="571"/>
        <w:gridCol w:w="376"/>
      </w:tblGrid>
      <w:tr>
        <w:trPr/>
        <w:tc>
          <w:tcPr>
            <w:tcW w:w="2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2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25"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25"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71" w:type="dxa"/>
            <w:gridSpan w:val="6"/>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 of Net </w:t>
              <w:br/>
              <w:t>Sales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 of Net </w:t>
              <w:br/>
              <w:t>Sales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 </w:t>
              <w:br/>
              <w:t>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813" w:type="dxa"/>
            <w:gridSpan w:val="2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millions, except per share amounts)</w:t>
            </w:r>
          </w:p>
        </w:tc>
        <w:tc>
          <w:tcPr>
            <w:tcW w:w="376" w:type="dxa"/>
            <w:tcBorders/>
            <w:shd w:fill="auto" w:val="cle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sales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3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Core net sales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376"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469.0</w:t>
            </w:r>
          </w:p>
        </w:tc>
        <w:tc>
          <w:tcPr>
            <w:tcW w:w="376"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Core operating income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358.6</w:t>
            </w:r>
          </w:p>
        </w:tc>
        <w:tc>
          <w:tcPr>
            <w:tcW w:w="376"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Non-GAAP adjusted EBITDA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376"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Core adjusted EBITDA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376"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376" w:type="dxa"/>
            <w:tcBorders/>
            <w:shd w:fill="auto" w:val="clear"/>
            <w:vAlign w:val="center"/>
          </w:tcPr>
          <w:p>
            <w:pPr>
              <w:pStyle w:val="TableContents"/>
              <w:spacing w:before="0" w:after="0"/>
              <w:ind w:left="0" w:right="0" w:hanging="0"/>
              <w:jc w:val="righ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loss per share</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810"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810"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(92.5</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0"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0"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NM – Not meaningful</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0"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0"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bl>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Core financial measures reflect the results of our CCS, OWN, NICS and ANS segments, in the aggregate, and exclude the results of our Home segment. See the Segment Results section below for illustration of the aggregation of our Core financial measures.</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rFonts w:ascii="Times New Roman;serif" w:hAnsi="Times New Roman;serif"/>
          <w:b w:val="false"/>
          <w:sz w:val="20"/>
        </w:rPr>
      </w:pPr>
      <w:r>
        <w:rPr>
          <w:rFonts w:ascii="Times New Roman;serif" w:hAnsi="Times New Roman;serif"/>
          <w:b w:val="false"/>
          <w:sz w:val="20"/>
        </w:rPr>
        <w:t>See “Reconciliation of Non-GAAP Measures” in this Management's Discussion and Analysis of Financial Condition and Results of Operations, below.</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200"/>
        <w:jc w:val="left"/>
        <w:rPr>
          <w:rFonts w:ascii="Times New Roman;serif" w:hAnsi="Times New Roman;serif"/>
          <w:b/>
          <w:sz w:val="20"/>
        </w:rPr>
      </w:pPr>
      <w:r>
        <w:rPr>
          <w:rFonts w:ascii="Times New Roman;serif" w:hAnsi="Times New Roman;serif"/>
          <w:b/>
          <w:sz w:val="20"/>
        </w:rPr>
        <w:t>Net sales</w:t>
      </w:r>
    </w:p>
    <w:tbl>
      <w:tblPr>
        <w:tblW w:w="6567" w:type="dxa"/>
        <w:jc w:val="left"/>
        <w:tblInd w:w="0" w:type="dxa"/>
        <w:tblCellMar>
          <w:top w:w="28" w:type="dxa"/>
          <w:left w:w="28" w:type="dxa"/>
          <w:bottom w:w="28" w:type="dxa"/>
          <w:right w:w="28" w:type="dxa"/>
        </w:tblCellMar>
      </w:tblPr>
      <w:tblGrid>
        <w:gridCol w:w="1271"/>
        <w:gridCol w:w="146"/>
        <w:gridCol w:w="211"/>
        <w:gridCol w:w="721"/>
        <w:gridCol w:w="246"/>
        <w:gridCol w:w="146"/>
        <w:gridCol w:w="211"/>
        <w:gridCol w:w="721"/>
        <w:gridCol w:w="246"/>
        <w:gridCol w:w="146"/>
        <w:gridCol w:w="211"/>
        <w:gridCol w:w="631"/>
        <w:gridCol w:w="266"/>
        <w:gridCol w:w="146"/>
        <w:gridCol w:w="146"/>
        <w:gridCol w:w="526"/>
        <w:gridCol w:w="576"/>
      </w:tblGrid>
      <w:tr>
        <w:trPr/>
        <w:tc>
          <w:tcPr>
            <w:tcW w:w="1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1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2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2" w:type="dxa"/>
            <w:gridSpan w:val="2"/>
            <w:tcBorders/>
            <w:shd w:fill="auto" w:val="clear"/>
            <w:vAlign w:val="center"/>
          </w:tcPr>
          <w:p>
            <w:pPr>
              <w:pStyle w:val="TableContents"/>
              <w:spacing w:before="0" w:after="0"/>
              <w:ind w:left="0" w:right="0" w:hanging="0"/>
              <w:jc w:val="center"/>
              <w:rPr/>
            </w:pPr>
            <w:r>
              <w:rPr/>
              <w:t> </w:t>
            </w:r>
          </w:p>
        </w:tc>
        <w:tc>
          <w:tcPr>
            <w:tcW w:w="576" w:type="dxa"/>
            <w:tcBorders/>
            <w:shd w:fill="auto" w:val="clear"/>
            <w:vAlign w:val="center"/>
          </w:tcPr>
          <w:p>
            <w:pPr>
              <w:pStyle w:val="TableContents"/>
              <w:spacing w:before="0" w:after="0"/>
              <w:ind w:left="0" w:right="0" w:hanging="0"/>
              <w:jc w:val="center"/>
              <w:rPr/>
            </w:pPr>
            <w:r>
              <w:rPr/>
              <w:t> </w:t>
            </w:r>
          </w:p>
        </w:tc>
      </w:tr>
      <w:tr>
        <w:trPr/>
        <w:tc>
          <w:tcPr>
            <w:tcW w:w="1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2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576" w:type="dxa"/>
            <w:tcBorders/>
            <w:shd w:fill="auto" w:val="clear"/>
            <w:vAlign w:val="center"/>
          </w:tcPr>
          <w:p>
            <w:pPr>
              <w:pStyle w:val="TableContents"/>
              <w:spacing w:before="0" w:after="0"/>
              <w:ind w:left="0" w:right="0" w:hanging="0"/>
              <w:jc w:val="center"/>
              <w:rPr/>
            </w:pPr>
            <w:r>
              <w:rPr/>
              <w:t> </w:t>
            </w:r>
          </w:p>
        </w:tc>
      </w:tr>
      <w:tr>
        <w:trPr/>
        <w:tc>
          <w:tcPr>
            <w:tcW w:w="1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74"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millions)</w:t>
            </w:r>
          </w:p>
        </w:tc>
        <w:tc>
          <w:tcPr>
            <w:tcW w:w="576" w:type="dxa"/>
            <w:tcBorders/>
            <w:shd w:fill="auto" w:val="clear"/>
            <w:vAlign w:val="center"/>
          </w:tcPr>
          <w:p>
            <w:pPr>
              <w:pStyle w:val="TableContents"/>
              <w:spacing w:before="0" w:after="0"/>
              <w:ind w:left="0" w:right="0" w:hanging="0"/>
              <w:jc w:val="center"/>
              <w:rPr/>
            </w:pPr>
            <w:r>
              <w:rPr/>
              <w:t> </w:t>
            </w:r>
          </w:p>
        </w:tc>
      </w:tr>
      <w:tr>
        <w:trPr/>
        <w:tc>
          <w:tcPr>
            <w:tcW w:w="1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2,001.5</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2,228.6</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(227.1</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57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2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Domestic</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1,318.0</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1,347.1</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57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2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683.5</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881.5</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(198.0</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Net sales for the three months ended March 31, 2023 decreased $227.1 million, or 10.2%, compared to the prior year period primarily driven by decreased sales volumes but partially offset by higher pricing. Core net sales for the three months ended March 31, 2023 decreased $68.5 million, or 4.0%, compared to the prior year period with decreases in the OWN segment of $131.7 million, the ANS segment of $18.1 million and the CCS segment of $15.2 million, partially offset by an increase in the NICS segment of $96.5 million. For the three months ended March 31, 2023, net sales in the Home segment decreased $158.6 million compared to the prior year period. Our lower volumes are being driven by certain customers reducing purchases as they right-size their inventories and others pausing capital spending. In addition, while supply chain constraints are loosening in some of our segments, we continue to experience supply shortages for certain materials that negatively impacted our net sales for certain of our products during the three months ended March 31, 2023. For further details by segment, see the discussion of Segment Results below.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From a regional perspective, for the three months ended March 31, 2023 compared to the prior year period, net sales decreased in the Europe, Middle East and Africa (EMEA) region by $79.9 million, the Caribbean and Latin American (CALA) region by $54.4 million, the Asia Pacific (APAC) region by $44.5 million, the U.S. by $29.1 million and Canada by $19.2 million. Net sales to customers located outside of the U.S. comprised 34.1% of total net sales for the three months ended March 31, 2023 compared to 39.6% for the three months ended March 31, 2022. Foreign exchange rate changes impacted net sales unfavorably by approximately 1% for the three months ended March 31, 2023 compared to the prior year period. For additional information on regional sales by segment, see the discussion of Segment Results below and Note 7 in the Notes to Unaudited Condensed Consolidated Financial Statements included herein.</w:t>
      </w:r>
    </w:p>
    <w:p>
      <w:pPr>
        <w:pStyle w:val="TextBody"/>
        <w:spacing w:before="360" w:after="200"/>
        <w:jc w:val="left"/>
        <w:rPr>
          <w:rFonts w:ascii="Times New Roman;serif" w:hAnsi="Times New Roman;serif"/>
          <w:b/>
          <w:sz w:val="20"/>
        </w:rPr>
      </w:pPr>
      <w:r>
        <w:rPr>
          <w:rFonts w:ascii="Times New Roman;serif" w:hAnsi="Times New Roman;serif"/>
          <w:b/>
          <w:sz w:val="20"/>
        </w:rPr>
        <w:t>Gross profit, SG&amp;A expense and R&amp;D expense</w:t>
      </w:r>
    </w:p>
    <w:tbl>
      <w:tblPr>
        <w:tblW w:w="6371" w:type="dxa"/>
        <w:jc w:val="left"/>
        <w:tblInd w:w="0" w:type="dxa"/>
        <w:tblCellMar>
          <w:top w:w="28" w:type="dxa"/>
          <w:left w:w="28" w:type="dxa"/>
          <w:bottom w:w="28" w:type="dxa"/>
          <w:right w:w="28" w:type="dxa"/>
        </w:tblCellMar>
      </w:tblPr>
      <w:tblGrid>
        <w:gridCol w:w="1856"/>
        <w:gridCol w:w="146"/>
        <w:gridCol w:w="196"/>
        <w:gridCol w:w="511"/>
        <w:gridCol w:w="256"/>
        <w:gridCol w:w="146"/>
        <w:gridCol w:w="196"/>
        <w:gridCol w:w="511"/>
        <w:gridCol w:w="256"/>
        <w:gridCol w:w="146"/>
        <w:gridCol w:w="196"/>
        <w:gridCol w:w="481"/>
        <w:gridCol w:w="166"/>
        <w:gridCol w:w="146"/>
        <w:gridCol w:w="153"/>
        <w:gridCol w:w="508"/>
        <w:gridCol w:w="501"/>
      </w:tblGrid>
      <w:tr>
        <w:trPr/>
        <w:tc>
          <w:tcPr>
            <w:tcW w:w="1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r>
      <w:tr>
        <w:trPr/>
        <w:tc>
          <w:tcPr>
            <w:tcW w:w="1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1" w:type="dxa"/>
            <w:gridSpan w:val="2"/>
            <w:tcBorders/>
            <w:shd w:fill="auto" w:val="clear"/>
            <w:vAlign w:val="center"/>
          </w:tcPr>
          <w:p>
            <w:pPr>
              <w:pStyle w:val="TableContents"/>
              <w:spacing w:before="0" w:after="0"/>
              <w:ind w:left="0" w:right="0" w:hanging="0"/>
              <w:jc w:val="center"/>
              <w:rPr/>
            </w:pPr>
            <w:r>
              <w:rPr/>
              <w:t> </w:t>
            </w:r>
          </w:p>
        </w:tc>
        <w:tc>
          <w:tcPr>
            <w:tcW w:w="501" w:type="dxa"/>
            <w:tcBorders/>
            <w:shd w:fill="auto" w:val="clear"/>
            <w:vAlign w:val="center"/>
          </w:tcPr>
          <w:p>
            <w:pPr>
              <w:pStyle w:val="TableContents"/>
              <w:spacing w:before="0" w:after="0"/>
              <w:ind w:left="0" w:right="0" w:hanging="0"/>
              <w:jc w:val="center"/>
              <w:rPr/>
            </w:pPr>
            <w:r>
              <w:rPr/>
              <w:t> </w:t>
            </w:r>
          </w:p>
        </w:tc>
      </w:tr>
      <w:tr>
        <w:trPr/>
        <w:tc>
          <w:tcPr>
            <w:tcW w:w="1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501" w:type="dxa"/>
            <w:tcBorders/>
            <w:shd w:fill="auto" w:val="clear"/>
            <w:vAlign w:val="center"/>
          </w:tcPr>
          <w:p>
            <w:pPr>
              <w:pStyle w:val="TableContents"/>
              <w:spacing w:before="0" w:after="0"/>
              <w:ind w:left="0" w:right="0" w:hanging="0"/>
              <w:jc w:val="center"/>
              <w:rPr/>
            </w:pPr>
            <w:r>
              <w:rPr/>
              <w:t> </w:t>
            </w:r>
          </w:p>
        </w:tc>
      </w:tr>
      <w:tr>
        <w:trPr/>
        <w:tc>
          <w:tcPr>
            <w:tcW w:w="1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868"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millions)</w:t>
            </w:r>
          </w:p>
        </w:tc>
        <w:tc>
          <w:tcPr>
            <w:tcW w:w="501" w:type="dxa"/>
            <w:tcBorders/>
            <w:shd w:fill="auto" w:val="clear"/>
            <w:vAlign w:val="center"/>
          </w:tcPr>
          <w:p>
            <w:pPr>
              <w:pStyle w:val="TableContents"/>
              <w:spacing w:before="0" w:after="0"/>
              <w:ind w:left="0" w:right="0" w:hanging="0"/>
              <w:jc w:val="center"/>
              <w:rPr/>
            </w:pPr>
            <w:r>
              <w:rPr/>
              <w:t> </w:t>
            </w:r>
          </w:p>
        </w:tc>
      </w:tr>
      <w:tr>
        <w:trPr/>
        <w:tc>
          <w:tcPr>
            <w:tcW w:w="185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Gross profit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691.7</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636.3</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8.7</w:t>
            </w:r>
          </w:p>
        </w:tc>
        <w:tc>
          <w:tcPr>
            <w:tcW w:w="50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856" w:type="dxa"/>
            <w:tcBorders/>
            <w:shd w:fill="auto" w:val="clear"/>
            <w:vAlign w:val="center"/>
          </w:tcPr>
          <w:p>
            <w:pPr>
              <w:pStyle w:val="TableContents"/>
              <w:spacing w:before="0" w:after="0"/>
              <w:ind w:left="0" w:right="0" w:firstLine="100"/>
              <w:jc w:val="left"/>
              <w:rPr>
                <w:rFonts w:ascii="Times New Roman;serif" w:hAnsi="Times New Roman;serif"/>
                <w:b w:val="false"/>
                <w:sz w:val="19"/>
              </w:rPr>
            </w:pPr>
            <w:r>
              <w:rPr>
                <w:rFonts w:ascii="Times New Roman;serif" w:hAnsi="Times New Roman;serif"/>
                <w:b w:val="false"/>
                <w:sz w:val="19"/>
              </w:rPr>
              <w:t>As a percent of sales</w:t>
            </w:r>
          </w:p>
        </w:tc>
        <w:tc>
          <w:tcPr>
            <w:tcW w:w="146" w:type="dxa"/>
            <w:tcBorders/>
            <w:shd w:fill="auto" w:val="clear"/>
            <w:vAlign w:val="center"/>
          </w:tcPr>
          <w:p>
            <w:pPr>
              <w:pStyle w:val="TableContents"/>
              <w:spacing w:before="0" w:after="0"/>
              <w:ind w:left="10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34.6</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28.6</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center"/>
              <w:rPr/>
            </w:pPr>
            <w:r>
              <w:rPr/>
              <w:t> </w:t>
            </w:r>
          </w:p>
        </w:tc>
        <w:tc>
          <w:tcPr>
            <w:tcW w:w="6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gridSpan w:val="2"/>
            <w:tcBorders/>
            <w:shd w:fill="auto" w:val="clear"/>
            <w:vAlign w:val="center"/>
          </w:tcPr>
          <w:p>
            <w:pPr>
              <w:pStyle w:val="TableContents"/>
              <w:spacing w:before="0" w:after="0"/>
              <w:ind w:left="0" w:right="0" w:hanging="0"/>
              <w:jc w:val="left"/>
              <w:rPr/>
            </w:pPr>
            <w:r>
              <w:rPr/>
              <w:t> </w:t>
            </w:r>
          </w:p>
        </w:tc>
        <w:tc>
          <w:tcPr>
            <w:tcW w:w="501" w:type="dxa"/>
            <w:tcBorders/>
            <w:shd w:fill="auto" w:val="clear"/>
            <w:vAlign w:val="center"/>
          </w:tcPr>
          <w:p>
            <w:pPr>
              <w:pStyle w:val="TableContents"/>
              <w:spacing w:before="0" w:after="0"/>
              <w:ind w:left="0" w:right="0" w:hanging="0"/>
              <w:jc w:val="left"/>
              <w:rPr/>
            </w:pPr>
            <w:r>
              <w:rPr/>
              <w:t> </w:t>
            </w:r>
          </w:p>
        </w:tc>
      </w:tr>
      <w:tr>
        <w:trPr/>
        <w:tc>
          <w:tcPr>
            <w:tcW w:w="185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SG&amp;A expense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263.5</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286.0</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(7.9</w:t>
            </w:r>
          </w:p>
        </w:tc>
        <w:tc>
          <w:tcPr>
            <w:tcW w:w="50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856" w:type="dxa"/>
            <w:tcBorders/>
            <w:shd w:fill="auto" w:val="clear"/>
            <w:vAlign w:val="center"/>
          </w:tcPr>
          <w:p>
            <w:pPr>
              <w:pStyle w:val="TableContents"/>
              <w:spacing w:before="0" w:after="0"/>
              <w:ind w:left="0" w:right="0" w:firstLine="100"/>
              <w:jc w:val="left"/>
              <w:rPr>
                <w:rFonts w:ascii="Times New Roman;serif" w:hAnsi="Times New Roman;serif"/>
                <w:b w:val="false"/>
                <w:sz w:val="19"/>
              </w:rPr>
            </w:pPr>
            <w:r>
              <w:rPr>
                <w:rFonts w:ascii="Times New Roman;serif" w:hAnsi="Times New Roman;serif"/>
                <w:b w:val="false"/>
                <w:sz w:val="19"/>
              </w:rPr>
              <w:t>As a percent of sales</w:t>
            </w:r>
          </w:p>
        </w:tc>
        <w:tc>
          <w:tcPr>
            <w:tcW w:w="146" w:type="dxa"/>
            <w:tcBorders/>
            <w:shd w:fill="auto" w:val="clear"/>
            <w:vAlign w:val="center"/>
          </w:tcPr>
          <w:p>
            <w:pPr>
              <w:pStyle w:val="TableContents"/>
              <w:spacing w:before="0" w:after="0"/>
              <w:ind w:left="10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12.8</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center"/>
              <w:rPr/>
            </w:pPr>
            <w:r>
              <w:rPr/>
              <w:t> </w:t>
            </w:r>
          </w:p>
        </w:tc>
        <w:tc>
          <w:tcPr>
            <w:tcW w:w="6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gridSpan w:val="2"/>
            <w:tcBorders/>
            <w:shd w:fill="auto" w:val="clear"/>
            <w:vAlign w:val="center"/>
          </w:tcPr>
          <w:p>
            <w:pPr>
              <w:pStyle w:val="TableContents"/>
              <w:spacing w:before="0" w:after="0"/>
              <w:ind w:left="0" w:right="0" w:hanging="0"/>
              <w:jc w:val="left"/>
              <w:rPr/>
            </w:pPr>
            <w:r>
              <w:rPr/>
              <w:t> </w:t>
            </w:r>
          </w:p>
        </w:tc>
        <w:tc>
          <w:tcPr>
            <w:tcW w:w="501" w:type="dxa"/>
            <w:tcBorders/>
            <w:shd w:fill="auto" w:val="clear"/>
            <w:vAlign w:val="center"/>
          </w:tcPr>
          <w:p>
            <w:pPr>
              <w:pStyle w:val="TableContents"/>
              <w:spacing w:before="0" w:after="0"/>
              <w:ind w:left="0" w:right="0" w:hanging="0"/>
              <w:jc w:val="left"/>
              <w:rPr/>
            </w:pPr>
            <w:r>
              <w:rPr/>
              <w:t> </w:t>
            </w:r>
          </w:p>
        </w:tc>
      </w:tr>
      <w:tr>
        <w:trPr/>
        <w:tc>
          <w:tcPr>
            <w:tcW w:w="185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R&amp;D expense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153.4</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170.7</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(10.1</w:t>
            </w:r>
          </w:p>
        </w:tc>
        <w:tc>
          <w:tcPr>
            <w:tcW w:w="50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856" w:type="dxa"/>
            <w:tcBorders/>
            <w:shd w:fill="auto" w:val="clear"/>
            <w:vAlign w:val="center"/>
          </w:tcPr>
          <w:p>
            <w:pPr>
              <w:pStyle w:val="TableContents"/>
              <w:spacing w:before="0" w:after="0"/>
              <w:ind w:left="0" w:right="0" w:firstLine="100"/>
              <w:jc w:val="left"/>
              <w:rPr>
                <w:rFonts w:ascii="Times New Roman;serif" w:hAnsi="Times New Roman;serif"/>
                <w:b w:val="false"/>
                <w:sz w:val="19"/>
              </w:rPr>
            </w:pPr>
            <w:r>
              <w:rPr>
                <w:rFonts w:ascii="Times New Roman;serif" w:hAnsi="Times New Roman;serif"/>
                <w:b w:val="false"/>
                <w:sz w:val="19"/>
              </w:rPr>
              <w:t>As a percent of sales</w:t>
            </w:r>
          </w:p>
        </w:tc>
        <w:tc>
          <w:tcPr>
            <w:tcW w:w="146" w:type="dxa"/>
            <w:tcBorders/>
            <w:shd w:fill="auto" w:val="clear"/>
            <w:vAlign w:val="center"/>
          </w:tcPr>
          <w:p>
            <w:pPr>
              <w:pStyle w:val="TableContents"/>
              <w:spacing w:before="0" w:after="0"/>
              <w:ind w:left="10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center"/>
              <w:rPr/>
            </w:pPr>
            <w:r>
              <w:rPr/>
              <w:t> </w:t>
            </w:r>
          </w:p>
        </w:tc>
        <w:tc>
          <w:tcPr>
            <w:tcW w:w="6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gridSpan w:val="2"/>
            <w:tcBorders/>
            <w:shd w:fill="auto" w:val="clear"/>
            <w:vAlign w:val="center"/>
          </w:tcPr>
          <w:p>
            <w:pPr>
              <w:pStyle w:val="TableContents"/>
              <w:spacing w:before="0" w:after="0"/>
              <w:ind w:left="0" w:right="0" w:hanging="0"/>
              <w:jc w:val="left"/>
              <w:rPr/>
            </w:pPr>
            <w:r>
              <w:rPr/>
              <w:t> </w:t>
            </w:r>
          </w:p>
        </w:tc>
        <w:tc>
          <w:tcPr>
            <w:tcW w:w="501" w:type="dxa"/>
            <w:tcBorders/>
            <w:shd w:fill="auto" w:val="clear"/>
            <w:vAlign w:val="center"/>
          </w:tcPr>
          <w:p>
            <w:pPr>
              <w:pStyle w:val="TableContents"/>
              <w:spacing w:before="0" w:after="0"/>
              <w:ind w:left="0" w:right="0" w:hanging="0"/>
              <w:jc w:val="left"/>
              <w:rPr/>
            </w:pPr>
            <w:r>
              <w:rPr/>
              <w:t> </w:t>
            </w:r>
          </w:p>
        </w:tc>
      </w:tr>
    </w:tbl>
    <w:p>
      <w:pPr>
        <w:pStyle w:val="TextBody"/>
        <w:spacing w:before="360" w:after="0"/>
        <w:jc w:val="left"/>
        <w:rPr>
          <w:rFonts w:ascii="Times New Roman;serif" w:hAnsi="Times New Roman;serif"/>
          <w:b/>
          <w:i/>
          <w:sz w:val="20"/>
        </w:rPr>
      </w:pPr>
      <w:r>
        <w:rPr>
          <w:rFonts w:ascii="Times New Roman;serif" w:hAnsi="Times New Roman;serif"/>
          <w:b/>
          <w:i/>
          <w:sz w:val="20"/>
        </w:rPr>
        <w:t>Gross profit (net sales less cost of sales)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Despite lower consolidated net sales, gross profit increased by $55.4 million for the three months ended March 31, 2023 compared to the prior year period primarily due to favorable mix and lower freight costs.</w:t>
      </w:r>
    </w:p>
    <w:p>
      <w:pPr>
        <w:pStyle w:val="TextBody"/>
        <w:spacing w:before="240" w:after="0"/>
        <w:jc w:val="left"/>
        <w:rPr>
          <w:rFonts w:ascii="Times New Roman;serif" w:hAnsi="Times New Roman;serif"/>
          <w:b/>
          <w:i/>
          <w:sz w:val="20"/>
        </w:rPr>
      </w:pPr>
      <w:r>
        <w:rPr>
          <w:rFonts w:ascii="Times New Roman;serif" w:hAnsi="Times New Roman;serif"/>
          <w:b/>
          <w:i/>
          <w:sz w:val="20"/>
        </w:rPr>
        <w:t>Selling, general and administrative expense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selling, general and administrative (SG&amp;A) expense decreased by $22.5 million compared to the prior year period primarily due to a decrease in transaction, transformation and integration costs of $13.0 million.</w:t>
      </w:r>
    </w:p>
    <w:p>
      <w:pPr>
        <w:pStyle w:val="TextBody"/>
        <w:spacing w:before="240" w:after="0"/>
        <w:jc w:val="left"/>
        <w:rPr>
          <w:rFonts w:ascii="Times New Roman;serif" w:hAnsi="Times New Roman;serif"/>
          <w:b/>
          <w:i/>
          <w:sz w:val="20"/>
        </w:rPr>
      </w:pPr>
      <w:r>
        <w:rPr>
          <w:rFonts w:ascii="Times New Roman;serif" w:hAnsi="Times New Roman;serif"/>
          <w:b/>
          <w:i/>
          <w:sz w:val="20"/>
        </w:rPr>
        <w:t>Research and development expense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(R&amp;D) expense for the three months ended March 31, 2023 decreased compared to the prior year period primarily due to lower spending across all segments except our CCS segment. R&amp;D activities generally relate to ensuring that our products are capable of meeting the evolving technological needs of our customers, bringing new products to market and modifying existing products to better serve our customers.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200"/>
        <w:jc w:val="left"/>
        <w:rPr>
          <w:rFonts w:ascii="Times New Roman;serif" w:hAnsi="Times New Roman;serif"/>
          <w:b/>
          <w:sz w:val="20"/>
        </w:rPr>
      </w:pPr>
      <w:r>
        <w:rPr>
          <w:rFonts w:ascii="Times New Roman;serif" w:hAnsi="Times New Roman;serif"/>
          <w:b/>
          <w:sz w:val="20"/>
        </w:rPr>
        <w:t>Amortization of purchased intangible assets and Restructuring costs (credits), net</w:t>
      </w:r>
    </w:p>
    <w:tbl>
      <w:tblPr>
        <w:tblW w:w="8087" w:type="dxa"/>
        <w:jc w:val="left"/>
        <w:tblInd w:w="0" w:type="dxa"/>
        <w:tblCellMar>
          <w:top w:w="28" w:type="dxa"/>
          <w:left w:w="28" w:type="dxa"/>
          <w:bottom w:w="28" w:type="dxa"/>
          <w:right w:w="28" w:type="dxa"/>
        </w:tblCellMar>
      </w:tblPr>
      <w:tblGrid>
        <w:gridCol w:w="3676"/>
        <w:gridCol w:w="146"/>
        <w:gridCol w:w="211"/>
        <w:gridCol w:w="571"/>
        <w:gridCol w:w="166"/>
        <w:gridCol w:w="146"/>
        <w:gridCol w:w="211"/>
        <w:gridCol w:w="571"/>
        <w:gridCol w:w="146"/>
        <w:gridCol w:w="146"/>
        <w:gridCol w:w="211"/>
        <w:gridCol w:w="526"/>
        <w:gridCol w:w="166"/>
        <w:gridCol w:w="146"/>
        <w:gridCol w:w="146"/>
        <w:gridCol w:w="526"/>
        <w:gridCol w:w="376"/>
      </w:tblGrid>
      <w:tr>
        <w:trPr/>
        <w:tc>
          <w:tcPr>
            <w:tcW w:w="3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36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7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2"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76" w:type="dxa"/>
            <w:tcBorders/>
            <w:shd w:fill="auto" w:val="cle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889"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millions)</w:t>
            </w:r>
          </w:p>
        </w:tc>
        <w:tc>
          <w:tcPr>
            <w:tcW w:w="376" w:type="dxa"/>
            <w:tcBorders/>
            <w:shd w:fill="auto" w:val="clear"/>
            <w:vAlign w:val="center"/>
          </w:tcPr>
          <w:p>
            <w:pPr>
              <w:pStyle w:val="TableContents"/>
              <w:spacing w:before="0" w:after="0"/>
              <w:ind w:left="0" w:right="0" w:hanging="0"/>
              <w:jc w:val="center"/>
              <w:rPr/>
            </w:pPr>
            <w:r>
              <w:rPr/>
              <w:t> </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purchased intangible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costs (credits),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6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376" w:type="dxa"/>
            <w:tcBorders/>
            <w:shd w:fill="auto" w:val="clear"/>
            <w:vAlign w:val="center"/>
          </w:tcPr>
          <w:p>
            <w:pPr>
              <w:pStyle w:val="TableContents"/>
              <w:spacing w:before="0" w:after="0"/>
              <w:ind w:left="0" w:right="0" w:hanging="0"/>
              <w:jc w:val="right"/>
              <w:rPr/>
            </w:pPr>
            <w:r>
              <w:rPr/>
              <w:t> </w:t>
            </w:r>
          </w:p>
        </w:tc>
      </w:tr>
      <w:tr>
        <w:trPr/>
        <w:tc>
          <w:tcPr>
            <w:tcW w:w="36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r>
      <w:tr>
        <w:trPr/>
        <w:tc>
          <w:tcPr>
            <w:tcW w:w="3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NM – Not meaningful</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r>
    </w:tbl>
    <w:p>
      <w:pPr>
        <w:pStyle w:val="TextBody"/>
        <w:spacing w:before="360" w:after="120"/>
        <w:jc w:val="left"/>
        <w:rPr>
          <w:rFonts w:ascii="Times New Roman;serif" w:hAnsi="Times New Roman;serif"/>
          <w:b/>
          <w:i/>
          <w:sz w:val="20"/>
        </w:rPr>
      </w:pPr>
      <w:r>
        <w:rPr>
          <w:rFonts w:ascii="Times New Roman;serif" w:hAnsi="Times New Roman;serif"/>
          <w:b/>
          <w:i/>
          <w:sz w:val="20"/>
        </w:rPr>
        <w:t>Amortization of purchased intangible assets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amortization of purchased intangible assets was lower compared to the prior year period because certain of our intangible assets became fully amortized.</w:t>
      </w:r>
    </w:p>
    <w:p>
      <w:pPr>
        <w:pStyle w:val="TextBody"/>
        <w:spacing w:before="360" w:after="120"/>
        <w:jc w:val="left"/>
        <w:rPr>
          <w:rFonts w:ascii="Times New Roman;serif" w:hAnsi="Times New Roman;serif"/>
          <w:b/>
          <w:i/>
          <w:sz w:val="20"/>
        </w:rPr>
      </w:pPr>
      <w:r>
        <w:rPr>
          <w:rFonts w:ascii="Times New Roman;serif" w:hAnsi="Times New Roman;serif"/>
          <w:b/>
          <w:i/>
          <w:sz w:val="20"/>
        </w:rPr>
        <w:t>Restructuring costs (credits),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net restructuring costs (credits) recorded during the three months ended March 31, 2023 and 2022 were primarily related to CommScope NEXT. The net restructuring costs (credits) for the three months ended March 31, 2023 reflected a gain on the sale of property, primarily related to an international manufacturing facility of $20.2 million. We received proceeds of $38.4 million related to the sale. Excluding the impacts of the sale, for the three months ended March 31, 2023, our restructuring costs were $16.0 million and we paid $19.0 million to settle restructuring liabilities. We expect to pay an additional $55.5 million by the end of 2023 and $1.2 million in 2024 related to restructuring actions that have been initiated. Additional restructuring actions related to CommScope NEXT are expected to be identified and the resulting charges and cash requirements could be material.</w:t>
      </w:r>
    </w:p>
    <w:p>
      <w:pPr>
        <w:pStyle w:val="TextBody"/>
        <w:spacing w:before="360" w:after="200"/>
        <w:jc w:val="left"/>
        <w:rPr>
          <w:rFonts w:ascii="Times New Roman;serif" w:hAnsi="Times New Roman;serif"/>
          <w:b/>
          <w:sz w:val="20"/>
        </w:rPr>
      </w:pPr>
      <w:r>
        <w:rPr>
          <w:rFonts w:ascii="Times New Roman;serif" w:hAnsi="Times New Roman;serif"/>
          <w:b/>
          <w:sz w:val="20"/>
        </w:rPr>
        <w:t>Other income, net</w:t>
      </w:r>
    </w:p>
    <w:tbl>
      <w:tblPr>
        <w:tblW w:w="6080" w:type="dxa"/>
        <w:jc w:val="left"/>
        <w:tblInd w:w="0" w:type="dxa"/>
        <w:tblCellMar>
          <w:top w:w="28" w:type="dxa"/>
          <w:left w:w="28" w:type="dxa"/>
          <w:bottom w:w="28" w:type="dxa"/>
          <w:right w:w="28" w:type="dxa"/>
        </w:tblCellMar>
      </w:tblPr>
      <w:tblGrid>
        <w:gridCol w:w="1861"/>
        <w:gridCol w:w="146"/>
        <w:gridCol w:w="215"/>
        <w:gridCol w:w="429"/>
        <w:gridCol w:w="169"/>
        <w:gridCol w:w="148"/>
        <w:gridCol w:w="215"/>
        <w:gridCol w:w="429"/>
        <w:gridCol w:w="166"/>
        <w:gridCol w:w="146"/>
        <w:gridCol w:w="220"/>
        <w:gridCol w:w="441"/>
        <w:gridCol w:w="166"/>
        <w:gridCol w:w="146"/>
        <w:gridCol w:w="146"/>
        <w:gridCol w:w="721"/>
        <w:gridCol w:w="316"/>
      </w:tblGrid>
      <w:tr>
        <w:trPr/>
        <w:tc>
          <w:tcPr>
            <w:tcW w:w="1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5"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67"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6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shd w:fill="auto" w:val="clear"/>
            <w:vAlign w:val="center"/>
          </w:tcPr>
          <w:p>
            <w:pPr>
              <w:pStyle w:val="TableContents"/>
              <w:spacing w:before="0" w:after="0"/>
              <w:ind w:left="0" w:right="0" w:hanging="0"/>
              <w:jc w:val="center"/>
              <w:rPr/>
            </w:pPr>
            <w:r>
              <w:rPr/>
              <w:t> </w:t>
            </w:r>
          </w:p>
        </w:tc>
        <w:tc>
          <w:tcPr>
            <w:tcW w:w="6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57"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millions)</w:t>
            </w:r>
          </w:p>
        </w:tc>
        <w:tc>
          <w:tcPr>
            <w:tcW w:w="316" w:type="dxa"/>
            <w:tcBorders/>
            <w:shd w:fill="auto" w:val="cle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loss</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69"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4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3,400.0</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360" w:after="120"/>
        <w:jc w:val="left"/>
        <w:rPr>
          <w:rFonts w:ascii="Times New Roman;serif" w:hAnsi="Times New Roman;serif"/>
          <w:b/>
          <w:i/>
          <w:sz w:val="20"/>
        </w:rPr>
      </w:pPr>
      <w:r>
        <w:rPr>
          <w:rFonts w:ascii="Times New Roman;serif" w:hAnsi="Times New Roman;serif"/>
          <w:b/>
          <w:i/>
          <w:sz w:val="20"/>
        </w:rPr>
        <w:t>Foreign currency loss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Foreign currency loss includes the net foreign currency gains and losses resulting from the settlement of receivables and payables, foreign currency contracts and short-term intercompany advances in a currency other than the subsidiary’s functional currency. The change in foreign currency loss for the three months ended March 31, 2023 compared to the prior year period was primarily driven by certain unhedged currencies.</w:t>
      </w:r>
    </w:p>
    <w:p>
      <w:pPr>
        <w:pStyle w:val="TextBody"/>
        <w:spacing w:before="360" w:after="120"/>
        <w:jc w:val="left"/>
        <w:rPr>
          <w:rFonts w:ascii="Times New Roman;serif" w:hAnsi="Times New Roman;serif"/>
          <w:b/>
          <w:i/>
          <w:sz w:val="20"/>
        </w:rPr>
      </w:pPr>
      <w:r>
        <w:rPr>
          <w:rFonts w:ascii="Times New Roman;serif" w:hAnsi="Times New Roman;serif"/>
          <w:b/>
          <w:i/>
          <w:sz w:val="20"/>
        </w:rPr>
        <w:t>Other income,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change in other income, net for the three months ended March 31, 2023 compared to the prior year period was primarily driven by a gain of $7.5 million on the early extinguishment of debt related to the debt repurchases of $47.4 million of our 8.25% senior notes due 2027, $3.1 million aggregate principal amount of our 7.125% senior notes due 2028 and $7.0 million aggregate principal amount of our 6.00% senior notes due 2025.</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200"/>
        <w:jc w:val="left"/>
        <w:rPr>
          <w:rFonts w:ascii="Times New Roman;serif" w:hAnsi="Times New Roman;serif"/>
          <w:b/>
          <w:sz w:val="20"/>
        </w:rPr>
      </w:pPr>
      <w:r>
        <w:rPr>
          <w:rFonts w:ascii="Times New Roman;serif" w:hAnsi="Times New Roman;serif"/>
          <w:b/>
          <w:sz w:val="20"/>
        </w:rPr>
        <w:t>Interest expense, Interest income and Income taxes</w:t>
      </w:r>
    </w:p>
    <w:tbl>
      <w:tblPr>
        <w:tblW w:w="6997" w:type="dxa"/>
        <w:jc w:val="left"/>
        <w:tblInd w:w="0" w:type="dxa"/>
        <w:tblCellMar>
          <w:top w:w="28" w:type="dxa"/>
          <w:left w:w="28" w:type="dxa"/>
          <w:bottom w:w="28" w:type="dxa"/>
          <w:right w:w="28" w:type="dxa"/>
        </w:tblCellMar>
      </w:tblPr>
      <w:tblGrid>
        <w:gridCol w:w="2461"/>
        <w:gridCol w:w="146"/>
        <w:gridCol w:w="211"/>
        <w:gridCol w:w="631"/>
        <w:gridCol w:w="166"/>
        <w:gridCol w:w="146"/>
        <w:gridCol w:w="211"/>
        <w:gridCol w:w="631"/>
        <w:gridCol w:w="166"/>
        <w:gridCol w:w="146"/>
        <w:gridCol w:w="211"/>
        <w:gridCol w:w="526"/>
        <w:gridCol w:w="166"/>
        <w:gridCol w:w="146"/>
        <w:gridCol w:w="146"/>
        <w:gridCol w:w="571"/>
        <w:gridCol w:w="316"/>
      </w:tblGrid>
      <w:tr>
        <w:trPr/>
        <w:tc>
          <w:tcPr>
            <w:tcW w:w="24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4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9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4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24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074"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millions)</w:t>
            </w:r>
          </w:p>
        </w:tc>
        <w:tc>
          <w:tcPr>
            <w:tcW w:w="316" w:type="dxa"/>
            <w:tcBorders/>
            <w:shd w:fill="auto" w:val="clear"/>
            <w:vAlign w:val="center"/>
          </w:tcPr>
          <w:p>
            <w:pPr>
              <w:pStyle w:val="TableContents"/>
              <w:spacing w:before="0" w:after="0"/>
              <w:ind w:left="0" w:right="0" w:hanging="0"/>
              <w:jc w:val="center"/>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257.1</w:t>
            </w:r>
          </w:p>
        </w:tc>
        <w:tc>
          <w:tcPr>
            <w:tcW w:w="316" w:type="dxa"/>
            <w:tcBorders/>
            <w:shd w:fill="auto" w:val="clear"/>
            <w:vAlign w:val="center"/>
          </w:tcPr>
          <w:p>
            <w:pPr>
              <w:pStyle w:val="TableContents"/>
              <w:spacing w:before="0" w:after="0"/>
              <w:ind w:left="0" w:right="0" w:hanging="0"/>
              <w:jc w:val="left"/>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316" w:type="dxa"/>
            <w:tcBorders/>
            <w:shd w:fill="auto" w:val="clear"/>
            <w:vAlign w:val="center"/>
          </w:tcPr>
          <w:p>
            <w:pPr>
              <w:pStyle w:val="TableContents"/>
              <w:spacing w:before="0" w:after="0"/>
              <w:ind w:left="0" w:right="0" w:hanging="0"/>
              <w:jc w:val="right"/>
              <w:rPr/>
            </w:pPr>
            <w:r>
              <w:rPr/>
              <w:t> </w:t>
            </w:r>
          </w:p>
        </w:tc>
      </w:tr>
      <w:tr>
        <w:trPr/>
        <w:tc>
          <w:tcPr>
            <w:tcW w:w="24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NM – Not meaningful</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360" w:after="120"/>
        <w:jc w:val="left"/>
        <w:rPr>
          <w:rFonts w:ascii="Times New Roman;serif" w:hAnsi="Times New Roman;serif"/>
          <w:b/>
          <w:i/>
          <w:sz w:val="20"/>
        </w:rPr>
      </w:pPr>
      <w:r>
        <w:rPr>
          <w:rFonts w:ascii="Times New Roman;serif" w:hAnsi="Times New Roman;serif"/>
          <w:b/>
          <w:i/>
          <w:sz w:val="20"/>
        </w:rPr>
        <w:t>Interest expense and interest income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increase in interest expense for the three months ended March 31, 2023 compared to the prior year period was driven by higher interest expense related to the increased variable interest rate on our senior secured term loan due 2026 (2026 Term Loan) as a result of the Federal Reserve's increases in interest rates beginning in the second quarter of 2022. Our interest expense will continue to increase if the Federal Reserve continues raising interest rates during 2023. Our weighted average effective interest rate on outstanding borrowings, including the impact of the interest rate swap and the amortization of debt issuance costs and original issue discount, was 7.06% at March 31, 2023, 6.91% at December 31, 2022 and 5.77% at March 31, 2022.</w:t>
      </w:r>
    </w:p>
    <w:p>
      <w:pPr>
        <w:pStyle w:val="TextBody"/>
        <w:spacing w:before="360" w:after="0"/>
        <w:jc w:val="left"/>
        <w:rPr>
          <w:rFonts w:ascii="Times New Roman;serif" w:hAnsi="Times New Roman;serif"/>
          <w:b/>
          <w:i/>
          <w:sz w:val="20"/>
        </w:rPr>
      </w:pPr>
      <w:r>
        <w:rPr>
          <w:rFonts w:ascii="Times New Roman;serif" w:hAnsi="Times New Roman;serif"/>
          <w:b/>
          <w:i/>
          <w:sz w:val="20"/>
        </w:rPr>
        <w:t>Income tax (expense) benefit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we recognized an income tax benefit of $7.8 million on a pretax loss of $4.4 million. Our tax benefit was higher than the statutory rate of 21.0% due to a reduction in tax expense of $8.3 million related to the release of various uncertain tax positions. This benefit was partially offset by the unfavorable impacts of U.S. anti-deferral provisions and non-creditable withholding taxes.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2022, we recognized income tax expense of $30.9 million on a pretax loss of $109.0 million. Our tax expense was driven by the unfavorable impacts of U.S. anti-deferral provisions and non-creditable withholding taxes.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240" w:after="120"/>
        <w:jc w:val="left"/>
        <w:rPr>
          <w:rFonts w:ascii="Times New Roman;serif" w:hAnsi="Times New Roman;serif"/>
          <w:b/>
          <w:sz w:val="20"/>
        </w:rPr>
      </w:pPr>
      <w:r>
        <w:rPr>
          <w:rFonts w:ascii="Times New Roman;serif" w:hAnsi="Times New Roman;serif"/>
          <w:b/>
          <w:sz w:val="20"/>
        </w:rPr>
        <w:t>Segment Results</w:t>
      </w:r>
    </w:p>
    <w:tbl>
      <w:tblPr>
        <w:tblW w:w="10205" w:type="dxa"/>
        <w:jc w:val="left"/>
        <w:tblInd w:w="0" w:type="dxa"/>
        <w:tblCellMar>
          <w:top w:w="28" w:type="dxa"/>
          <w:left w:w="28" w:type="dxa"/>
          <w:bottom w:w="28" w:type="dxa"/>
          <w:right w:w="28" w:type="dxa"/>
        </w:tblCellMar>
      </w:tblPr>
      <w:tblGrid>
        <w:gridCol w:w="2278"/>
        <w:gridCol w:w="146"/>
        <w:gridCol w:w="211"/>
        <w:gridCol w:w="721"/>
        <w:gridCol w:w="166"/>
        <w:gridCol w:w="146"/>
        <w:gridCol w:w="156"/>
        <w:gridCol w:w="612"/>
        <w:gridCol w:w="166"/>
        <w:gridCol w:w="271"/>
        <w:gridCol w:w="146"/>
        <w:gridCol w:w="211"/>
        <w:gridCol w:w="721"/>
        <w:gridCol w:w="166"/>
        <w:gridCol w:w="146"/>
        <w:gridCol w:w="151"/>
        <w:gridCol w:w="593"/>
        <w:gridCol w:w="166"/>
        <w:gridCol w:w="271"/>
        <w:gridCol w:w="146"/>
        <w:gridCol w:w="211"/>
        <w:gridCol w:w="631"/>
        <w:gridCol w:w="166"/>
        <w:gridCol w:w="146"/>
        <w:gridCol w:w="146"/>
        <w:gridCol w:w="631"/>
        <w:gridCol w:w="166"/>
        <w:gridCol w:w="518"/>
      </w:tblGrid>
      <w:tr>
        <w:trPr/>
        <w:tc>
          <w:tcPr>
            <w:tcW w:w="22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r>
      <w:tr>
        <w:trPr/>
        <w:tc>
          <w:tcPr>
            <w:tcW w:w="22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83" w:type="dxa"/>
            <w:gridSpan w:val="15"/>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518" w:type="dxa"/>
            <w:tcBorders/>
            <w:shd w:fill="auto" w:val="clear"/>
            <w:vAlign w:val="center"/>
          </w:tcPr>
          <w:p>
            <w:pPr>
              <w:pStyle w:val="TableContents"/>
              <w:spacing w:before="0" w:after="0"/>
              <w:ind w:left="0" w:right="0" w:hanging="0"/>
              <w:jc w:val="center"/>
              <w:rPr/>
            </w:pPr>
            <w:r>
              <w:rPr/>
              <w:t> </w:t>
            </w:r>
          </w:p>
        </w:tc>
      </w:tr>
      <w:tr>
        <w:trPr/>
        <w:tc>
          <w:tcPr>
            <w:tcW w:w="22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83" w:type="dxa"/>
            <w:gridSpan w:val="1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518" w:type="dxa"/>
            <w:tcBorders/>
            <w:shd w:fill="auto" w:val="clear"/>
            <w:vAlign w:val="center"/>
          </w:tcPr>
          <w:p>
            <w:pPr>
              <w:pStyle w:val="TableContents"/>
              <w:spacing w:before="0" w:after="0"/>
              <w:ind w:left="0" w:right="0" w:hanging="0"/>
              <w:jc w:val="center"/>
              <w:rPr/>
            </w:pPr>
            <w:r>
              <w:rPr/>
              <w:t> </w:t>
            </w:r>
          </w:p>
        </w:tc>
      </w:tr>
      <w:tr>
        <w:trPr/>
        <w:tc>
          <w:tcPr>
            <w:tcW w:w="22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1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8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15" w:type="dxa"/>
            <w:gridSpan w:val="8"/>
            <w:tcBorders/>
            <w:shd w:fill="auto" w:val="clear"/>
            <w:vAlign w:val="center"/>
          </w:tcPr>
          <w:p>
            <w:pPr>
              <w:pStyle w:val="TableContents"/>
              <w:spacing w:before="0" w:after="0"/>
              <w:ind w:left="0" w:right="0" w:hanging="0"/>
              <w:jc w:val="center"/>
              <w:rPr/>
            </w:pPr>
            <w:r>
              <w:rPr/>
              <w:t> </w:t>
            </w:r>
          </w:p>
        </w:tc>
      </w:tr>
      <w:tr>
        <w:trPr/>
        <w:tc>
          <w:tcPr>
            <w:tcW w:w="22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 of Net </w:t>
              <w:br/>
              <w:t>Sales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Net</w:t>
              <w:br/>
              <w:t>Sales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 </w:t>
              <w:b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18" w:type="dxa"/>
            <w:tcBorders/>
            <w:shd w:fill="auto" w:val="clear"/>
            <w:vAlign w:val="center"/>
          </w:tcPr>
          <w:p>
            <w:pPr>
              <w:pStyle w:val="TableContents"/>
              <w:spacing w:before="0" w:after="0"/>
              <w:ind w:left="0" w:right="0" w:hanging="0"/>
              <w:jc w:val="left"/>
              <w:rPr/>
            </w:pPr>
            <w:r>
              <w:rPr/>
              <w:t> </w:t>
            </w:r>
          </w:p>
        </w:tc>
      </w:tr>
      <w:tr>
        <w:trPr/>
        <w:tc>
          <w:tcPr>
            <w:tcW w:w="227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097" w:type="dxa"/>
            <w:gridSpan w:val="2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millions)</w:t>
            </w:r>
          </w:p>
        </w:tc>
        <w:tc>
          <w:tcPr>
            <w:tcW w:w="166" w:type="dxa"/>
            <w:tcBorders/>
            <w:shd w:fill="auto" w:val="clear"/>
            <w:vAlign w:val="center"/>
          </w:tcPr>
          <w:p>
            <w:pPr>
              <w:pStyle w:val="TableContents"/>
              <w:spacing w:before="0" w:after="0"/>
              <w:ind w:left="0" w:right="0" w:hanging="0"/>
              <w:jc w:val="center"/>
              <w:rPr/>
            </w:pPr>
            <w:r>
              <w:rPr/>
              <w:t> </w:t>
            </w:r>
          </w:p>
        </w:tc>
        <w:tc>
          <w:tcPr>
            <w:tcW w:w="518" w:type="dxa"/>
            <w:tcBorders/>
            <w:shd w:fill="auto" w:val="clear"/>
            <w:vAlign w:val="center"/>
          </w:tcPr>
          <w:p>
            <w:pPr>
              <w:pStyle w:val="TableContents"/>
              <w:spacing w:before="0" w:after="0"/>
              <w:ind w:left="0" w:right="0" w:hanging="0"/>
              <w:jc w:val="left"/>
              <w:rPr/>
            </w:pPr>
            <w:r>
              <w:rPr/>
              <w:t> </w:t>
            </w:r>
          </w:p>
        </w:tc>
      </w:tr>
      <w:tr>
        <w:trPr/>
        <w:tc>
          <w:tcPr>
            <w:tcW w:w="2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sales by segment:</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CCS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OWN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NICS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ANS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pPr>
            <w:r>
              <w:rPr/>
              <w:t>   </w:t>
            </w:r>
            <w:r>
              <w:rPr>
                <w:rFonts w:ascii="Times New Roman;serif" w:hAnsi="Times New Roman;serif"/>
                <w:b w:val="false"/>
                <w:sz w:val="20"/>
              </w:rPr>
              <w:t xml:space="preserve">Core net sales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Home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8" w:type="dxa"/>
            <w:tcBorders/>
            <w:shd w:fill="auto" w:val="clear"/>
            <w:vAlign w:val="center"/>
          </w:tcPr>
          <w:p>
            <w:pPr>
              <w:pStyle w:val="TableContents"/>
              <w:spacing w:before="0" w:after="0"/>
              <w:ind w:left="0" w:right="0" w:hanging="0"/>
              <w:jc w:val="left"/>
              <w:rPr/>
            </w:pPr>
            <w:r>
              <w:rPr/>
              <w:t> </w:t>
            </w:r>
          </w:p>
        </w:tc>
      </w:tr>
      <w:tr>
        <w:trPr/>
        <w:tc>
          <w:tcPr>
            <w:tcW w:w="2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Consolidated net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7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18" w:type="dxa"/>
            <w:tcBorders/>
            <w:shd w:fill="auto" w:val="clear"/>
            <w:vAlign w:val="center"/>
          </w:tcPr>
          <w:p>
            <w:pPr>
              <w:pStyle w:val="TableContents"/>
              <w:spacing w:before="0" w:after="0"/>
              <w:ind w:left="0" w:right="0" w:hanging="0"/>
              <w:jc w:val="left"/>
              <w:rPr/>
            </w:pPr>
            <w:r>
              <w:rPr/>
              <w:t> </w:t>
            </w:r>
          </w:p>
        </w:tc>
      </w:tr>
      <w:tr>
        <w:trPr/>
        <w:tc>
          <w:tcPr>
            <w:tcW w:w="2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 by segment:</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CCS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232.4</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OWN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NICS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166" w:type="dxa"/>
            <w:tcBorders/>
            <w:shd w:fill="auto" w:val="clear"/>
            <w:vAlign w:val="center"/>
          </w:tcPr>
          <w:p>
            <w:pPr>
              <w:pStyle w:val="TableContents"/>
              <w:spacing w:before="0" w:after="0"/>
              <w:ind w:left="0" w:right="0" w:hanging="0"/>
              <w:jc w:val="right"/>
              <w:rPr/>
            </w:pPr>
            <w:r>
              <w:rPr/>
              <w:t> </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ANS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231.8</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pPr>
            <w:r>
              <w:rPr/>
              <w:t>   </w:t>
            </w:r>
            <w:r>
              <w:rPr>
                <w:rFonts w:ascii="Times New Roman;serif" w:hAnsi="Times New Roman;serif"/>
                <w:b w:val="false"/>
                <w:sz w:val="20"/>
              </w:rPr>
              <w:t xml:space="preserve">Core operating income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358.6</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Home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144.2</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left"/>
              <w:rPr/>
            </w:pPr>
            <w:r>
              <w:rPr/>
              <w:t> </w:t>
            </w:r>
          </w:p>
        </w:tc>
      </w:tr>
      <w:tr>
        <w:trPr/>
        <w:tc>
          <w:tcPr>
            <w:tcW w:w="2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Consolidated operating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469.0</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7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left"/>
              <w:rPr/>
            </w:pPr>
            <w:r>
              <w:rPr/>
              <w:t> </w:t>
            </w:r>
          </w:p>
        </w:tc>
      </w:tr>
      <w:tr>
        <w:trPr/>
        <w:tc>
          <w:tcPr>
            <w:tcW w:w="2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 by segment:</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CCS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OWN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NICS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166" w:type="dxa"/>
            <w:tcBorders/>
            <w:shd w:fill="auto" w:val="clear"/>
            <w:vAlign w:val="center"/>
          </w:tcPr>
          <w:p>
            <w:pPr>
              <w:pStyle w:val="TableContents"/>
              <w:spacing w:before="0" w:after="0"/>
              <w:ind w:left="0" w:right="0" w:hanging="0"/>
              <w:jc w:val="right"/>
              <w:rPr/>
            </w:pPr>
            <w:r>
              <w:rPr/>
              <w:t> </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ANS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pPr>
            <w:r>
              <w:rPr/>
              <w:t>   </w:t>
            </w:r>
            <w:r>
              <w:rPr>
                <w:rFonts w:ascii="Times New Roman;serif" w:hAnsi="Times New Roman;serif"/>
                <w:b w:val="false"/>
                <w:sz w:val="20"/>
              </w:rPr>
              <w:t xml:space="preserve">Core adjusted EBITDA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firstLine="200"/>
              <w:jc w:val="left"/>
              <w:rPr/>
            </w:pPr>
            <w:r>
              <w:rPr/>
              <w:t> </w:t>
            </w:r>
          </w:p>
        </w:tc>
      </w:tr>
      <w:tr>
        <w:trPr/>
        <w:tc>
          <w:tcPr>
            <w:tcW w:w="2278"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Home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8" w:type="dxa"/>
            <w:tcBorders/>
            <w:shd w:fill="auto" w:val="clear"/>
            <w:vAlign w:val="center"/>
          </w:tcPr>
          <w:p>
            <w:pPr>
              <w:pStyle w:val="TableContents"/>
              <w:spacing w:before="0" w:after="0"/>
              <w:ind w:left="0" w:right="0" w:hanging="0"/>
              <w:jc w:val="left"/>
              <w:rPr/>
            </w:pPr>
            <w:r>
              <w:rPr/>
              <w:t> </w:t>
            </w:r>
          </w:p>
        </w:tc>
      </w:tr>
      <w:tr>
        <w:trPr/>
        <w:tc>
          <w:tcPr>
            <w:tcW w:w="227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Non-GAAP consolidated adjusted </w:t>
              <w:br/>
              <w:t xml:space="preserve">     EBITDA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7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left"/>
              <w:rPr/>
            </w:pPr>
            <w:r>
              <w:rPr/>
              <w:t> </w:t>
            </w:r>
          </w:p>
        </w:tc>
      </w:tr>
      <w:tr>
        <w:trPr/>
        <w:tc>
          <w:tcPr>
            <w:tcW w:w="2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NM – Not meaningful</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Core financial measures reflect the results of our CCS, OWN, NICS and ANS segments, in the aggregate, and exclude the results of our Home segment.</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See “Reconciliation of Non-GAAP Measures” within this Management’s Discussion and Analysis of Financial Condition and Results of Operations.</w:t>
      </w:r>
    </w:p>
    <w:p>
      <w:pPr>
        <w:pStyle w:val="TextBody"/>
        <w:spacing w:before="360" w:after="0"/>
        <w:jc w:val="left"/>
        <w:rPr>
          <w:rFonts w:ascii="Times New Roman;serif" w:hAnsi="Times New Roman;serif"/>
          <w:b/>
          <w:i/>
          <w:sz w:val="20"/>
        </w:rPr>
      </w:pPr>
      <w:r>
        <w:rPr>
          <w:rFonts w:ascii="Times New Roman;serif" w:hAnsi="Times New Roman;serif"/>
          <w:b/>
          <w:i/>
          <w:sz w:val="20"/>
        </w:rPr>
        <w:t>Connectivity and Cable Solutions Segment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sales for the CCS segment decreased for the three months ended March 31, 2023 compared to the prior year period primarily due to lower sales volumes, as certain customers have paused spending as they right-size their inventory levels, but partially offset by higher pricing. From a regional perspective, for the three months ended March 31, 2023, net sales decreased in the EMEA region by $18.2 million, the APAC region by $11.3 million, the CALA region by $4.6 million and Canada by $3.2 million, but increased in the U.S. by $22.1 million compared to the prior year period. Foreign exchange rate changes impacted CCS segment net sales unfavorably by approximately 1% during the three months ended March 31, 2023 compared to the prior year period.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2023, CCS segment operating income and adjusted EBITDA both benefitted from favorable pricing impacts, favorable mix and lower material and freight costs. Compared to the prior year period, CCS segment operating income for the three months ended March 31, 2023 was favorably impacted by a reduction of $17.8 million in restructuring costs and a reduction of $10.5 million in amortization expense. The reduction in restructuring costs was driven by the gain on the sale of an international manufacturing facility of $20.2 million recorded during the three months ended March 31, 2023. Restructuring costs and amortization expense are not reflected in adjusted EBITDA. See “Reconciliation of Segment Adjusted EBITDA” below.</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Outdoor Wireless Networks Segment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OWN segment net sales decreased compared to the prior year period primarily due to lower sales volumes as a result of reductions in spending by certain North American operators. From a regional perspective, for the three months ended March 31, 2023, OWN segment net sales decreased in the U.S. by $86.2 million, the EMEA region by $23.6 million, Canada by $8.4 million, the APAC region by $7.9 million and the CALA region by $5.6 million compared to the prior year period. Foreign exchange rate changes impacted OWN segment net sales unfavorably by approximately 1% during the three months ended March 31, 2023 compared to the same prior year period.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2023, OWN segment operating income and adjusted EBITDA both decreased primarily due to lower sales volumes, partially offset by decreases in freight, SG&amp;A and R&amp;D costs. See "Reconciliation of Segment Adjusted EBITDA" below.</w:t>
      </w:r>
    </w:p>
    <w:p>
      <w:pPr>
        <w:pStyle w:val="TextBody"/>
        <w:spacing w:before="360" w:after="0"/>
        <w:jc w:val="left"/>
        <w:rPr>
          <w:rFonts w:ascii="Times New Roman;serif" w:hAnsi="Times New Roman;serif"/>
          <w:b/>
          <w:i/>
          <w:sz w:val="20"/>
        </w:rPr>
      </w:pPr>
      <w:r>
        <w:rPr>
          <w:rFonts w:ascii="Times New Roman;serif" w:hAnsi="Times New Roman;serif"/>
          <w:b/>
          <w:i/>
          <w:sz w:val="20"/>
        </w:rPr>
        <w:t>Networking, Intelligent Cellular and Security Solutions Segment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NICS segment net sales increased compared to the prior year period primarily due to higher sales volumes of our Ruckus products as well as our distributed antenna systems products because of supply chain improvements in the availability of chips and increased pricing. From a regional perspective, for the three months ended March 31, 2023, net sales increased in the U.S. by $77.4 million, the EMEA region by $8.8 million, the APAC region by $5.2 million, the CALA region by $3.9 million and Canada by $1.2 million compared to the prior year period. Foreign exchange rate changes impacted NICS segment net sales unfavorably by approximately 1% during the three months ended March 31, 2023 compared to the prior year period.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2023, NICS segment operating income and adjusted EBITDA both increased compared to the prior year period primarily due to higher sales volumes, lower freight costs, lower R&amp;D costs and lower selling expenses. See “Reconciliation of Segment Adjusted EBITDA” below.</w:t>
      </w:r>
    </w:p>
    <w:p>
      <w:pPr>
        <w:pStyle w:val="TextBody"/>
        <w:spacing w:before="360" w:after="0"/>
        <w:jc w:val="left"/>
        <w:rPr>
          <w:rFonts w:ascii="Times New Roman;serif" w:hAnsi="Times New Roman;serif"/>
          <w:b/>
          <w:i/>
          <w:sz w:val="20"/>
        </w:rPr>
      </w:pPr>
      <w:r>
        <w:rPr>
          <w:rFonts w:ascii="Times New Roman;serif" w:hAnsi="Times New Roman;serif"/>
          <w:b/>
          <w:i/>
          <w:sz w:val="20"/>
        </w:rPr>
        <w:t>Access Network Solutions Segment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net sales decreased in the ANS segment due to lower sales volumes compared to the prior year period. From a regional perspective, for the three months ended March 31, 2023, net sales decreased in the CALA region by $27.6 million and the APAC region by $24.2 million, but increased in the U.S. by $31.4 million, the EMEA region by $1.4 million and Canada by $0.9 million, compared to the prior year period. Foreign exchange rate changes impacted ANS segment net sales unfavorably by approximately 1% during the three months ended March 31, 2023 compared to the prior year period.</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 ANS segment operating loss increased and adjusted EBITDA decreased compared to the prior year period primarily due to lower sales volumes and unfavorable product mix, partially offset by lower SG&amp;A and R&amp;D costs. ANS segment operating loss was favorably impacted by a $5.5 million reduction in transaction, transformation and integration costs primarily due to the termination of a supply agreement that was recorded in the prior year period. Transaction, transformation and integration costs are not reflected in adjusted EBITDA. See “Reconciliation of Segment Adjusted EBITDA” below.</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Home Networks Segment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sales for the Home segment decreased for the three months ended March 31, 2023 due to lower sales volumes compared to the prior year period. We continue to experience some supply shortages related to our Home products, which impacted our ability to meet customer demand. Although we are working to secure components from key suppliers, we still expect to experience some component supply chain challenges throughout 2023. From a regional perspective, for the three months ended March 31, 2023, net sales decreased in the U.S. by $73.8 million, the EMEA region by $48.3 million, the CALA region by $20.5 million, Canada by $9.7 million and the APAC region by $6.3 million compared to the prior year period. Foreign exchange rate changes impacted Home segment net sales unfavorably by less than 1% during the three months ended March 31, 2023 compared to the prior year period.</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 Home segment operating loss increased and adjusted EBITDA decreased compared to the prior year period primarily due to lower sales volumes, higher material costs and higher SG&amp;A costs, partially offset by favorable mix and lower R&amp;D costs. For the three months ended March 31, 2023, Home segment operating loss was favorably impacted by the reversal of $11.0 million in intellectual property litigation settlement charges related to a claim that was settled at an amount that was lower than estimated. This favorable impact was partially offset by an increase of $6.7 million in restructuring costs. Intellectual property litigation settlement charges and restructuring costs are not reflected in adjusted EBITDA. See “Reconciliation of Segment Adjusted EBITDA” below.</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1" w:name="liquidity_capital_resources"/>
      <w:bookmarkEnd w:id="11"/>
      <w:r>
        <w:rPr>
          <w:rFonts w:ascii="Times New Roman;serif" w:hAnsi="Times New Roman;serif"/>
          <w:b/>
          <w:sz w:val="20"/>
        </w:rPr>
        <w:t>LIQUIDITY AND CAPITAL RESOURCES</w:t>
      </w:r>
    </w:p>
    <w:p>
      <w:pPr>
        <w:pStyle w:val="TextBody"/>
        <w:spacing w:before="120" w:after="200"/>
        <w:jc w:val="left"/>
        <w:rPr>
          <w:rFonts w:ascii="Times New Roman;serif" w:hAnsi="Times New Roman;serif"/>
          <w:b w:val="false"/>
          <w:sz w:val="20"/>
        </w:rPr>
      </w:pPr>
      <w:r>
        <w:rPr>
          <w:rFonts w:ascii="Times New Roman;serif" w:hAnsi="Times New Roman;serif"/>
          <w:b w:val="false"/>
          <w:sz w:val="20"/>
        </w:rPr>
        <w:t>The following table summarizes certain key measures of our liquidity and capital resources (in millions, except percentage data):</w:t>
      </w:r>
    </w:p>
    <w:tbl>
      <w:tblPr>
        <w:tblW w:w="9756" w:type="dxa"/>
        <w:jc w:val="left"/>
        <w:tblInd w:w="0" w:type="dxa"/>
        <w:tblCellMar>
          <w:top w:w="28" w:type="dxa"/>
          <w:left w:w="28" w:type="dxa"/>
          <w:bottom w:w="28" w:type="dxa"/>
          <w:right w:w="28" w:type="dxa"/>
        </w:tblCellMar>
      </w:tblPr>
      <w:tblGrid>
        <w:gridCol w:w="4456"/>
        <w:gridCol w:w="146"/>
        <w:gridCol w:w="211"/>
        <w:gridCol w:w="721"/>
        <w:gridCol w:w="271"/>
        <w:gridCol w:w="146"/>
        <w:gridCol w:w="258"/>
        <w:gridCol w:w="882"/>
        <w:gridCol w:w="271"/>
        <w:gridCol w:w="146"/>
        <w:gridCol w:w="211"/>
        <w:gridCol w:w="571"/>
        <w:gridCol w:w="166"/>
        <w:gridCol w:w="146"/>
        <w:gridCol w:w="146"/>
        <w:gridCol w:w="526"/>
        <w:gridCol w:w="166"/>
        <w:gridCol w:w="316"/>
      </w:tblGrid>
      <w:tr>
        <w:trPr/>
        <w:tc>
          <w:tcPr>
            <w:tcW w:w="4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4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March 31, </w:t>
              <w:b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b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b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72"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millions)</w:t>
            </w:r>
          </w:p>
        </w:tc>
        <w:tc>
          <w:tcPr>
            <w:tcW w:w="16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5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Working capital </w:t>
            </w:r>
            <w:r>
              <w:rPr>
                <w:rFonts w:ascii="Times New Roman;serif" w:hAnsi="Times New Roman;serif"/>
                <w:b w:val="false"/>
                <w:sz w:val="13"/>
              </w:rPr>
              <w:t>(1)</w:t>
            </w:r>
            <w:r>
              <w:rPr>
                <w:rFonts w:ascii="Times New Roman;serif" w:hAnsi="Times New Roman;serif"/>
                <w:b w:val="false"/>
                <w:sz w:val="20"/>
              </w:rPr>
              <w:t>, excluding cash and cash</w:t>
              <w:br/>
              <w:t>   equivalents and current portion of long-term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1,412.2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1,252.6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Availability under Revolving Credit Facility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908.8</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 including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9,442.5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9,501.6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Total capitalization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9,027.5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9,055.9</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 as a percentage of total capitalization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pBdr>
          <w:bottom w:val="single" w:sz="8" w:space="1" w:color="000000"/>
        </w:pBdr>
        <w:spacing w:before="0" w:after="0"/>
        <w:jc w:val="left"/>
        <w:rPr/>
      </w:pPr>
      <w:r>
        <w:rPr/>
        <w:t> </w:t>
      </w:r>
    </w:p>
    <w:p>
      <w:pPr>
        <w:pStyle w:val="TextBody"/>
        <w:spacing w:before="60" w:after="0"/>
        <w:jc w:val="left"/>
        <w:rPr>
          <w:rFonts w:ascii="Times New Roman" w:hAnsi="Times New Roman"/>
          <w:b w:val="false"/>
          <w:sz w:val="20"/>
        </w:rPr>
      </w:pPr>
      <w:r>
        <w:rPr>
          <w:rFonts w:ascii="Times New Roman" w:hAnsi="Times New Roman"/>
          <w:b w:val="false"/>
          <w:sz w:val="20"/>
        </w:rPr>
        <w:t>(1)</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Working capital consisted of current assets of $3,509.8 million less current liabilities of $1,802.3 million as of March 31, 2023. Working capital consisted of current assets of $3,726.2 million less current liabilities of $2,107.5 million as of December 31, 2022.</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rFonts w:ascii="Times New Roman;serif" w:hAnsi="Times New Roman;serif"/>
          <w:b w:val="false"/>
          <w:sz w:val="20"/>
        </w:rPr>
      </w:pPr>
      <w:r>
        <w:rPr>
          <w:rFonts w:ascii="Times New Roman;serif" w:hAnsi="Times New Roman;serif"/>
          <w:b w:val="false"/>
          <w:sz w:val="20"/>
        </w:rPr>
        <w:t>Total capitalization includes long-term debt, including the current portion, Series A convertible preferred stock (the Convertible Preferred Stock) and stockholders’ deficit.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principal sources of liquidity on a short-term basis are cash and cash equivalents, cash flows provided by operations and availability under our credit facilities. On a long-term basis, our potential sources of liquidity also include raising capital through the issuance of additional equity and/or debt.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second quarter of 2023, we expect to amend our 2026 Term Loan to replace LIBOR with an adjusted Secured Overnight Financing Rate as administered by the Federal Reserve Bank of New York (SOFR) as the reference interest rate in anticipation of the cessation of LIBOR in 2023. We do not anticipate a material impact on our results of operations or cash flows with the transition to SOFR in our variable rate debt, but the impact is still uncertain.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primary uses of liquidity include debt service requirements, voluntary debt repayments, redemptions or purchases on the open market, working capital requirements, capital expenditures, business separation transaction costs, transformation costs, restructuring costs, dividends related to the Convertible Preferred Stock if we elect to pay such dividends in cash, litigation settlements, income tax payments and other contractual obligations. Our interest payments on our 2026 Term Loan and our Revolving Credit Facility will continue to increase in 2023 if the Federal Reserve continues to raise interest rates. See Part II, Item 7A, “Quantitative and Qualitative Disclosure About Market Risk” in our 2022 Annual Report for further discussion of our interest rate risk. We believe that our existing cash, cash equivalents and cash flows from operations, combined with availability under our Revolving Credit Facility, will be sufficient to meet our presently anticipated future cash needs. We may experience volatility in cash flows between periods due to, among other reasons, variability in the timing of vendor payments and customer receipts. We may, from time to time, borrow additional amounts under our Revolving Credit Facility or issue debt or equity securities, if market conditions are favorable, to meet future cash needs or to reduce our borrowing costs. In addition, we may, from time to time, seek to repurchase our outstanding debt through cash purchases in the open market. Any such repurchases will be dependent upon several factors, including our liquidity requirements, contractual restrictions, general market conditions and applicable regulatory, legal and accounting factors. Whether or not we repurchase any of our debt and the size and timing of any such repurchases will be determined at our discretion.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the “Reconciliation of Non-GAAP Measures” section below, but also give pro forma effect to certain events, including acquisitions, synergies and savings from cost reduction initiatives such as facility closures and headcount reductions. For the twelve months ended March 31, 2023, our non-GAAP pro forma adjusted EBITDA, as measured pursuant to the indentures governing our notes, was $1,400.1 million, which included annualized savings expected from cost reduction initiatives of $64.7 million so that the impact of cost reduction initiatives is fully reflected in the twelve-month period used in the calculation of the ratios. In addition to limitations under these indentures, our senior secured credit facilities contain customary negative covenants based on similar financial measures. We believe we are in compliance with the covenants under our indentures and senior secured credit facilities at March 31,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Cash and cash equivalents decreased during the three months ended March 31, 2023 primarily driven by cash used in operating activities of $46.1 million, cash paid for debt repurchases of $50.0 million and</w:t>
      </w:r>
      <w:r>
        <w:rPr>
          <w:rFonts w:ascii="Times New Roman" w:hAnsi="Times New Roman"/>
          <w:sz w:val="20"/>
        </w:rPr>
        <w:t xml:space="preserve"> </w:t>
      </w:r>
      <w:r>
        <w:rPr>
          <w:rFonts w:ascii="Times New Roman;serif" w:hAnsi="Times New Roman;serif"/>
          <w:b w:val="false"/>
          <w:sz w:val="20"/>
        </w:rPr>
        <w:t>capital expenditures of $14.4 million, partially offset by proceeds from the sale of property, plant and equipment of $41.0 million. The proceeds on the sale of property, plant and equipment primarily relate to the sale of an international manufacturing facility that was closed as part of CommScope NEXT. As of March 31, 2023, approximately 61% of our cash and cash equivalents were held outside the U.S.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Working capital, excluding cash and cash equivalents and the current portion of long-term debt, increased during the three months ended March 31, 2023 primarily due to reductions in current liabilities with the pay out of our 2022 variable incentive compensation and interest payments as well as reductions in accounts payable due to timing. These impacts were offset by lower accounts receivable due to higher net sales in the fourth quarter of 2022 compared to the first quarter of 2023. During the three months ended March 31, 2023, we sold accounts receivable under customer-sponsored supplier financing agreements. This had an impact of approximately $42 million on working capital, excluding cash and cash equivalents and the current portion of long-term debt, as of March 31, 2023. Under these agreements, we are able to sell certain accounts receivable to a bank, and we retain no interest in and have no servicing responsibilities for the accounts receivable sold. The net reduction in total capitalization during the three months ended March 31, 2023 reflected the net loss for the period.</w:t>
      </w:r>
    </w:p>
    <w:p>
      <w:pPr>
        <w:pStyle w:val="TextBody"/>
        <w:spacing w:before="360" w:after="0"/>
        <w:jc w:val="left"/>
        <w:rPr>
          <w:rFonts w:ascii="Times New Roman;serif" w:hAnsi="Times New Roman;serif"/>
          <w:b/>
          <w:sz w:val="20"/>
        </w:rPr>
      </w:pPr>
      <w:r>
        <w:rPr>
          <w:rFonts w:ascii="Times New Roman;serif" w:hAnsi="Times New Roman;serif"/>
          <w:b/>
          <w:sz w:val="20"/>
        </w:rPr>
        <w:t>Cash Flow Overview</w:t>
      </w:r>
    </w:p>
    <w:tbl>
      <w:tblPr>
        <w:tblW w:w="8587" w:type="dxa"/>
        <w:jc w:val="left"/>
        <w:tblInd w:w="0" w:type="dxa"/>
        <w:tblCellMar>
          <w:top w:w="28" w:type="dxa"/>
          <w:left w:w="28" w:type="dxa"/>
          <w:bottom w:w="28" w:type="dxa"/>
          <w:right w:w="28" w:type="dxa"/>
        </w:tblCellMar>
      </w:tblPr>
      <w:tblGrid>
        <w:gridCol w:w="4261"/>
        <w:gridCol w:w="146"/>
        <w:gridCol w:w="211"/>
        <w:gridCol w:w="526"/>
        <w:gridCol w:w="166"/>
        <w:gridCol w:w="146"/>
        <w:gridCol w:w="211"/>
        <w:gridCol w:w="526"/>
        <w:gridCol w:w="166"/>
        <w:gridCol w:w="146"/>
        <w:gridCol w:w="211"/>
        <w:gridCol w:w="526"/>
        <w:gridCol w:w="166"/>
        <w:gridCol w:w="146"/>
        <w:gridCol w:w="146"/>
        <w:gridCol w:w="571"/>
        <w:gridCol w:w="316"/>
      </w:tblGrid>
      <w:tr>
        <w:trPr/>
        <w:tc>
          <w:tcPr>
            <w:tcW w:w="4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2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42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864"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millions)</w:t>
            </w:r>
          </w:p>
        </w:tc>
        <w:tc>
          <w:tcPr>
            <w:tcW w:w="316" w:type="dxa"/>
            <w:tcBorders/>
            <w:shd w:fill="auto" w:val="clear"/>
            <w:vAlign w:val="center"/>
          </w:tcPr>
          <w:p>
            <w:pPr>
              <w:pStyle w:val="TableContents"/>
              <w:spacing w:before="0" w:after="0"/>
              <w:ind w:left="0" w:right="0" w:hanging="0"/>
              <w:jc w:val="center"/>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generated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316" w:type="dxa"/>
            <w:tcBorders/>
            <w:shd w:fill="auto" w:val="clear"/>
            <w:vAlign w:val="center"/>
          </w:tcPr>
          <w:p>
            <w:pPr>
              <w:pStyle w:val="TableContents"/>
              <w:spacing w:before="0" w:after="0"/>
              <w:ind w:left="0" w:right="0" w:hanging="0"/>
              <w:jc w:val="righ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255.2</w:t>
            </w:r>
          </w:p>
        </w:tc>
        <w:tc>
          <w:tcPr>
            <w:tcW w:w="316"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NM – Not meaningful</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bl>
    <w:p>
      <w:pPr>
        <w:pStyle w:val="TextBody"/>
        <w:spacing w:before="360" w:after="0"/>
        <w:jc w:val="left"/>
        <w:rPr>
          <w:rFonts w:ascii="Times New Roman;serif" w:hAnsi="Times New Roman;serif"/>
          <w:b/>
          <w:i/>
          <w:sz w:val="20"/>
        </w:rPr>
      </w:pPr>
      <w:r>
        <w:rPr>
          <w:rFonts w:ascii="Times New Roman;serif" w:hAnsi="Times New Roman;serif"/>
          <w:b/>
          <w:i/>
          <w:sz w:val="20"/>
        </w:rPr>
        <w:t>Operating Activities</w:t>
      </w:r>
    </w:p>
    <w:tbl>
      <w:tblPr>
        <w:tblW w:w="9749" w:type="dxa"/>
        <w:jc w:val="left"/>
        <w:tblInd w:w="0" w:type="dxa"/>
        <w:tblCellMar>
          <w:top w:w="28" w:type="dxa"/>
          <w:left w:w="28" w:type="dxa"/>
          <w:bottom w:w="28" w:type="dxa"/>
          <w:right w:w="28" w:type="dxa"/>
        </w:tblCellMar>
      </w:tblPr>
      <w:tblGrid>
        <w:gridCol w:w="6796"/>
        <w:gridCol w:w="146"/>
        <w:gridCol w:w="211"/>
        <w:gridCol w:w="631"/>
        <w:gridCol w:w="166"/>
        <w:gridCol w:w="146"/>
        <w:gridCol w:w="211"/>
        <w:gridCol w:w="631"/>
        <w:gridCol w:w="811"/>
      </w:tblGrid>
      <w:tr>
        <w:trPr/>
        <w:tc>
          <w:tcPr>
            <w:tcW w:w="6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6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811" w:type="dxa"/>
            <w:tcBorders/>
            <w:shd w:fill="auto" w:val="clear"/>
            <w:vAlign w:val="center"/>
          </w:tcPr>
          <w:p>
            <w:pPr>
              <w:pStyle w:val="TableContents"/>
              <w:spacing w:before="0" w:after="0"/>
              <w:ind w:left="0" w:right="0" w:hanging="0"/>
              <w:jc w:val="center"/>
              <w:rPr/>
            </w:pPr>
            <w:r>
              <w:rPr/>
              <w:t> </w:t>
            </w:r>
          </w:p>
        </w:tc>
      </w:tr>
      <w:tr>
        <w:trPr/>
        <w:tc>
          <w:tcPr>
            <w:tcW w:w="6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811" w:type="dxa"/>
            <w:tcBorders/>
            <w:shd w:fill="auto" w:val="clear"/>
            <w:vAlign w:val="center"/>
          </w:tcPr>
          <w:p>
            <w:pPr>
              <w:pStyle w:val="TableContents"/>
              <w:spacing w:before="0" w:after="0"/>
              <w:ind w:left="0" w:right="0" w:firstLine="200"/>
              <w:jc w:val="center"/>
              <w:rPr/>
            </w:pPr>
            <w:r>
              <w:rPr/>
              <w:t> </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income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400"/>
              <w:jc w:val="left"/>
              <w:rPr/>
            </w:pPr>
            <w:r>
              <w:rPr/>
              <w:t> </w:t>
            </w:r>
          </w:p>
        </w:tc>
      </w:tr>
      <w:tr>
        <w:trPr/>
        <w:tc>
          <w:tcPr>
            <w:tcW w:w="67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180.2</w:t>
            </w:r>
          </w:p>
        </w:tc>
        <w:tc>
          <w:tcPr>
            <w:tcW w:w="811" w:type="dxa"/>
            <w:tcBorders/>
            <w:shd w:fill="auto" w:val="clear"/>
            <w:vAlign w:val="center"/>
          </w:tcPr>
          <w:p>
            <w:pPr>
              <w:pStyle w:val="TableContents"/>
              <w:spacing w:before="0" w:after="0"/>
              <w:ind w:left="0" w:right="0" w:firstLine="400"/>
              <w:jc w:val="left"/>
              <w:rPr/>
            </w:pPr>
            <w:r>
              <w:rPr/>
              <w:t> </w:t>
            </w:r>
          </w:p>
        </w:tc>
      </w:tr>
      <w:tr>
        <w:trPr/>
        <w:tc>
          <w:tcPr>
            <w:tcW w:w="67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811" w:type="dxa"/>
            <w:tcBorders/>
            <w:shd w:fill="auto" w:val="clear"/>
            <w:vAlign w:val="center"/>
          </w:tcPr>
          <w:p>
            <w:pPr>
              <w:pStyle w:val="TableContents"/>
              <w:spacing w:before="0" w:after="0"/>
              <w:ind w:left="0" w:right="0" w:firstLine="400"/>
              <w:jc w:val="left"/>
              <w:rPr/>
            </w:pPr>
            <w:r>
              <w:rPr/>
              <w:t> </w:t>
            </w:r>
          </w:p>
        </w:tc>
      </w:tr>
      <w:tr>
        <w:trPr/>
        <w:tc>
          <w:tcPr>
            <w:tcW w:w="67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811" w:type="dxa"/>
            <w:tcBorders/>
            <w:shd w:fill="auto" w:val="clear"/>
            <w:vAlign w:val="center"/>
          </w:tcPr>
          <w:p>
            <w:pPr>
              <w:pStyle w:val="TableContents"/>
              <w:spacing w:before="0" w:after="0"/>
              <w:ind w:left="0" w:right="0" w:firstLine="400"/>
              <w:jc w:val="left"/>
              <w:rPr/>
            </w:pPr>
            <w:r>
              <w:rPr/>
              <w:t> </w:t>
            </w:r>
          </w:p>
        </w:tc>
      </w:tr>
      <w:tr>
        <w:trPr/>
        <w:tc>
          <w:tcPr>
            <w:tcW w:w="67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600"/>
              <w:jc w:val="left"/>
              <w:rPr/>
            </w:pPr>
            <w:r>
              <w:rPr/>
              <w:t> </w:t>
            </w:r>
          </w:p>
        </w:tc>
      </w:tr>
      <w:tr>
        <w:trPr/>
        <w:tc>
          <w:tcPr>
            <w:tcW w:w="679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(60.5</w:t>
            </w:r>
          </w:p>
        </w:tc>
        <w:tc>
          <w:tcPr>
            <w:tcW w:w="811"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79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(73.7</w:t>
            </w:r>
          </w:p>
        </w:tc>
        <w:tc>
          <w:tcPr>
            <w:tcW w:w="811"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79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811" w:type="dxa"/>
            <w:tcBorders/>
            <w:shd w:fill="auto" w:val="clear"/>
            <w:vAlign w:val="center"/>
          </w:tcPr>
          <w:p>
            <w:pPr>
              <w:pStyle w:val="TableContents"/>
              <w:spacing w:before="0" w:after="0"/>
              <w:ind w:left="0" w:right="0" w:firstLine="600"/>
              <w:jc w:val="left"/>
              <w:rPr/>
            </w:pPr>
            <w:r>
              <w:rPr/>
              <w:t> </w:t>
            </w:r>
          </w:p>
        </w:tc>
      </w:tr>
      <w:tr>
        <w:trPr/>
        <w:tc>
          <w:tcPr>
            <w:tcW w:w="679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811" w:type="dxa"/>
            <w:tcBorders/>
            <w:shd w:fill="auto" w:val="clear"/>
            <w:vAlign w:val="center"/>
          </w:tcPr>
          <w:p>
            <w:pPr>
              <w:pStyle w:val="TableContents"/>
              <w:spacing w:before="0" w:after="0"/>
              <w:ind w:left="0" w:right="0" w:firstLine="400"/>
              <w:jc w:val="left"/>
              <w:rPr/>
            </w:pPr>
            <w:r>
              <w:rPr/>
              <w:t> </w:t>
            </w:r>
          </w:p>
        </w:tc>
      </w:tr>
      <w:tr>
        <w:trPr/>
        <w:tc>
          <w:tcPr>
            <w:tcW w:w="67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During the three months ended March 31, 2023, cash used in operating activities increased compared to the prior year period primarily as a result of a shift in the timing of certain variable incentive compensation from the second quarter in 2022 to the first quarter in 2023, lower accounts payable due to the timing of payments and higher payments of interest expense, partially offset by higher accounts receivable collections due to the timing of net sales.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Investing Activities</w:t>
      </w:r>
    </w:p>
    <w:tbl>
      <w:tblPr>
        <w:tblW w:w="6679" w:type="dxa"/>
        <w:jc w:val="left"/>
        <w:tblInd w:w="0" w:type="dxa"/>
        <w:tblCellMar>
          <w:top w:w="28" w:type="dxa"/>
          <w:left w:w="28" w:type="dxa"/>
          <w:bottom w:w="28" w:type="dxa"/>
          <w:right w:w="28" w:type="dxa"/>
        </w:tblCellMar>
      </w:tblPr>
      <w:tblGrid>
        <w:gridCol w:w="4336"/>
        <w:gridCol w:w="146"/>
        <w:gridCol w:w="211"/>
        <w:gridCol w:w="526"/>
        <w:gridCol w:w="166"/>
        <w:gridCol w:w="146"/>
        <w:gridCol w:w="211"/>
        <w:gridCol w:w="526"/>
        <w:gridCol w:w="411"/>
      </w:tblGrid>
      <w:tr>
        <w:trPr/>
        <w:tc>
          <w:tcPr>
            <w:tcW w:w="43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3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411" w:type="dxa"/>
            <w:tcBorders/>
            <w:shd w:fill="auto" w:val="clear"/>
            <w:vAlign w:val="center"/>
          </w:tcPr>
          <w:p>
            <w:pPr>
              <w:pStyle w:val="TableContents"/>
              <w:spacing w:before="0" w:after="0"/>
              <w:ind w:left="0" w:right="0" w:hanging="0"/>
              <w:jc w:val="center"/>
              <w:rPr/>
            </w:pPr>
            <w:r>
              <w:rPr/>
              <w:t> </w:t>
            </w:r>
          </w:p>
        </w:tc>
      </w:tr>
      <w:tr>
        <w:trPr/>
        <w:tc>
          <w:tcPr>
            <w:tcW w:w="43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411" w:type="dxa"/>
            <w:tcBorders/>
            <w:shd w:fill="auto" w:val="clear"/>
            <w:vAlign w:val="center"/>
          </w:tcPr>
          <w:p>
            <w:pPr>
              <w:pStyle w:val="TableContents"/>
              <w:spacing w:before="0" w:after="0"/>
              <w:ind w:left="0" w:right="0" w:firstLine="200"/>
              <w:jc w:val="center"/>
              <w:rPr/>
            </w:pPr>
            <w:r>
              <w:rPr/>
              <w:t> </w:t>
            </w:r>
          </w:p>
        </w:tc>
      </w:tr>
      <w:tr>
        <w:trPr/>
        <w:tc>
          <w:tcPr>
            <w:tcW w:w="43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Additions to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sale of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43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generated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left"/>
        <w:rPr>
          <w:rFonts w:ascii="Times New Roman" w:hAnsi="Times New Roman"/>
          <w:sz w:val="20"/>
        </w:rPr>
      </w:pPr>
      <w:r>
        <w:rPr>
          <w:rFonts w:ascii="Times New Roman;serif" w:hAnsi="Times New Roman;serif"/>
          <w:b w:val="false"/>
          <w:sz w:val="20"/>
        </w:rPr>
        <w:t>During the three months ended March 31, 2023, the increase</w:t>
      </w:r>
      <w:r>
        <w:rPr>
          <w:rFonts w:ascii="Times New Roman" w:hAnsi="Times New Roman"/>
          <w:sz w:val="20"/>
        </w:rPr>
        <w:t xml:space="preserve"> </w:t>
      </w:r>
      <w:r>
        <w:rPr>
          <w:rFonts w:ascii="Times New Roman;serif" w:hAnsi="Times New Roman;serif"/>
          <w:b w:val="false"/>
          <w:sz w:val="20"/>
        </w:rPr>
        <w:t>in</w:t>
      </w:r>
      <w:r>
        <w:rPr>
          <w:rFonts w:ascii="Times New Roman" w:hAnsi="Times New Roman"/>
          <w:sz w:val="20"/>
        </w:rPr>
        <w:t xml:space="preserve"> </w:t>
      </w:r>
      <w:r>
        <w:rPr>
          <w:rFonts w:ascii="Times New Roman;serif" w:hAnsi="Times New Roman;serif"/>
          <w:b w:val="false"/>
          <w:sz w:val="20"/>
        </w:rPr>
        <w:t>cash generated by investing activities compared to the prior year period was primarily driven by proceeds from the sale of property, plant and equipment of $41.0 million and proceeds of $9.3 million on the sale of certain nonfinancial assets, partially offset by lower capital expenditures. The current period proceeds on the sale of property, plant and equipment primarily relate to the sale of an international manufacturing facility that was closed as part of CommScope NEXT. Cash used in investing activities in the prior year period was impacted favorably by proceeds of $6.9 million related to the sale of an equity method investment and a return of $4.5 million on equity method investments.</w:t>
      </w:r>
    </w:p>
    <w:p>
      <w:pPr>
        <w:pStyle w:val="TextBody"/>
        <w:spacing w:before="360" w:after="0"/>
        <w:jc w:val="left"/>
        <w:rPr>
          <w:rFonts w:ascii="Times New Roman;serif" w:hAnsi="Times New Roman;serif"/>
          <w:b/>
          <w:i/>
          <w:sz w:val="20"/>
        </w:rPr>
      </w:pPr>
      <w:r>
        <w:rPr>
          <w:rFonts w:ascii="Times New Roman;serif" w:hAnsi="Times New Roman;serif"/>
          <w:b/>
          <w:i/>
          <w:sz w:val="20"/>
        </w:rPr>
        <w:t>Financing Activities</w:t>
      </w:r>
    </w:p>
    <w:tbl>
      <w:tblPr>
        <w:tblW w:w="9409" w:type="dxa"/>
        <w:jc w:val="left"/>
        <w:tblInd w:w="0" w:type="dxa"/>
        <w:tblCellMar>
          <w:top w:w="28" w:type="dxa"/>
          <w:left w:w="28" w:type="dxa"/>
          <w:bottom w:w="28" w:type="dxa"/>
          <w:right w:w="28" w:type="dxa"/>
        </w:tblCellMar>
      </w:tblPr>
      <w:tblGrid>
        <w:gridCol w:w="7066"/>
        <w:gridCol w:w="146"/>
        <w:gridCol w:w="211"/>
        <w:gridCol w:w="526"/>
        <w:gridCol w:w="166"/>
        <w:gridCol w:w="146"/>
        <w:gridCol w:w="211"/>
        <w:gridCol w:w="526"/>
        <w:gridCol w:w="411"/>
      </w:tblGrid>
      <w:tr>
        <w:trPr/>
        <w:tc>
          <w:tcPr>
            <w:tcW w:w="7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7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411" w:type="dxa"/>
            <w:tcBorders/>
            <w:shd w:fill="auto" w:val="clear"/>
            <w:vAlign w:val="center"/>
          </w:tcPr>
          <w:p>
            <w:pPr>
              <w:pStyle w:val="TableContents"/>
              <w:spacing w:before="0" w:after="0"/>
              <w:ind w:left="0" w:right="0" w:hanging="0"/>
              <w:jc w:val="center"/>
              <w:rPr/>
            </w:pPr>
            <w:r>
              <w:rPr/>
              <w:t> </w:t>
            </w:r>
          </w:p>
        </w:tc>
      </w:tr>
      <w:tr>
        <w:trPr/>
        <w:tc>
          <w:tcPr>
            <w:tcW w:w="7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411" w:type="dxa"/>
            <w:tcBorders/>
            <w:shd w:fill="auto" w:val="clear"/>
            <w:vAlign w:val="center"/>
          </w:tcPr>
          <w:p>
            <w:pPr>
              <w:pStyle w:val="TableContents"/>
              <w:spacing w:before="0" w:after="0"/>
              <w:ind w:left="0" w:right="0" w:firstLine="200"/>
              <w:jc w:val="center"/>
              <w:rPr/>
            </w:pPr>
            <w:r>
              <w:rPr/>
              <w:t> </w:t>
            </w:r>
          </w:p>
        </w:tc>
      </w:tr>
      <w:tr>
        <w:trPr/>
        <w:tc>
          <w:tcPr>
            <w:tcW w:w="7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 repaid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 repurchases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7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 proceeds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411" w:type="dxa"/>
            <w:tcBorders/>
            <w:shd w:fill="auto" w:val="clear"/>
            <w:vAlign w:val="center"/>
          </w:tcPr>
          <w:p>
            <w:pPr>
              <w:pStyle w:val="TableContents"/>
              <w:spacing w:before="0" w:after="0"/>
              <w:ind w:left="0" w:right="0" w:firstLine="200"/>
              <w:jc w:val="left"/>
              <w:rPr/>
            </w:pPr>
            <w:r>
              <w:rPr/>
              <w:t> </w:t>
            </w:r>
          </w:p>
        </w:tc>
      </w:tr>
      <w:tr>
        <w:trPr/>
        <w:tc>
          <w:tcPr>
            <w:tcW w:w="7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the issuance of common shares under equity-based compensation plans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411" w:type="dxa"/>
            <w:tcBorders/>
            <w:shd w:fill="auto" w:val="clear"/>
            <w:vAlign w:val="center"/>
          </w:tcPr>
          <w:p>
            <w:pPr>
              <w:pStyle w:val="TableContents"/>
              <w:spacing w:before="0" w:after="0"/>
              <w:ind w:left="0" w:right="0" w:firstLine="200"/>
              <w:jc w:val="left"/>
              <w:rPr/>
            </w:pPr>
            <w:r>
              <w:rPr/>
              <w:t> </w:t>
            </w:r>
          </w:p>
        </w:tc>
      </w:tr>
      <w:tr>
        <w:trPr/>
        <w:tc>
          <w:tcPr>
            <w:tcW w:w="7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Tax withholding payments for vested equity-based compensation awards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During the three months ended March 31, 2023, we repurchased $47.4 million aggregate principal amount of our 8.25% senior notes due 2027, $3.1 million aggregate principal amount of our 7.125% senior notes due 2028 and $7.0 million aggregate principal amount of our 6.00% senior notes due 2025, for total cash consideration paid of $50.0 million. During the three months ended March 31, 2023, we also paid the quarterly scheduled amortization payment of $8.0 million on the 2026 Term Loan. We did not borrow under our senior secured asset-based revolving credit facility (Revolving Credit Facility) during the three months ended March 31, 2023. As of March 31, 2023, we had no outstanding borrowings under the Revolving Credit Facility and the remaining availability was $907.3 million, reflecting a borrowing base subject to maximum capacity of $1,000.0 million reduced by $92.7 million of letters of credit issued under the Revolving Credit Facility.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three months ended March 31, 2022, we borrowed and repaid $85.0 million under the Revolving Credit Facility. We also paid the quarterly scheduled amortization payment of $8.0 million on the 2026 Term Loan during the three months ended March 31,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three months ended March 31, 2023, employees surrendered shares of our common stock to satisfy their tax withholding requirements on vested restricted stock units and performance share units, which reduced cash flows by $5.0 million compared to $10.6 million in the prior year period.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120"/>
        <w:jc w:val="left"/>
        <w:rPr>
          <w:rFonts w:ascii="Times New Roman;serif" w:hAnsi="Times New Roman;serif"/>
          <w:b/>
          <w:sz w:val="20"/>
        </w:rPr>
      </w:pPr>
      <w:r>
        <w:rPr>
          <w:rFonts w:ascii="Times New Roman;serif" w:hAnsi="Times New Roman;serif"/>
          <w:b/>
          <w:sz w:val="20"/>
        </w:rPr>
        <w:t>Reconciliation of Non-GAAP Measures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core business. We also use certain of these financial measures for business planning purposes and in measuring our performance relative to that of our competitors.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believe these financial measures are commonly used by investors to evaluate our performance and that of our competitors. However, our use of the term "non-GAAP adjusted EBITDA" may vary from that of others in our industry. These financial measures should not be considered as alternatives to operating income (loss), net income (loss) or any other performance measures derived in accordance with U.S. GAAP as measures of operating performance, operating cash flows or liquidity.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also believe presenting these non-GAAP results for the twelve months ended March 31, 2023 provides an additional tool for assessing our recent performance. Such amounts are unaudited and are derived by subtracting the data for the three months ended March 31, 2022 from the data for the year ended December 31, 2022 and then adding the data for the three months ended March 31, 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this section, but also give pro forma effect to certain events, including acquisitions and savings from cost reduction initiatives such as facility closures and headcount reductions.</w:t>
      </w:r>
    </w:p>
    <w:p>
      <w:pPr>
        <w:pStyle w:val="TextBody"/>
        <w:spacing w:before="240" w:after="0"/>
        <w:jc w:val="left"/>
        <w:rPr>
          <w:rFonts w:ascii="Times New Roman" w:hAnsi="Times New Roman"/>
          <w:sz w:val="20"/>
        </w:rPr>
      </w:pPr>
      <w:r>
        <w:rPr>
          <w:rFonts w:ascii="Times New Roman;serif" w:hAnsi="Times New Roman;serif"/>
          <w:b/>
          <w:i/>
          <w:sz w:val="20"/>
        </w:rPr>
        <w:t>Consolidated</w:t>
      </w:r>
      <w:r>
        <w:rPr>
          <w:rFonts w:ascii="Times New Roman" w:hAnsi="Times New Roman"/>
          <w:sz w:val="20"/>
        </w:rPr>
        <w:t xml:space="preserve"> </w:t>
      </w:r>
    </w:p>
    <w:tbl>
      <w:tblPr>
        <w:tblW w:w="9818" w:type="dxa"/>
        <w:jc w:val="left"/>
        <w:tblInd w:w="0" w:type="dxa"/>
        <w:tblCellMar>
          <w:top w:w="28" w:type="dxa"/>
          <w:left w:w="28" w:type="dxa"/>
          <w:bottom w:w="28" w:type="dxa"/>
          <w:right w:w="28" w:type="dxa"/>
        </w:tblCellMar>
      </w:tblPr>
      <w:tblGrid>
        <w:gridCol w:w="4406"/>
        <w:gridCol w:w="146"/>
        <w:gridCol w:w="211"/>
        <w:gridCol w:w="571"/>
        <w:gridCol w:w="166"/>
        <w:gridCol w:w="146"/>
        <w:gridCol w:w="211"/>
        <w:gridCol w:w="631"/>
        <w:gridCol w:w="166"/>
        <w:gridCol w:w="146"/>
        <w:gridCol w:w="233"/>
        <w:gridCol w:w="862"/>
        <w:gridCol w:w="166"/>
        <w:gridCol w:w="146"/>
        <w:gridCol w:w="255"/>
        <w:gridCol w:w="945"/>
        <w:gridCol w:w="411"/>
      </w:tblGrid>
      <w:tr>
        <w:trPr/>
        <w:tc>
          <w:tcPr>
            <w:tcW w:w="4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4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Twelve Months</w:t>
            </w:r>
          </w:p>
        </w:tc>
        <w:tc>
          <w:tcPr>
            <w:tcW w:w="411" w:type="dxa"/>
            <w:tcBorders/>
            <w:shd w:fill="auto" w:val="clear"/>
            <w:vAlign w:val="center"/>
          </w:tcPr>
          <w:p>
            <w:pPr>
              <w:pStyle w:val="TableContents"/>
              <w:spacing w:before="0" w:after="0"/>
              <w:ind w:left="0" w:right="0" w:hanging="0"/>
              <w:jc w:val="center"/>
              <w:rPr/>
            </w:pPr>
            <w:r>
              <w:rPr/>
              <w:t> </w:t>
            </w:r>
          </w:p>
        </w:tc>
      </w:tr>
      <w:tr>
        <w:trPr/>
        <w:tc>
          <w:tcPr>
            <w:tcW w:w="44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Ended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Ended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Ended</w:t>
            </w:r>
          </w:p>
        </w:tc>
        <w:tc>
          <w:tcPr>
            <w:tcW w:w="411" w:type="dxa"/>
            <w:tcBorders/>
            <w:shd w:fill="auto" w:val="clear"/>
            <w:vAlign w:val="center"/>
          </w:tcPr>
          <w:p>
            <w:pPr>
              <w:pStyle w:val="TableContents"/>
              <w:spacing w:before="0" w:after="0"/>
              <w:ind w:left="0" w:right="0" w:hanging="0"/>
              <w:jc w:val="center"/>
              <w:rPr/>
            </w:pPr>
            <w:r>
              <w:rPr/>
              <w:t> </w:t>
            </w:r>
          </w:p>
        </w:tc>
      </w:tr>
      <w:tr>
        <w:trPr/>
        <w:tc>
          <w:tcPr>
            <w:tcW w:w="44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411" w:type="dxa"/>
            <w:tcBorders/>
            <w:shd w:fill="auto" w:val="clear"/>
            <w:vAlign w:val="center"/>
          </w:tcPr>
          <w:p>
            <w:pPr>
              <w:pStyle w:val="TableContents"/>
              <w:spacing w:before="0" w:after="0"/>
              <w:ind w:left="0" w:right="0" w:hanging="0"/>
              <w:jc w:val="center"/>
              <w:rPr/>
            </w:pPr>
            <w:r>
              <w:rPr/>
              <w:t> </w:t>
            </w:r>
          </w:p>
        </w:tc>
      </w:tr>
      <w:tr>
        <w:trPr/>
        <w:tc>
          <w:tcPr>
            <w:tcW w:w="44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855"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411" w:type="dxa"/>
            <w:tcBorders/>
            <w:shd w:fill="auto" w:val="clear"/>
            <w:vAlign w:val="center"/>
          </w:tcPr>
          <w:p>
            <w:pPr>
              <w:pStyle w:val="TableContents"/>
              <w:spacing w:before="0" w:after="0"/>
              <w:ind w:left="0" w:right="0" w:hanging="0"/>
              <w:jc w:val="center"/>
              <w:rPr/>
            </w:pPr>
            <w:r>
              <w:rPr/>
              <w:t> </w:t>
            </w:r>
          </w:p>
        </w:tc>
      </w:tr>
      <w:tr>
        <w:trPr/>
        <w:tc>
          <w:tcPr>
            <w:tcW w:w="4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(1,286.9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(1,143.6</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(51.8</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617.5</w:t>
            </w:r>
          </w:p>
        </w:tc>
        <w:tc>
          <w:tcPr>
            <w:tcW w:w="411" w:type="dxa"/>
            <w:tcBorders/>
            <w:shd w:fill="auto" w:val="clear"/>
            <w:vAlign w:val="center"/>
          </w:tcPr>
          <w:p>
            <w:pPr>
              <w:pStyle w:val="TableContents"/>
              <w:spacing w:before="0" w:after="0"/>
              <w:ind w:left="0" w:right="0" w:hanging="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(588.1</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Adjustments:</w:t>
            </w:r>
          </w:p>
        </w:tc>
        <w:tc>
          <w:tcPr>
            <w:tcW w:w="146" w:type="dxa"/>
            <w:tcBorders/>
            <w:shd w:fill="auto" w:val="clear"/>
            <w:vAlign w:val="center"/>
          </w:tcPr>
          <w:p>
            <w:pPr>
              <w:pStyle w:val="TableContents"/>
              <w:spacing w:before="0" w:after="0"/>
              <w:ind w:left="10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Amortization of purchased intangible assets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528.7</w:t>
            </w:r>
          </w:p>
        </w:tc>
        <w:tc>
          <w:tcPr>
            <w:tcW w:w="41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Restructuring costs (credits), net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w:t>
            </w:r>
          </w:p>
        </w:tc>
        <w:tc>
          <w:tcPr>
            <w:tcW w:w="41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41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Asset impairments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1,119.6</w:t>
            </w:r>
          </w:p>
        </w:tc>
        <w:tc>
          <w:tcPr>
            <w:tcW w:w="41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 w:hAnsi="Times New Roman"/>
                <w:sz w:val="20"/>
              </w:rPr>
            </w:pPr>
            <w:r>
              <w:rPr>
                <w:rFonts w:ascii="Times New Roman;serif" w:hAnsi="Times New Roman;serif"/>
                <w:b w:val="false"/>
                <w:sz w:val="20"/>
              </w:rPr>
              <w:t xml:space="preserve">Transaction, transformation and integration costs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w:t>
            </w:r>
          </w:p>
        </w:tc>
        <w:tc>
          <w:tcPr>
            <w:tcW w:w="41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 w:hAnsi="Times New Roman"/>
                <w:sz w:val="20"/>
              </w:rPr>
            </w:pPr>
            <w:r>
              <w:rPr>
                <w:rFonts w:ascii="Times New Roman;serif" w:hAnsi="Times New Roman;serif"/>
                <w:b w:val="false"/>
                <w:sz w:val="20"/>
              </w:rPr>
              <w:t xml:space="preserve">Acquisition accounting adjustments </w:t>
            </w:r>
            <w:r>
              <w:rPr>
                <w:rFonts w:ascii="Times New Roman;serif" w:hAnsi="Times New Roman;serif"/>
                <w:b w:val="false"/>
                <w:sz w:val="12"/>
              </w:rPr>
              <w:t>(2)</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41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Patent claims and litigation settlements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411" w:type="dxa"/>
            <w:tcBorders/>
            <w:shd w:fill="auto" w:val="clear"/>
            <w:vAlign w:val="center"/>
          </w:tcPr>
          <w:p>
            <w:pPr>
              <w:pStyle w:val="TableContents"/>
              <w:spacing w:before="0" w:after="0"/>
              <w:ind w:left="0" w:right="0" w:firstLine="200"/>
              <w:jc w:val="left"/>
              <w:rPr/>
            </w:pPr>
            <w:r>
              <w:rPr/>
              <w:t> </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Reserve (recovery) of Russian accounts receivable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40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adjusted EBITDA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1,335.4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60" w:after="0"/>
        <w:jc w:val="left"/>
        <w:rPr>
          <w:rFonts w:ascii="Times New Roman" w:hAnsi="Times New Roman"/>
          <w:b w:val="false"/>
          <w:sz w:val="20"/>
        </w:rPr>
      </w:pPr>
      <w:r>
        <w:rPr>
          <w:rFonts w:ascii="Times New Roman" w:hAnsi="Times New Roman"/>
          <w:b w:val="false"/>
          <w:sz w:val="20"/>
        </w:rPr>
        <w:t>(1)</w:t>
      </w:r>
    </w:p>
    <w:p>
      <w:pPr>
        <w:pStyle w:val="TextBody"/>
        <w:spacing w:before="60" w:after="0"/>
        <w:jc w:val="left"/>
        <w:rPr>
          <w:rFonts w:ascii="Times New Roman;serif" w:hAnsi="Times New Roman;serif"/>
          <w:b w:val="false"/>
          <w:sz w:val="18"/>
        </w:rPr>
      </w:pPr>
      <w:r>
        <w:rPr>
          <w:rFonts w:ascii="Times New Roman;serif" w:hAnsi="Times New Roman;serif"/>
          <w:b w:val="false"/>
          <w:sz w:val="18"/>
        </w:rPr>
        <w:t>In 2023, primarily reflects transaction costs related to certain CommScope NEXT initiatives. In 2022, primarily reflects transformation costs related to CommScope NEXT and integration costs related to the ARRIS acquisition.</w:t>
      </w:r>
    </w:p>
    <w:p>
      <w:pPr>
        <w:pStyle w:val="TextBody"/>
        <w:spacing w:before="60" w:after="0"/>
        <w:jc w:val="left"/>
        <w:rPr>
          <w:rFonts w:ascii="Times New Roman" w:hAnsi="Times New Roman"/>
          <w:b w:val="false"/>
          <w:sz w:val="20"/>
        </w:rPr>
      </w:pPr>
      <w:r>
        <w:rPr>
          <w:rFonts w:ascii="Times New Roman" w:hAnsi="Times New Roman"/>
          <w:b w:val="false"/>
          <w:sz w:val="20"/>
        </w:rPr>
        <w:t>(2)</w:t>
      </w:r>
    </w:p>
    <w:p>
      <w:pPr>
        <w:pStyle w:val="TextBody"/>
        <w:spacing w:before="60" w:after="283"/>
        <w:jc w:val="left"/>
        <w:rPr>
          <w:rFonts w:ascii="Times New Roman;serif" w:hAnsi="Times New Roman;serif"/>
          <w:b w:val="false"/>
          <w:sz w:val="18"/>
        </w:rPr>
      </w:pPr>
      <w:r>
        <w:rPr>
          <w:rFonts w:ascii="Times New Roman;serif" w:hAnsi="Times New Roman;serif"/>
          <w:b w:val="false"/>
          <w:sz w:val="18"/>
        </w:rPr>
        <w:t>In 2023 and 2022, reflects ARRIS acquisition accounting adjustments related to reducing deferred revenue to its estimated fair value.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120"/>
        <w:jc w:val="left"/>
        <w:rPr>
          <w:rFonts w:ascii="Times New Roman;serif" w:hAnsi="Times New Roman;serif"/>
          <w:b/>
          <w:sz w:val="20"/>
        </w:rPr>
      </w:pPr>
      <w:r>
        <w:rPr>
          <w:rFonts w:ascii="Times New Roman;serif" w:hAnsi="Times New Roman;serif"/>
          <w:b/>
          <w:sz w:val="20"/>
        </w:rPr>
        <w:t>Reconciliation of Segment Adjusted EBITDA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Segment adjusted EBITDA is provided as a performance measure in Note 7 in the Notes to Unaudited Condensed Consolidated Financial Statements included herein. Below we reconcile segment adjusted EBITDA for each segment individually to operating income (loss) for that segment to supplement the reconciliation of the total segment adjusted EBITDA to consolidated operating income (loss) in that footnote.</w:t>
      </w:r>
    </w:p>
    <w:p>
      <w:pPr>
        <w:pStyle w:val="TextBody"/>
        <w:spacing w:before="360" w:after="200"/>
        <w:jc w:val="left"/>
        <w:rPr>
          <w:rFonts w:ascii="Times New Roman;serif" w:hAnsi="Times New Roman;serif"/>
          <w:b/>
          <w:i/>
          <w:sz w:val="20"/>
        </w:rPr>
      </w:pPr>
      <w:r>
        <w:rPr>
          <w:rFonts w:ascii="Times New Roman;serif" w:hAnsi="Times New Roman;serif"/>
          <w:b/>
          <w:i/>
          <w:sz w:val="20"/>
        </w:rPr>
        <w:t>Connectivity and Cable Solutions Segment</w:t>
      </w:r>
    </w:p>
    <w:tbl>
      <w:tblPr>
        <w:tblW w:w="6504" w:type="dxa"/>
        <w:jc w:val="left"/>
        <w:tblInd w:w="0" w:type="dxa"/>
        <w:tblCellMar>
          <w:top w:w="28" w:type="dxa"/>
          <w:left w:w="28" w:type="dxa"/>
          <w:bottom w:w="28" w:type="dxa"/>
          <w:right w:w="28" w:type="dxa"/>
        </w:tblCellMar>
      </w:tblPr>
      <w:tblGrid>
        <w:gridCol w:w="4196"/>
        <w:gridCol w:w="146"/>
        <w:gridCol w:w="211"/>
        <w:gridCol w:w="571"/>
        <w:gridCol w:w="166"/>
        <w:gridCol w:w="146"/>
        <w:gridCol w:w="211"/>
        <w:gridCol w:w="466"/>
        <w:gridCol w:w="391"/>
      </w:tblGrid>
      <w:tr>
        <w:trPr/>
        <w:tc>
          <w:tcPr>
            <w:tcW w:w="4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7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7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91" w:type="dxa"/>
            <w:tcBorders/>
            <w:shd w:fill="auto" w:val="cle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391" w:type="dxa"/>
            <w:tcBorders/>
            <w:shd w:fill="auto" w:val="clear"/>
            <w:vAlign w:val="center"/>
          </w:tcPr>
          <w:p>
            <w:pPr>
              <w:pStyle w:val="TableContents"/>
              <w:spacing w:before="0" w:after="0"/>
              <w:ind w:left="0" w:right="0" w:hanging="0"/>
              <w:jc w:val="left"/>
              <w:rPr/>
            </w:pPr>
            <w:r>
              <w:rPr/>
              <w:t> </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Amortization of purchased intangible assets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Restructuring costs (credits), net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transformation and integration costs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Patent claims and litigation settlements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Reserve of Russian accounts receivable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200"/>
        <w:jc w:val="left"/>
        <w:rPr>
          <w:rFonts w:ascii="Times New Roman;serif" w:hAnsi="Times New Roman;serif"/>
          <w:b/>
          <w:i/>
          <w:sz w:val="20"/>
        </w:rPr>
      </w:pPr>
      <w:r>
        <w:rPr>
          <w:rFonts w:ascii="Times New Roman;serif" w:hAnsi="Times New Roman;serif"/>
          <w:b/>
          <w:i/>
          <w:sz w:val="20"/>
        </w:rPr>
        <w:t>Outdoor Wireless Networks Segment</w:t>
      </w:r>
    </w:p>
    <w:tbl>
      <w:tblPr>
        <w:tblW w:w="6381" w:type="dxa"/>
        <w:jc w:val="left"/>
        <w:tblInd w:w="0" w:type="dxa"/>
        <w:tblCellMar>
          <w:top w:w="28" w:type="dxa"/>
          <w:left w:w="28" w:type="dxa"/>
          <w:bottom w:w="28" w:type="dxa"/>
          <w:right w:w="28" w:type="dxa"/>
        </w:tblCellMar>
      </w:tblPr>
      <w:tblGrid>
        <w:gridCol w:w="4196"/>
        <w:gridCol w:w="146"/>
        <w:gridCol w:w="211"/>
        <w:gridCol w:w="467"/>
        <w:gridCol w:w="146"/>
        <w:gridCol w:w="146"/>
        <w:gridCol w:w="211"/>
        <w:gridCol w:w="467"/>
        <w:gridCol w:w="391"/>
      </w:tblGrid>
      <w:tr>
        <w:trPr/>
        <w:tc>
          <w:tcPr>
            <w:tcW w:w="4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4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4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91" w:type="dxa"/>
            <w:tcBorders/>
            <w:shd w:fill="auto" w:val="cle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52.9</w:t>
            </w:r>
          </w:p>
        </w:tc>
        <w:tc>
          <w:tcPr>
            <w:tcW w:w="391" w:type="dxa"/>
            <w:tcBorders/>
            <w:shd w:fill="auto" w:val="clear"/>
            <w:vAlign w:val="center"/>
          </w:tcPr>
          <w:p>
            <w:pPr>
              <w:pStyle w:val="TableContents"/>
              <w:spacing w:before="0" w:after="0"/>
              <w:ind w:left="0" w:right="0" w:hanging="0"/>
              <w:jc w:val="left"/>
              <w:rPr/>
            </w:pPr>
            <w:r>
              <w:rPr/>
              <w:t> </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w:t>
            </w:r>
          </w:p>
        </w:tc>
        <w:tc>
          <w:tcPr>
            <w:tcW w:w="146" w:type="dxa"/>
            <w:tcBorders/>
            <w:shd w:fill="auto" w:val="clear"/>
            <w:vAlign w:val="center"/>
          </w:tcPr>
          <w:p>
            <w:pPr>
              <w:pStyle w:val="TableContents"/>
              <w:spacing w:before="0" w:after="0"/>
              <w:ind w:left="0" w:right="0" w:hanging="0"/>
              <w:jc w:val="left"/>
              <w:rPr/>
            </w:pPr>
            <w:r>
              <w:rPr/>
              <w:t> </w:t>
            </w:r>
          </w:p>
        </w:tc>
        <w:tc>
          <w:tcPr>
            <w:tcW w:w="67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8"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Amortization of purchased intangible assets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Restructuring costs, net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transformation and integration costs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Reserve of Russian accounts receivable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200"/>
        <w:jc w:val="left"/>
        <w:rPr>
          <w:rFonts w:ascii="Times New Roman;serif" w:hAnsi="Times New Roman;serif"/>
          <w:b/>
          <w:i/>
          <w:sz w:val="20"/>
        </w:rPr>
      </w:pPr>
      <w:r>
        <w:rPr>
          <w:rFonts w:ascii="Times New Roman;serif" w:hAnsi="Times New Roman;serif"/>
          <w:b/>
          <w:i/>
          <w:sz w:val="20"/>
        </w:rPr>
        <w:t>Networking Intelligent Cellular and Security Solutions Segment</w:t>
      </w:r>
    </w:p>
    <w:tbl>
      <w:tblPr>
        <w:tblW w:w="6439" w:type="dxa"/>
        <w:jc w:val="left"/>
        <w:tblInd w:w="0" w:type="dxa"/>
        <w:tblCellMar>
          <w:top w:w="28" w:type="dxa"/>
          <w:left w:w="28" w:type="dxa"/>
          <w:bottom w:w="28" w:type="dxa"/>
          <w:right w:w="28" w:type="dxa"/>
        </w:tblCellMar>
      </w:tblPr>
      <w:tblGrid>
        <w:gridCol w:w="4196"/>
        <w:gridCol w:w="146"/>
        <w:gridCol w:w="211"/>
        <w:gridCol w:w="466"/>
        <w:gridCol w:w="146"/>
        <w:gridCol w:w="146"/>
        <w:gridCol w:w="211"/>
        <w:gridCol w:w="526"/>
        <w:gridCol w:w="391"/>
      </w:tblGrid>
      <w:tr>
        <w:trPr/>
        <w:tc>
          <w:tcPr>
            <w:tcW w:w="4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91" w:type="dxa"/>
            <w:tcBorders/>
            <w:shd w:fill="auto" w:val="cle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Amortization of purchased intangible assets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Restructuring costs, net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transformation and integration costs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Acquisition accounting adjustments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Reserve of Russian accounts receivable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200"/>
        <w:jc w:val="left"/>
        <w:rPr>
          <w:rFonts w:ascii="Times New Roman;serif" w:hAnsi="Times New Roman;serif"/>
          <w:b/>
          <w:i/>
          <w:sz w:val="20"/>
        </w:rPr>
      </w:pPr>
      <w:r>
        <w:rPr>
          <w:rFonts w:ascii="Times New Roman;serif" w:hAnsi="Times New Roman;serif"/>
          <w:b/>
          <w:i/>
          <w:sz w:val="20"/>
        </w:rPr>
        <w:t>Access Network Solutions Segment</w:t>
      </w:r>
    </w:p>
    <w:tbl>
      <w:tblPr>
        <w:tblW w:w="6459" w:type="dxa"/>
        <w:jc w:val="left"/>
        <w:tblInd w:w="0" w:type="dxa"/>
        <w:tblCellMar>
          <w:top w:w="28" w:type="dxa"/>
          <w:left w:w="28" w:type="dxa"/>
          <w:bottom w:w="28" w:type="dxa"/>
          <w:right w:w="28" w:type="dxa"/>
        </w:tblCellMar>
      </w:tblPr>
      <w:tblGrid>
        <w:gridCol w:w="4196"/>
        <w:gridCol w:w="146"/>
        <w:gridCol w:w="211"/>
        <w:gridCol w:w="526"/>
        <w:gridCol w:w="166"/>
        <w:gridCol w:w="146"/>
        <w:gridCol w:w="211"/>
        <w:gridCol w:w="466"/>
        <w:gridCol w:w="391"/>
      </w:tblGrid>
      <w:tr>
        <w:trPr/>
        <w:tc>
          <w:tcPr>
            <w:tcW w:w="4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91" w:type="dxa"/>
            <w:tcBorders/>
            <w:shd w:fill="auto" w:val="cle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Amortization of purchased intangible assets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Restructuring costs, net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transformation and integration costs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Acquisition accounting adjustments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9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360" w:after="200"/>
        <w:jc w:val="left"/>
        <w:rPr>
          <w:rFonts w:ascii="Times New Roman;serif" w:hAnsi="Times New Roman;serif"/>
          <w:b/>
          <w:i/>
          <w:sz w:val="20"/>
        </w:rPr>
      </w:pPr>
      <w:r>
        <w:rPr>
          <w:rFonts w:ascii="Times New Roman;serif" w:hAnsi="Times New Roman;serif"/>
          <w:b/>
          <w:i/>
          <w:sz w:val="20"/>
        </w:rPr>
        <w:t>Home Networks Segment</w:t>
      </w:r>
    </w:p>
    <w:tbl>
      <w:tblPr>
        <w:tblW w:w="6539" w:type="dxa"/>
        <w:jc w:val="left"/>
        <w:tblInd w:w="0" w:type="dxa"/>
        <w:tblCellMar>
          <w:top w:w="28" w:type="dxa"/>
          <w:left w:w="28" w:type="dxa"/>
          <w:bottom w:w="28" w:type="dxa"/>
          <w:right w:w="28" w:type="dxa"/>
        </w:tblCellMar>
      </w:tblPr>
      <w:tblGrid>
        <w:gridCol w:w="4196"/>
        <w:gridCol w:w="146"/>
        <w:gridCol w:w="211"/>
        <w:gridCol w:w="526"/>
        <w:gridCol w:w="166"/>
        <w:gridCol w:w="146"/>
        <w:gridCol w:w="211"/>
        <w:gridCol w:w="526"/>
        <w:gridCol w:w="411"/>
      </w:tblGrid>
      <w:tr>
        <w:trPr/>
        <w:tc>
          <w:tcPr>
            <w:tcW w:w="4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8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411" w:type="dxa"/>
            <w:tcBorders/>
            <w:shd w:fill="auto" w:val="cle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Amortization of purchased intangible assets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41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Restructuring costs, net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41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41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transformation and integration costs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41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Acquisition accounting adjustments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411" w:type="dxa"/>
            <w:tcBorders/>
            <w:shd w:fill="auto" w:val="clear"/>
            <w:vAlign w:val="center"/>
          </w:tcPr>
          <w:p>
            <w:pPr>
              <w:pStyle w:val="TableContents"/>
              <w:spacing w:before="0" w:after="0"/>
              <w:ind w:left="0" w:right="0" w:firstLine="200"/>
              <w:jc w:val="left"/>
              <w:rPr/>
            </w:pPr>
            <w:r>
              <w:rPr/>
              <w:t> </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Patent claims and litigation settlements</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Note: Components may not sum to total due to rounding.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2" w:name="forwardlooking_statements"/>
      <w:bookmarkEnd w:id="12"/>
      <w:r>
        <w:rPr>
          <w:rFonts w:ascii="Times New Roman;serif" w:hAnsi="Times New Roman;serif"/>
          <w:b/>
          <w:sz w:val="20"/>
        </w:rPr>
        <w:t>FORWARD-LOOKING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Quarterly Report on Form 10-Q or any other oral or written statements made by us or on our behalf may include forward-looking statements that reflect our current views with respect to future events and financial performance. These statements may discuss goals, targets, intentions or expectations as to future plans, trends, events, results of operations or financial condition or otherwise, in each case, based on current beliefs and expectations of management, as well as assumptions made by, and information currently available to, management.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These forward-looking statements are subject to various risks and uncertainties, many of which are outside our control, including, without limitation,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and channel partners;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raw materials, components and commodities and the potential effect on customer pricing and timing of delivery of products to customers; risks related to our ability to implement price increases on our products and services; risks associated with our dependence on a limited number of key suppliers for certain raw materials and components; risks related to the successful execution of CommScope NEXT; potential difficulties in realigning global manufacturing capacity and capabilities among our global manufacturing facilities or those of our contract manufacturers that may affect our ability to meet customer demands for products; possible future restructuring actions; the risk that our manufacturing operations, including our contract manufacturers on which we rely, encounter capacity, production, quality, financial or other difficulties causing difficulty in meeting customer demands; substantial indebtedness and restrictive debt covenants; our ability to incur additional indebtedness and increases in interest rates; our ability to generate cash to service our indebtedness; the potential separation, divestiture or discontinuance of a business or product line, including uncertainty regarding the timing of the separation, achievement of the expected benefits and the potential disruption to the business; our ability to integrate and fully realize anticipated benefits from prior or future divestitures, acquisitions or equity investments; possible future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and other risks, including the impact of wars, regional conflicts and terrorism; our ability to comply with governmental anti-corruption laws and regulations worldwide; the impact of export and import controls and sanctions worldwide on our supply chain and ability to compete in international markets; changes in the laws and policies in the United States affecting trade, including the risk and uncertainty related to tariffs or potential trade wars and potential changes to laws and policies, that may impact our products; cost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 These and other factors are discussed in greater detail in our 2022 Annual Report on Form 10-K and may be updated from time to time in our annual reports, quarterly reports, current reports and other filings we make with the Securities and Exchange Commission. Although the information contained in this Quarterly Report on Form 10-Q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report, except as otherwise may be required by law.</w:t>
      </w:r>
    </w:p>
    <w:p>
      <w:pPr>
        <w:pStyle w:val="TextBody"/>
        <w:spacing w:before="360" w:after="0"/>
        <w:jc w:val="left"/>
        <w:rPr>
          <w:rFonts w:ascii="Times New Roman;serif" w:hAnsi="Times New Roman;serif"/>
          <w:b/>
          <w:sz w:val="20"/>
        </w:rPr>
      </w:pPr>
      <w:bookmarkStart w:id="13" w:name="item_3_quantitative_qualitative_disclosu"/>
      <w:bookmarkEnd w:id="13"/>
      <w:r>
        <w:rPr>
          <w:rFonts w:ascii="Times New Roman;serif" w:hAnsi="Times New Roman;serif"/>
          <w:b/>
          <w:sz w:val="20"/>
        </w:rPr>
        <w:t>ITEM 3. QUANTITATIVE AND QUALITATIVE DISCLOSURES ABOUT MARKET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have been no material changes in the interest rate risk, commodity price risk or foreign currency exchange rate risk information previously reported under Item 7A of our 2022 Annual Report, as filed with the SEC on February 23,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4" w:name="item_4_controls_procedures_to_be_updated"/>
      <w:bookmarkEnd w:id="14"/>
      <w:r>
        <w:rPr>
          <w:rFonts w:ascii="Times New Roman;serif" w:hAnsi="Times New Roman;serif"/>
          <w:b/>
          <w:sz w:val="20"/>
        </w:rPr>
        <w:t>ITEM 4. CONTROLS AND PROCEDURES</w:t>
      </w:r>
    </w:p>
    <w:p>
      <w:pPr>
        <w:pStyle w:val="TextBody"/>
        <w:spacing w:before="120" w:after="0"/>
        <w:jc w:val="left"/>
        <w:rPr>
          <w:rFonts w:ascii="Times New Roman;serif" w:hAnsi="Times New Roman;serif"/>
          <w:b/>
          <w:sz w:val="20"/>
        </w:rPr>
      </w:pPr>
      <w:r>
        <w:rPr>
          <w:rFonts w:ascii="Times New Roman;serif" w:hAnsi="Times New Roman;serif"/>
          <w:b/>
          <w:sz w:val="20"/>
        </w:rPr>
        <w:t>Disclosure Controls and Procedures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management,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our Chief Executive Officer and Chief Financial Officer have concluded that these disclosure controls and procedures are effective.</w:t>
      </w:r>
    </w:p>
    <w:p>
      <w:pPr>
        <w:pStyle w:val="TextBody"/>
        <w:spacing w:before="36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Reference should be made to our 2022 Annual Report for additional information regarding discussion of the effectiveness of the Company’s controls and procedures. There have been no changes in our internal control over financial reporting during the quarter ended March 31, 2023 that have materially affected, or are reasonably likely to materially affect, our internal control over financial reporting.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0"/>
        <w:jc w:val="center"/>
        <w:rPr>
          <w:rFonts w:ascii="Times New Roman" w:hAnsi="Times New Roman"/>
          <w:sz w:val="20"/>
        </w:rPr>
      </w:pPr>
      <w:bookmarkStart w:id="15" w:name="part_iior_information"/>
      <w:bookmarkEnd w:id="15"/>
      <w:r>
        <w:rPr>
          <w:rFonts w:ascii="Times New Roman;serif" w:hAnsi="Times New Roman;serif"/>
          <w:b/>
          <w:sz w:val="20"/>
        </w:rPr>
        <w:t>PART II – OTHER</w:t>
      </w:r>
      <w:r>
        <w:rPr>
          <w:rFonts w:ascii="Times New Roman" w:hAnsi="Times New Roman"/>
          <w:sz w:val="20"/>
        </w:rPr>
        <w:t xml:space="preserve"> </w:t>
      </w:r>
      <w:r>
        <w:rPr>
          <w:rFonts w:ascii="Times New Roman;serif" w:hAnsi="Times New Roman;serif"/>
          <w:b/>
          <w:sz w:val="20"/>
        </w:rPr>
        <w:t>INFORMATION</w:t>
      </w:r>
    </w:p>
    <w:p>
      <w:pPr>
        <w:pStyle w:val="TextBody"/>
        <w:spacing w:before="120" w:after="0"/>
        <w:jc w:val="left"/>
        <w:rPr>
          <w:rFonts w:ascii="Times New Roman;serif" w:hAnsi="Times New Roman;serif"/>
          <w:b/>
          <w:sz w:val="20"/>
        </w:rPr>
      </w:pPr>
      <w:bookmarkStart w:id="16" w:name="item_1_legal_proceedings"/>
      <w:bookmarkEnd w:id="16"/>
      <w:r>
        <w:rPr>
          <w:rFonts w:ascii="Times New Roman;serif" w:hAnsi="Times New Roman;serif"/>
          <w:b/>
          <w:sz w:val="20"/>
        </w:rPr>
        <w:t>ITEM 1. LEGAL PROCEEDINGS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is a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defend and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is also either a plaintiff or a defendant in certain other pending legal matters in the normal course of business. Management believes that, upon final disposition, none of these other pending legal matters will have a material adverse effect on the Company’s business or financial condition.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pStyle w:val="TextBody"/>
        <w:spacing w:before="360" w:after="0"/>
        <w:jc w:val="left"/>
        <w:rPr>
          <w:rFonts w:ascii="Times New Roman;serif" w:hAnsi="Times New Roman;serif"/>
          <w:b/>
          <w:sz w:val="20"/>
        </w:rPr>
      </w:pPr>
      <w:bookmarkStart w:id="17" w:name="item_1a_risk_factors"/>
      <w:bookmarkEnd w:id="17"/>
      <w:r>
        <w:rPr>
          <w:rFonts w:ascii="Times New Roman;serif" w:hAnsi="Times New Roman;serif"/>
          <w:b/>
          <w:sz w:val="20"/>
        </w:rPr>
        <w:t>ITEM 1A. RISK FACTORS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business, financial condition, results of operations and cash flows are subject to various risks which could cause actual results to vary from recent results or from anticipated future results. There have been no material changes to our risk factors disclosed in Part I, Item 1A, "Risk Factors" of our 2022 Annual Report.</w:t>
      </w:r>
    </w:p>
    <w:p>
      <w:pPr>
        <w:pStyle w:val="TextBody"/>
        <w:spacing w:before="360" w:after="0"/>
        <w:jc w:val="left"/>
        <w:rPr>
          <w:rFonts w:ascii="Times New Roman;serif" w:hAnsi="Times New Roman;serif"/>
          <w:b/>
          <w:sz w:val="20"/>
        </w:rPr>
      </w:pPr>
      <w:bookmarkStart w:id="18" w:name="item_2_unregistered_sales_equity_securit"/>
      <w:bookmarkEnd w:id="18"/>
      <w:r>
        <w:rPr>
          <w:rFonts w:ascii="Times New Roman;serif" w:hAnsi="Times New Roman;serif"/>
          <w:b/>
          <w:sz w:val="20"/>
        </w:rPr>
        <w:t>ITEM 2. UNREGISTERED SALES OF EQUITY SECURITIES AND USE OF PROCEEDS</w:t>
      </w:r>
    </w:p>
    <w:p>
      <w:pPr>
        <w:pStyle w:val="TextBody"/>
        <w:spacing w:before="120" w:after="120"/>
        <w:jc w:val="left"/>
        <w:rPr>
          <w:rFonts w:ascii="Times New Roman;serif" w:hAnsi="Times New Roman;serif"/>
          <w:b/>
          <w:sz w:val="20"/>
        </w:rPr>
      </w:pPr>
      <w:r>
        <w:rPr>
          <w:rFonts w:ascii="Times New Roman;serif" w:hAnsi="Times New Roman;serif"/>
          <w:b/>
          <w:sz w:val="20"/>
        </w:rPr>
        <w:t>Recent Sales of Unregistered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120"/>
        <w:jc w:val="left"/>
        <w:rPr>
          <w:rFonts w:ascii="Times New Roman;serif" w:hAnsi="Times New Roman;serif"/>
          <w:b/>
          <w:sz w:val="20"/>
        </w:rPr>
      </w:pPr>
      <w:r>
        <w:rPr>
          <w:rFonts w:ascii="Times New Roman;serif" w:hAnsi="Times New Roman;serif"/>
          <w:b/>
          <w:sz w:val="20"/>
        </w:rPr>
        <w:t>Issuer Purchases of Equity Securities:</w:t>
      </w:r>
    </w:p>
    <w:p>
      <w:pPr>
        <w:pStyle w:val="TextBody"/>
        <w:spacing w:before="120" w:after="200"/>
        <w:jc w:val="left"/>
        <w:rPr>
          <w:rFonts w:ascii="Times New Roman;serif" w:hAnsi="Times New Roman;serif"/>
          <w:b w:val="false"/>
          <w:sz w:val="20"/>
        </w:rPr>
      </w:pPr>
      <w:r>
        <w:rPr>
          <w:rFonts w:ascii="Times New Roman;serif" w:hAnsi="Times New Roman;serif"/>
          <w:b w:val="false"/>
          <w:sz w:val="20"/>
        </w:rPr>
        <w:t>The following table summarizes the stock purchase activity for the three months ended March 31, 2023:</w:t>
      </w:r>
    </w:p>
    <w:tbl>
      <w:tblPr>
        <w:tblW w:w="10205" w:type="dxa"/>
        <w:jc w:val="left"/>
        <w:tblInd w:w="0" w:type="dxa"/>
        <w:tblCellMar>
          <w:top w:w="28" w:type="dxa"/>
          <w:left w:w="28" w:type="dxa"/>
          <w:bottom w:w="28" w:type="dxa"/>
          <w:right w:w="28" w:type="dxa"/>
        </w:tblCellMar>
      </w:tblPr>
      <w:tblGrid>
        <w:gridCol w:w="1697"/>
        <w:gridCol w:w="146"/>
        <w:gridCol w:w="159"/>
        <w:gridCol w:w="851"/>
        <w:gridCol w:w="146"/>
        <w:gridCol w:w="146"/>
        <w:gridCol w:w="242"/>
        <w:gridCol w:w="539"/>
        <w:gridCol w:w="146"/>
        <w:gridCol w:w="146"/>
        <w:gridCol w:w="817"/>
        <w:gridCol w:w="1945"/>
        <w:gridCol w:w="146"/>
        <w:gridCol w:w="146"/>
        <w:gridCol w:w="1021"/>
        <w:gridCol w:w="1677"/>
        <w:gridCol w:w="235"/>
      </w:tblGrid>
      <w:tr>
        <w:trPr/>
        <w:tc>
          <w:tcPr>
            <w:tcW w:w="16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9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67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1697" w:type="dxa"/>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left"/>
              <w:rPr>
                <w:rFonts w:ascii="Times New Roman;serif" w:hAnsi="Times New Roman;serif"/>
                <w:b/>
                <w:sz w:val="16"/>
              </w:rPr>
            </w:pPr>
            <w:r>
              <w:rPr>
                <w:rFonts w:ascii="Times New Roman;serif" w:hAnsi="Times New Roman;serif"/>
                <w:b/>
                <w:sz w:val="16"/>
              </w:rPr>
              <w:t>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sz w:val="16"/>
              </w:rPr>
              <w:t xml:space="preserve">Total Number </w:t>
              <w:br/>
              <w:t xml:space="preserve">of Shares </w:t>
              <w:br/>
              <w:t>Purchased</w:t>
            </w:r>
            <w:r>
              <w:rPr>
                <w:rFonts w:ascii="Times New Roman" w:hAnsi="Times New Roman"/>
                <w:sz w:val="18"/>
              </w:rPr>
              <w:t xml:space="preserve"> </w:t>
            </w:r>
            <w:r>
              <w:rPr>
                <w:rFonts w:ascii="Times New Roman;serif" w:hAnsi="Times New Roman;serif"/>
                <w:b/>
                <w:sz w:val="12"/>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Average </w:t>
              <w:br/>
              <w:t xml:space="preserve">Price Paid </w:t>
              <w:br/>
              <w:t>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 as Part of Publicly Announced Plans or Programs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Maximum Value of Shares that May Yet be Purchased Under the Plans or Programs</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 2023 - January 31, 2023</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left"/>
              <w:rPr/>
            </w:pPr>
            <w:r>
              <w:rPr/>
              <w:t> </w:t>
            </w:r>
          </w:p>
        </w:tc>
        <w:tc>
          <w:tcPr>
            <w:tcW w:w="194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7"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jc w:val="left"/>
              <w:rPr/>
            </w:pPr>
            <w:r>
              <w:rPr/>
              <w:t> </w:t>
            </w:r>
          </w:p>
        </w:tc>
      </w:tr>
      <w:tr>
        <w:trPr/>
        <w:tc>
          <w:tcPr>
            <w:tcW w:w="16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 2023 - February 28, 2023</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7" w:type="dxa"/>
            <w:tcBorders/>
            <w:shd w:fill="auto" w:val="clear"/>
            <w:vAlign w:val="center"/>
          </w:tcPr>
          <w:p>
            <w:pPr>
              <w:pStyle w:val="TableContents"/>
              <w:spacing w:before="0" w:after="0"/>
              <w:ind w:left="0" w:right="0" w:hanging="0"/>
              <w:jc w:val="left"/>
              <w:rPr/>
            </w:pPr>
            <w:r>
              <w:rPr/>
              <w:t> </w:t>
            </w:r>
          </w:p>
        </w:tc>
        <w:tc>
          <w:tcPr>
            <w:tcW w:w="194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7"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jc w:val="left"/>
              <w:rPr/>
            </w:pPr>
            <w:r>
              <w:rPr/>
              <w:t> </w:t>
            </w:r>
          </w:p>
        </w:tc>
      </w:tr>
      <w:tr>
        <w:trPr/>
        <w:tc>
          <w:tcPr>
            <w:tcW w:w="16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1, 2023 - March 31, 2023</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661,354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7" w:type="dxa"/>
            <w:tcBorders/>
            <w:shd w:fill="auto" w:val="clear"/>
            <w:vAlign w:val="center"/>
          </w:tcPr>
          <w:p>
            <w:pPr>
              <w:pStyle w:val="TableContents"/>
              <w:spacing w:before="0" w:after="0"/>
              <w:ind w:left="0" w:right="0" w:hanging="0"/>
              <w:jc w:val="right"/>
              <w:rPr/>
            </w:pPr>
            <w:r>
              <w:rPr/>
              <w:t>—</w:t>
            </w:r>
          </w:p>
        </w:tc>
        <w:tc>
          <w:tcPr>
            <w:tcW w:w="235" w:type="dxa"/>
            <w:tcBorders/>
            <w:shd w:fill="auto" w:val="clear"/>
            <w:vAlign w:val="center"/>
          </w:tcPr>
          <w:p>
            <w:pPr>
              <w:pStyle w:val="TableContents"/>
              <w:spacing w:before="0" w:after="0"/>
              <w:ind w:left="0" w:right="0" w:hanging="0"/>
              <w:jc w:val="left"/>
              <w:rPr/>
            </w:pPr>
            <w:r>
              <w:rPr/>
              <w:t> </w:t>
            </w:r>
          </w:p>
        </w:tc>
      </w:tr>
      <w:tr>
        <w:trPr/>
        <w:tc>
          <w:tcPr>
            <w:tcW w:w="16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700,666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8" w:type="dxa"/>
            <w:gridSpan w:val="2"/>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right"/>
              <w:rPr/>
            </w:pPr>
            <w:r>
              <w:rPr/>
              <w:t> </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(1) The shares purchased were withheld to satisfy the withholding tax obligations related to restricted stock units and performance share units that vested during the period.</w:t>
      </w:r>
    </w:p>
    <w:p>
      <w:pPr>
        <w:pStyle w:val="TextBody"/>
        <w:spacing w:before="200" w:after="0"/>
        <w:jc w:val="left"/>
        <w:rPr>
          <w:rFonts w:ascii="Times New Roman;serif" w:hAnsi="Times New Roman;serif"/>
          <w:b/>
          <w:sz w:val="20"/>
        </w:rPr>
      </w:pPr>
      <w:bookmarkStart w:id="19" w:name="item_3_defaults_upon_senior_securities"/>
      <w:bookmarkEnd w:id="19"/>
      <w:r>
        <w:rPr>
          <w:rFonts w:ascii="Times New Roman;serif" w:hAnsi="Times New Roman;serif"/>
          <w:b/>
          <w:sz w:val="20"/>
        </w:rPr>
        <w:t>ITEM 3. DEFAULTS UPON 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00" w:after="0"/>
        <w:jc w:val="left"/>
        <w:rPr>
          <w:rFonts w:ascii="Times New Roman;serif" w:hAnsi="Times New Roman;serif"/>
          <w:b/>
          <w:sz w:val="20"/>
        </w:rPr>
      </w:pPr>
      <w:bookmarkStart w:id="20" w:name="item_4_mine_safety_disclosures"/>
      <w:bookmarkEnd w:id="20"/>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00" w:after="0"/>
        <w:jc w:val="left"/>
        <w:rPr>
          <w:rFonts w:ascii="Times New Roman;serif" w:hAnsi="Times New Roman;serif"/>
          <w:b/>
          <w:sz w:val="20"/>
        </w:rPr>
      </w:pPr>
      <w:bookmarkStart w:id="21" w:name="item_5_or_information"/>
      <w:bookmarkEnd w:id="21"/>
      <w:r>
        <w:rPr>
          <w:rFonts w:ascii="Times New Roman;serif" w:hAnsi="Times New Roman;serif"/>
          <w:b/>
          <w:sz w:val="20"/>
        </w:rPr>
        <w:t>ITEM 5. OTHER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22" w:name="item_6_exhibits"/>
      <w:bookmarkEnd w:id="22"/>
      <w:r>
        <w:rPr>
          <w:rFonts w:ascii="Times New Roman;serif" w:hAnsi="Times New Roman;serif"/>
          <w:b/>
          <w:sz w:val="20"/>
        </w:rPr>
        <w:t>ITEM 6. EXHIBITS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645"/>
        <w:gridCol w:w="9560"/>
      </w:tblGrid>
      <w:tr>
        <w:trPr/>
        <w:tc>
          <w:tcPr>
            <w:tcW w:w="645" w:type="dxa"/>
            <w:tcBorders/>
            <w:shd w:fill="auto" w:val="clear"/>
            <w:vAlign w:val="center"/>
          </w:tcPr>
          <w:p>
            <w:pPr>
              <w:pStyle w:val="TableContents"/>
              <w:spacing w:before="0" w:after="283"/>
              <w:rPr>
                <w:sz w:val="4"/>
                <w:szCs w:val="4"/>
              </w:rPr>
            </w:pPr>
            <w:r>
              <w:rPr>
                <w:sz w:val="4"/>
                <w:szCs w:val="4"/>
              </w:rPr>
            </w:r>
          </w:p>
        </w:tc>
        <w:tc>
          <w:tcPr>
            <w:tcW w:w="9560" w:type="dxa"/>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9560" w:type="dxa"/>
            <w:tcBorders/>
            <w:shd w:fill="auto" w:val="clear"/>
            <w:vAlign w:val="center"/>
          </w:tcPr>
          <w:p>
            <w:pPr>
              <w:pStyle w:val="TableContents"/>
              <w:spacing w:before="120" w:after="0"/>
              <w:ind w:left="0" w:right="0" w:hanging="0"/>
              <w:jc w:val="left"/>
              <w:rPr/>
            </w:pPr>
            <w:hyperlink r:id="rId2">
              <w:r>
                <w:rPr>
                  <w:rStyle w:val="InternetLink"/>
                  <w:rFonts w:ascii="Times New Roman;serif" w:hAnsi="Times New Roman;serif"/>
                  <w:b w:val="false"/>
                  <w:sz w:val="20"/>
                  <w:u w:val="single"/>
                </w:rPr>
                <w:t>Amended and Restated Certificate of Incorporation of CommScope Holding Company, Inc. (Incorporated by reference to Exhibit 3.1 of the Registrant’s Form 10-Q (File No. 001-36146), filed with the SEC on November 7, 2013).</w:t>
              </w:r>
            </w:hyperlink>
          </w:p>
        </w:tc>
      </w:tr>
      <w:tr>
        <w:trPr/>
        <w:tc>
          <w:tcPr>
            <w:tcW w:w="6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9560" w:type="dxa"/>
            <w:tcBorders/>
            <w:shd w:fill="auto" w:val="clear"/>
            <w:vAlign w:val="center"/>
          </w:tcPr>
          <w:p>
            <w:pPr>
              <w:pStyle w:val="TableContents"/>
              <w:spacing w:before="120" w:after="0"/>
              <w:ind w:left="0" w:right="0" w:hanging="0"/>
              <w:jc w:val="left"/>
              <w:rPr/>
            </w:pPr>
            <w:hyperlink r:id="rId3">
              <w:r>
                <w:rPr>
                  <w:rStyle w:val="InternetLink"/>
                  <w:rFonts w:ascii="Times New Roman;serif" w:hAnsi="Times New Roman;serif"/>
                  <w:b w:val="false"/>
                  <w:sz w:val="20"/>
                  <w:u w:val="single"/>
                </w:rPr>
                <w:t>Certificate of Amendment of Amended and Restated Certificate of Incorporation of CommScope Holding Company, Inc. (Incorporated by reference to Exhibit 3.2 of the Registrant’s Registration Statement on Form S-8 (File No. 333-256539), filed with the SEC on May 27, 2021).</w:t>
              </w:r>
            </w:hyperlink>
          </w:p>
        </w:tc>
      </w:tr>
      <w:tr>
        <w:trPr/>
        <w:tc>
          <w:tcPr>
            <w:tcW w:w="645" w:type="dxa"/>
            <w:tcBorders/>
            <w:shd w:fill="auto" w:val="clear"/>
            <w:vAlign w:val="center"/>
          </w:tcPr>
          <w:p>
            <w:pPr>
              <w:pStyle w:val="TableContents"/>
              <w:spacing w:before="10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9560" w:type="dxa"/>
            <w:tcBorders/>
            <w:shd w:fill="auto" w:val="clear"/>
            <w:vAlign w:val="center"/>
          </w:tcPr>
          <w:p>
            <w:pPr>
              <w:pStyle w:val="TableContents"/>
              <w:spacing w:before="120" w:after="0"/>
              <w:ind w:left="0" w:right="0" w:hanging="0"/>
              <w:jc w:val="left"/>
              <w:rPr/>
            </w:pPr>
            <w:hyperlink w:anchor="comm-ex10_1.htm">
              <w:r>
                <w:rPr>
                  <w:rStyle w:val="InternetLink"/>
                  <w:rFonts w:ascii="Times New Roman;serif" w:hAnsi="Times New Roman;serif"/>
                  <w:b w:val="false"/>
                  <w:sz w:val="20"/>
                  <w:u w:val="single"/>
                </w:rPr>
                <w:t>CommScope Holding Company, Inc. Annual Incentive Plan, as amended and restated February 21, 2023.</w:t>
              </w:r>
            </w:hyperlink>
            <w:r>
              <w:rPr>
                <w:rFonts w:ascii="Times New Roman" w:hAnsi="Times New Roman"/>
                <w:sz w:val="20"/>
              </w:rPr>
              <w:t xml:space="preserve"> </w:t>
            </w:r>
          </w:p>
        </w:tc>
      </w:tr>
      <w:tr>
        <w:trPr/>
        <w:tc>
          <w:tcPr>
            <w:tcW w:w="645" w:type="dxa"/>
            <w:tcBorders/>
            <w:shd w:fill="auto" w:val="clear"/>
            <w:vAlign w:val="center"/>
          </w:tcPr>
          <w:p>
            <w:pPr>
              <w:pStyle w:val="TableContents"/>
              <w:spacing w:before="100" w:after="0"/>
              <w:ind w:left="0" w:right="0" w:hanging="0"/>
              <w:jc w:val="left"/>
              <w:rPr>
                <w:rFonts w:ascii="Times New Roman;serif" w:hAnsi="Times New Roman;serif"/>
                <w:b w:val="false"/>
                <w:sz w:val="20"/>
              </w:rPr>
            </w:pPr>
            <w:r>
              <w:rPr>
                <w:rFonts w:ascii="Times New Roman;serif" w:hAnsi="Times New Roman;serif"/>
                <w:b w:val="false"/>
                <w:sz w:val="20"/>
              </w:rPr>
              <w:t>31.1 **</w:t>
            </w:r>
          </w:p>
        </w:tc>
        <w:tc>
          <w:tcPr>
            <w:tcW w:w="9560" w:type="dxa"/>
            <w:tcBorders/>
            <w:shd w:fill="auto" w:val="clear"/>
            <w:vAlign w:val="center"/>
          </w:tcPr>
          <w:p>
            <w:pPr>
              <w:pStyle w:val="TableContents"/>
              <w:spacing w:before="100" w:after="0"/>
              <w:ind w:left="0" w:right="0" w:hanging="0"/>
              <w:jc w:val="left"/>
              <w:rPr/>
            </w:pPr>
            <w:hyperlink w:anchor="comm-ex31_1.htm">
              <w:r>
                <w:rPr>
                  <w:rStyle w:val="InternetLink"/>
                  <w:rFonts w:ascii="Times New Roman;serif" w:hAnsi="Times New Roman;serif"/>
                  <w:b w:val="false"/>
                  <w:sz w:val="20"/>
                  <w:u w:val="single"/>
                </w:rPr>
                <w:t>Certification of Principal Executive Officer pursuant to Rule 13a-14(a).</w:t>
              </w:r>
            </w:hyperlink>
          </w:p>
        </w:tc>
      </w:tr>
      <w:tr>
        <w:trPr/>
        <w:tc>
          <w:tcPr>
            <w:tcW w:w="645" w:type="dxa"/>
            <w:tcBorders/>
            <w:shd w:fill="auto" w:val="clear"/>
            <w:vAlign w:val="center"/>
          </w:tcPr>
          <w:p>
            <w:pPr>
              <w:pStyle w:val="TableContents"/>
              <w:spacing w:before="100" w:after="0"/>
              <w:ind w:left="0" w:right="0" w:hanging="0"/>
              <w:jc w:val="left"/>
              <w:rPr>
                <w:rFonts w:ascii="Times New Roman;serif" w:hAnsi="Times New Roman;serif"/>
                <w:b w:val="false"/>
                <w:sz w:val="20"/>
              </w:rPr>
            </w:pPr>
            <w:r>
              <w:rPr>
                <w:rFonts w:ascii="Times New Roman;serif" w:hAnsi="Times New Roman;serif"/>
                <w:b w:val="false"/>
                <w:sz w:val="20"/>
              </w:rPr>
              <w:t>31.2 **</w:t>
            </w:r>
          </w:p>
        </w:tc>
        <w:tc>
          <w:tcPr>
            <w:tcW w:w="9560" w:type="dxa"/>
            <w:tcBorders/>
            <w:shd w:fill="auto" w:val="clear"/>
            <w:vAlign w:val="center"/>
          </w:tcPr>
          <w:p>
            <w:pPr>
              <w:pStyle w:val="TableContents"/>
              <w:spacing w:before="100" w:after="0"/>
              <w:ind w:left="0" w:right="0" w:hanging="0"/>
              <w:jc w:val="left"/>
              <w:rPr/>
            </w:pPr>
            <w:hyperlink w:anchor="comm-ex31_2.htm">
              <w:r>
                <w:rPr>
                  <w:rStyle w:val="InternetLink"/>
                  <w:rFonts w:ascii="Times New Roman;serif" w:hAnsi="Times New Roman;serif"/>
                  <w:b w:val="false"/>
                  <w:sz w:val="20"/>
                  <w:u w:val="single"/>
                </w:rPr>
                <w:t>Certification of Principal Financial Officer pursuant to Rule 13a-14(a).</w:t>
              </w:r>
            </w:hyperlink>
          </w:p>
        </w:tc>
      </w:tr>
      <w:tr>
        <w:trPr/>
        <w:tc>
          <w:tcPr>
            <w:tcW w:w="645" w:type="dxa"/>
            <w:tcBorders/>
            <w:shd w:fill="auto" w:val="clear"/>
            <w:vAlign w:val="center"/>
          </w:tcPr>
          <w:p>
            <w:pPr>
              <w:pStyle w:val="TableContents"/>
              <w:spacing w:before="100" w:after="0"/>
              <w:ind w:left="0" w:right="0" w:hanging="0"/>
              <w:jc w:val="left"/>
              <w:rPr>
                <w:rFonts w:ascii="Times New Roman;serif" w:hAnsi="Times New Roman;serif"/>
                <w:b w:val="false"/>
                <w:sz w:val="20"/>
              </w:rPr>
            </w:pPr>
            <w:r>
              <w:rPr>
                <w:rFonts w:ascii="Times New Roman;serif" w:hAnsi="Times New Roman;serif"/>
                <w:b w:val="false"/>
                <w:sz w:val="20"/>
              </w:rPr>
              <w:t>32.1 **</w:t>
            </w:r>
          </w:p>
        </w:tc>
        <w:tc>
          <w:tcPr>
            <w:tcW w:w="9560" w:type="dxa"/>
            <w:tcBorders/>
            <w:shd w:fill="auto" w:val="clear"/>
            <w:vAlign w:val="center"/>
          </w:tcPr>
          <w:p>
            <w:pPr>
              <w:pStyle w:val="TableContents"/>
              <w:spacing w:before="100" w:after="0"/>
              <w:ind w:left="0" w:right="0" w:hanging="0"/>
              <w:jc w:val="left"/>
              <w:rPr/>
            </w:pPr>
            <w:hyperlink w:anchor="comm-ex32_1.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 (furnished pursuant to Item 601(b)(32)(ii) of Regulation S-K).</w:t>
              </w:r>
            </w:hyperlink>
          </w:p>
        </w:tc>
      </w:tr>
      <w:tr>
        <w:trPr/>
        <w:tc>
          <w:tcPr>
            <w:tcW w:w="645" w:type="dxa"/>
            <w:tcBorders/>
            <w:shd w:fill="auto" w:val="clear"/>
            <w:vAlign w:val="center"/>
          </w:tcPr>
          <w:p>
            <w:pPr>
              <w:pStyle w:val="TableContents"/>
              <w:spacing w:before="10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9560" w:type="dxa"/>
            <w:tcBorders/>
            <w:shd w:fill="auto" w:val="clear"/>
            <w:vAlign w:val="center"/>
          </w:tcPr>
          <w:p>
            <w:pPr>
              <w:pStyle w:val="TableContents"/>
              <w:spacing w:before="100" w:after="0"/>
              <w:ind w:left="0" w:right="605"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645" w:type="dxa"/>
            <w:tcBorders/>
            <w:shd w:fill="auto" w:val="clear"/>
            <w:vAlign w:val="center"/>
          </w:tcPr>
          <w:p>
            <w:pPr>
              <w:pStyle w:val="TableContents"/>
              <w:spacing w:before="10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9560" w:type="dxa"/>
            <w:tcBorders/>
            <w:shd w:fill="auto" w:val="clear"/>
            <w:vAlign w:val="center"/>
          </w:tcPr>
          <w:p>
            <w:pPr>
              <w:pStyle w:val="TableContents"/>
              <w:spacing w:before="100" w:after="0"/>
              <w:ind w:left="0" w:right="605" w:hanging="0"/>
              <w:jc w:val="left"/>
              <w:rPr>
                <w:rFonts w:ascii="Times New Roman;serif" w:hAnsi="Times New Roman;serif"/>
                <w:b w:val="false"/>
                <w:sz w:val="20"/>
              </w:rPr>
            </w:pPr>
            <w:r>
              <w:rPr>
                <w:rFonts w:ascii="Times New Roman;serif" w:hAnsi="Times New Roman;serif"/>
                <w:b w:val="false"/>
                <w:sz w:val="20"/>
              </w:rPr>
              <w:t>Inline XBRL Schema Document, furnished herewith.</w:t>
            </w:r>
          </w:p>
        </w:tc>
      </w:tr>
      <w:tr>
        <w:trPr/>
        <w:tc>
          <w:tcPr>
            <w:tcW w:w="645" w:type="dxa"/>
            <w:tcBorders/>
            <w:shd w:fill="auto" w:val="clear"/>
            <w:vAlign w:val="center"/>
          </w:tcPr>
          <w:p>
            <w:pPr>
              <w:pStyle w:val="TableContents"/>
              <w:spacing w:before="10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9560" w:type="dxa"/>
            <w:tcBorders/>
            <w:shd w:fill="auto" w:val="clear"/>
            <w:vAlign w:val="center"/>
          </w:tcPr>
          <w:p>
            <w:pPr>
              <w:pStyle w:val="TableContents"/>
              <w:spacing w:before="100" w:after="0"/>
              <w:ind w:left="0" w:right="605"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645" w:type="dxa"/>
            <w:tcBorders/>
            <w:shd w:fill="auto" w:val="clear"/>
            <w:vAlign w:val="center"/>
          </w:tcPr>
          <w:p>
            <w:pPr>
              <w:pStyle w:val="TableContents"/>
              <w:spacing w:before="10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9560" w:type="dxa"/>
            <w:tcBorders/>
            <w:shd w:fill="auto" w:val="clear"/>
            <w:vAlign w:val="center"/>
          </w:tcPr>
          <w:p>
            <w:pPr>
              <w:pStyle w:val="TableContents"/>
              <w:spacing w:before="100" w:after="0"/>
              <w:ind w:left="0" w:right="605"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645" w:type="dxa"/>
            <w:tcBorders/>
            <w:shd w:fill="auto" w:val="clear"/>
            <w:vAlign w:val="center"/>
          </w:tcPr>
          <w:p>
            <w:pPr>
              <w:pStyle w:val="TableContents"/>
              <w:spacing w:before="10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9560" w:type="dxa"/>
            <w:tcBorders/>
            <w:shd w:fill="auto" w:val="clear"/>
            <w:vAlign w:val="center"/>
          </w:tcPr>
          <w:p>
            <w:pPr>
              <w:pStyle w:val="TableContents"/>
              <w:spacing w:before="100" w:after="0"/>
              <w:ind w:left="0" w:right="601"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645" w:type="dxa"/>
            <w:tcBorders/>
            <w:shd w:fill="auto" w:val="clear"/>
            <w:vAlign w:val="center"/>
          </w:tcPr>
          <w:p>
            <w:pPr>
              <w:pStyle w:val="TableContents"/>
              <w:spacing w:before="10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9560" w:type="dxa"/>
            <w:tcBorders/>
            <w:shd w:fill="auto" w:val="clear"/>
            <w:vAlign w:val="center"/>
          </w:tcPr>
          <w:p>
            <w:pPr>
              <w:pStyle w:val="TableContents"/>
              <w:spacing w:before="100" w:after="0"/>
              <w:ind w:left="0" w:right="601"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645" w:type="dxa"/>
            <w:tcBorders/>
            <w:shd w:fill="auto" w:val="clear"/>
            <w:vAlign w:val="center"/>
          </w:tcPr>
          <w:p>
            <w:pPr>
              <w:pStyle w:val="TableContents"/>
              <w:spacing w:before="10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9560" w:type="dxa"/>
            <w:tcBorders/>
            <w:shd w:fill="auto" w:val="clear"/>
            <w:vAlign w:val="center"/>
          </w:tcPr>
          <w:p>
            <w:pPr>
              <w:pStyle w:val="TableContents"/>
              <w:spacing w:before="100" w:after="0"/>
              <w:ind w:left="0" w:right="601"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r>
        <w:trPr/>
        <w:tc>
          <w:tcPr>
            <w:tcW w:w="645" w:type="dxa"/>
            <w:tcBorders/>
            <w:shd w:fill="auto" w:val="clear"/>
            <w:vAlign w:val="center"/>
          </w:tcPr>
          <w:p>
            <w:pPr>
              <w:pStyle w:val="TableContents"/>
              <w:spacing w:before="10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560" w:type="dxa"/>
            <w:tcBorders/>
            <w:shd w:fill="auto" w:val="clear"/>
            <w:vAlign w:val="center"/>
          </w:tcPr>
          <w:p>
            <w:pPr>
              <w:pStyle w:val="TableContents"/>
              <w:spacing w:before="100" w:after="0"/>
              <w:ind w:left="0" w:right="601" w:hanging="0"/>
              <w:jc w:val="left"/>
              <w:rPr>
                <w:rFonts w:ascii="Times New Roman;serif" w:hAnsi="Times New Roman;serif"/>
                <w:b w:val="false"/>
                <w:sz w:val="20"/>
              </w:rPr>
            </w:pPr>
            <w:r>
              <w:rPr>
                <w:rFonts w:ascii="Times New Roman;serif" w:hAnsi="Times New Roman;serif"/>
                <w:b w:val="false"/>
                <w:sz w:val="20"/>
              </w:rPr>
              <w:t>Previously filed.</w:t>
            </w:r>
          </w:p>
        </w:tc>
      </w:tr>
      <w:tr>
        <w:trPr/>
        <w:tc>
          <w:tcPr>
            <w:tcW w:w="645" w:type="dxa"/>
            <w:tcBorders/>
            <w:shd w:fill="auto" w:val="clear"/>
            <w:vAlign w:val="center"/>
          </w:tcPr>
          <w:p>
            <w:pPr>
              <w:pStyle w:val="TableContents"/>
              <w:spacing w:before="10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560" w:type="dxa"/>
            <w:tcBorders/>
            <w:shd w:fill="auto" w:val="clear"/>
            <w:vAlign w:val="center"/>
          </w:tcPr>
          <w:p>
            <w:pPr>
              <w:pStyle w:val="TableContents"/>
              <w:spacing w:before="100" w:after="0"/>
              <w:ind w:left="0" w:right="601" w:hanging="0"/>
              <w:jc w:val="left"/>
              <w:rPr>
                <w:rFonts w:ascii="Times New Roman;serif" w:hAnsi="Times New Roman;serif"/>
                <w:b w:val="false"/>
                <w:sz w:val="20"/>
              </w:rPr>
            </w:pPr>
            <w:r>
              <w:rPr>
                <w:rFonts w:ascii="Times New Roman;serif" w:hAnsi="Times New Roman;serif"/>
                <w:b w:val="false"/>
                <w:sz w:val="20"/>
              </w:rPr>
              <w:t>Filed herewith.</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23" w:name="signatures"/>
      <w:bookmarkEnd w:id="23"/>
      <w:r>
        <w:rPr>
          <w:rFonts w:ascii="Times New Roman;serif" w:hAnsi="Times New Roman;serif"/>
          <w:b/>
          <w:sz w:val="20"/>
        </w:rPr>
        <w:t>SIGNATURES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5957" w:type="dxa"/>
        <w:jc w:val="left"/>
        <w:tblInd w:w="0" w:type="dxa"/>
        <w:tblCellMar>
          <w:top w:w="28" w:type="dxa"/>
          <w:left w:w="28" w:type="dxa"/>
          <w:bottom w:w="28" w:type="dxa"/>
          <w:right w:w="28" w:type="dxa"/>
        </w:tblCellMar>
      </w:tblPr>
      <w:tblGrid>
        <w:gridCol w:w="1156"/>
        <w:gridCol w:w="4801"/>
      </w:tblGrid>
      <w:tr>
        <w:trPr/>
        <w:tc>
          <w:tcPr>
            <w:tcW w:w="1156" w:type="dxa"/>
            <w:tcBorders/>
            <w:shd w:fill="auto" w:val="clear"/>
            <w:vAlign w:val="center"/>
          </w:tcPr>
          <w:p>
            <w:pPr>
              <w:pStyle w:val="TableContents"/>
              <w:spacing w:before="0" w:after="283"/>
              <w:rPr>
                <w:sz w:val="4"/>
                <w:szCs w:val="4"/>
              </w:rPr>
            </w:pPr>
            <w:r>
              <w:rPr>
                <w:sz w:val="4"/>
                <w:szCs w:val="4"/>
              </w:rPr>
            </w:r>
          </w:p>
        </w:tc>
        <w:tc>
          <w:tcPr>
            <w:tcW w:w="4801" w:type="dxa"/>
            <w:tcBorders/>
            <w:shd w:fill="auto" w:val="clear"/>
            <w:vAlign w:val="center"/>
          </w:tcPr>
          <w:p>
            <w:pPr>
              <w:pStyle w:val="TableContents"/>
              <w:spacing w:before="0" w:after="283"/>
              <w:rPr>
                <w:sz w:val="4"/>
                <w:szCs w:val="4"/>
              </w:rPr>
            </w:pPr>
            <w:r>
              <w:rPr>
                <w:sz w:val="4"/>
                <w:szCs w:val="4"/>
              </w:rPr>
            </w:r>
          </w:p>
        </w:tc>
      </w:tr>
      <w:tr>
        <w:trPr/>
        <w:tc>
          <w:tcPr>
            <w:tcW w:w="1156" w:type="dxa"/>
            <w:tcBorders/>
            <w:shd w:fill="auto" w:val="clear"/>
            <w:vAlign w:val="center"/>
          </w:tcPr>
          <w:p>
            <w:pPr>
              <w:pStyle w:val="TableContents"/>
              <w:spacing w:before="0" w:after="0"/>
              <w:ind w:left="0" w:right="0" w:hanging="0"/>
              <w:jc w:val="left"/>
              <w:rPr/>
            </w:pPr>
            <w:r>
              <w:rPr/>
              <w:t> </w:t>
            </w:r>
          </w:p>
        </w:tc>
        <w:tc>
          <w:tcPr>
            <w:tcW w:w="4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COMMSCOPE HOLDING COMPANY, INC.</w:t>
            </w:r>
          </w:p>
        </w:tc>
      </w:tr>
      <w:tr>
        <w:trPr/>
        <w:tc>
          <w:tcPr>
            <w:tcW w:w="1156" w:type="dxa"/>
            <w:tcBorders/>
            <w:shd w:fill="auto" w:val="clear"/>
            <w:vAlign w:val="center"/>
          </w:tcPr>
          <w:p>
            <w:pPr>
              <w:pStyle w:val="TableContents"/>
              <w:spacing w:before="0" w:after="0"/>
              <w:ind w:left="0" w:right="0" w:hanging="0"/>
              <w:jc w:val="left"/>
              <w:rPr/>
            </w:pPr>
            <w:r>
              <w:rPr/>
              <w:t> </w:t>
            </w:r>
          </w:p>
        </w:tc>
        <w:tc>
          <w:tcPr>
            <w:tcW w:w="4801" w:type="dxa"/>
            <w:tcBorders/>
            <w:shd w:fill="auto" w:val="clear"/>
            <w:vAlign w:val="center"/>
          </w:tcPr>
          <w:p>
            <w:pPr>
              <w:pStyle w:val="TableContents"/>
              <w:spacing w:before="0" w:after="0"/>
              <w:ind w:left="0" w:right="0" w:hanging="0"/>
              <w:jc w:val="left"/>
              <w:rPr/>
            </w:pPr>
            <w:r>
              <w:rPr/>
              <w:t> </w:t>
            </w:r>
          </w:p>
        </w:tc>
      </w:tr>
      <w:tr>
        <w:trPr/>
        <w:tc>
          <w:tcPr>
            <w:tcW w:w="1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3, 2023</w:t>
            </w:r>
          </w:p>
        </w:tc>
        <w:tc>
          <w:tcPr>
            <w:tcW w:w="4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Kyle D. Lorentzen</w:t>
            </w:r>
          </w:p>
        </w:tc>
      </w:tr>
      <w:tr>
        <w:trPr/>
        <w:tc>
          <w:tcPr>
            <w:tcW w:w="1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4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Kyle D. Lorentzen</w:t>
            </w:r>
          </w:p>
        </w:tc>
      </w:tr>
      <w:tr>
        <w:trPr/>
        <w:tc>
          <w:tcPr>
            <w:tcW w:w="11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80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Executive Vice President and Chief Financial Officer</w:t>
            </w:r>
          </w:p>
        </w:tc>
      </w:tr>
      <w:tr>
        <w:trPr/>
        <w:tc>
          <w:tcPr>
            <w:tcW w:w="11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80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 and duly authorized officer)</w:t>
            </w:r>
          </w:p>
        </w:tc>
      </w:tr>
      <w:tr>
        <w:trPr/>
        <w:tc>
          <w:tcPr>
            <w:tcW w:w="11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801" w:type="dxa"/>
            <w:tcBorders/>
            <w:shd w:fill="auto" w:val="clear"/>
            <w:vAlign w:val="center"/>
          </w:tcPr>
          <w:p>
            <w:pPr>
              <w:pStyle w:val="TableContents"/>
              <w:spacing w:before="0" w:after="0"/>
              <w:ind w:left="0" w:right="0" w:hanging="0"/>
              <w:jc w:val="left"/>
              <w:rPr/>
            </w:pPr>
            <w:r>
              <w:rPr/>
              <w:t> </w:t>
            </w:r>
          </w:p>
        </w:tc>
      </w:tr>
      <w:tr>
        <w:trPr/>
        <w:tc>
          <w:tcPr>
            <w:tcW w:w="11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80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TextBody"/>
        <w:spacing w:before="240" w:after="0"/>
        <w:jc w:val="center"/>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24" w:name="comm-ex10_1.htm"/>
      <w:bookmarkStart w:id="25" w:name="kscommex10_1"/>
      <w:bookmarkEnd w:id="24"/>
      <w:bookmarkEnd w:id="25"/>
      <w:r>
        <w:rPr>
          <w:rFonts w:ascii="Times New Roman;serif" w:hAnsi="Times New Roman;serif"/>
          <w:b/>
          <w:sz w:val="20"/>
        </w:rPr>
        <w:t>Exhibit 10.1</w:t>
      </w:r>
    </w:p>
    <w:p>
      <w:pPr>
        <w:pStyle w:val="TextBody"/>
        <w:spacing w:before="0" w:after="0"/>
        <w:jc w:val="right"/>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left"/>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center"/>
        <w:rPr>
          <w:rFonts w:ascii="Times New Roman;serif" w:hAnsi="Times New Roman;serif"/>
          <w:b/>
          <w:caps/>
          <w:sz w:val="22"/>
        </w:rPr>
      </w:pPr>
      <w:r>
        <w:rPr>
          <w:rFonts w:ascii="Times New Roman;serif" w:hAnsi="Times New Roman;serif"/>
          <w:b/>
          <w:caps/>
          <w:sz w:val="22"/>
        </w:rPr>
        <w:t>commscope holding company, Inc.</w:t>
      </w:r>
    </w:p>
    <w:p>
      <w:pPr>
        <w:pStyle w:val="TextBody"/>
        <w:spacing w:before="0" w:after="0"/>
        <w:jc w:val="center"/>
        <w:rPr>
          <w:rFonts w:ascii="Times New Roman;serif" w:hAnsi="Times New Roman;serif"/>
          <w:b/>
          <w:caps/>
          <w:sz w:val="22"/>
        </w:rPr>
      </w:pPr>
      <w:r>
        <w:rPr>
          <w:rFonts w:ascii="Times New Roman;serif" w:hAnsi="Times New Roman;serif"/>
          <w:b/>
          <w:caps/>
          <w:sz w:val="22"/>
        </w:rPr>
        <w:t>Annual Incentive Plan</w:t>
      </w:r>
    </w:p>
    <w:p>
      <w:pPr>
        <w:pStyle w:val="TextBody"/>
        <w:spacing w:before="0" w:after="0"/>
        <w:jc w:val="center"/>
        <w:rPr/>
      </w:pPr>
      <w:r>
        <w:rPr/>
        <w:t> </w:t>
      </w:r>
    </w:p>
    <w:p>
      <w:pPr>
        <w:pStyle w:val="TextBody"/>
        <w:spacing w:before="0" w:after="0"/>
        <w:jc w:val="center"/>
        <w:rPr>
          <w:rFonts w:ascii="Times New Roman;serif" w:hAnsi="Times New Roman;serif"/>
          <w:b/>
          <w:caps/>
          <w:sz w:val="22"/>
        </w:rPr>
      </w:pPr>
      <w:r>
        <w:rPr>
          <w:rFonts w:ascii="Times New Roman;serif" w:hAnsi="Times New Roman;serif"/>
          <w:b/>
          <w:caps/>
          <w:sz w:val="22"/>
        </w:rPr>
        <w:t>AS AMENDED AND RESTATED</w:t>
      </w:r>
    </w:p>
    <w:p>
      <w:pPr>
        <w:pStyle w:val="TextBody"/>
        <w:spacing w:before="0" w:after="0"/>
        <w:jc w:val="center"/>
        <w:rPr/>
      </w:pPr>
      <w:r>
        <w:rPr/>
        <w:t> </w:t>
      </w:r>
    </w:p>
    <w:p>
      <w:pPr>
        <w:pStyle w:val="TextBody"/>
        <w:spacing w:before="0" w:after="0"/>
        <w:jc w:val="center"/>
        <w:rPr>
          <w:rFonts w:ascii="Times New Roman;serif" w:hAnsi="Times New Roman;serif"/>
          <w:b/>
          <w:caps/>
          <w:sz w:val="22"/>
        </w:rPr>
      </w:pPr>
      <w:r>
        <w:rPr>
          <w:rFonts w:ascii="Times New Roman;serif" w:hAnsi="Times New Roman;serif"/>
          <w:b/>
          <w:caps/>
          <w:sz w:val="22"/>
        </w:rPr>
        <w:t>February 21, 2023</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both"/>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caps/>
          <w:sz w:val="22"/>
        </w:rPr>
      </w:pPr>
      <w:r>
        <w:rPr>
          <w:rFonts w:ascii="Times New Roman;serif" w:hAnsi="Times New Roman;serif"/>
          <w:b/>
          <w:caps/>
          <w:sz w:val="22"/>
        </w:rPr>
        <w:t>commscope holding company, Inc.</w:t>
      </w:r>
    </w:p>
    <w:p>
      <w:pPr>
        <w:pStyle w:val="TextBody"/>
        <w:spacing w:before="0" w:after="0"/>
        <w:jc w:val="center"/>
        <w:rPr>
          <w:rFonts w:ascii="Times New Roman;serif" w:hAnsi="Times New Roman;serif"/>
          <w:b/>
          <w:sz w:val="22"/>
        </w:rPr>
      </w:pPr>
      <w:r>
        <w:rPr>
          <w:rFonts w:ascii="Times New Roman;serif" w:hAnsi="Times New Roman;serif"/>
          <w:b/>
          <w:sz w:val="22"/>
        </w:rPr>
        <w:t>ANNUAL INCENTIVE PLAN</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ARTICLE 1</w:t>
      </w:r>
    </w:p>
    <w:p>
      <w:pPr>
        <w:pStyle w:val="TextBody"/>
        <w:spacing w:before="0" w:after="0"/>
        <w:jc w:val="center"/>
        <w:rPr>
          <w:rFonts w:ascii="Times New Roman;serif" w:hAnsi="Times New Roman;serif"/>
          <w:b/>
          <w:sz w:val="22"/>
        </w:rPr>
      </w:pPr>
      <w:r>
        <w:rPr>
          <w:rFonts w:ascii="Times New Roman;serif" w:hAnsi="Times New Roman;serif"/>
          <w:b/>
          <w:sz w:val="22"/>
        </w:rPr>
        <w:t>ESTABLISHMENT OF PLAN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1.1. </w:t>
      </w:r>
      <w:r>
        <w:rPr>
          <w:rFonts w:ascii="Times New Roman;serif" w:hAnsi="Times New Roman;serif"/>
          <w:b w:val="false"/>
          <w:caps/>
          <w:sz w:val="22"/>
          <w:u w:val="single"/>
        </w:rPr>
        <w:t>Purpose</w:t>
      </w:r>
      <w:r>
        <w:rPr>
          <w:rFonts w:ascii="Times New Roman;serif" w:hAnsi="Times New Roman;serif"/>
          <w:b w:val="false"/>
          <w:sz w:val="22"/>
        </w:rPr>
        <w:t>. The purpose of this Plan is to enhance the Company’s ability to attract, motivate, reward and retain employees, to strengthen their commitment to the success of the Company and to align their interests with those of the Company’s stockholders by providing additional compensation to designated employees of the Company based on the achievement of performance objectives. To this end, the Plan provides for the payment of annual cash incentive awards to eligible employees of the Company, the payment of which will be based on the achievement of one or more Performance Objectives during a Plan Year. The Plan shall remain in effect for successive Plan Years unless and until terminated by the Committee pursuant to Article 6. Unless otherwise specified by the Committee or the CEO, as applicable, the Performance Objectives include Company Performance Objectives and Individual Performance Objectives. Company Performance Objectives are designed to focus on overall corporate, segment or business unit financial or operational results that drive stockholder value. Individual Performance Objectives are intended to measure individual goals and competencies and to motivate and reward outstanding individual performance.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1.2. </w:t>
      </w:r>
      <w:r>
        <w:rPr>
          <w:rFonts w:ascii="Times New Roman;serif" w:hAnsi="Times New Roman;serif"/>
          <w:b w:val="false"/>
          <w:sz w:val="22"/>
          <w:u w:val="single"/>
        </w:rPr>
        <w:t>EFFECTIVE DATE</w:t>
      </w:r>
      <w:r>
        <w:rPr>
          <w:rFonts w:ascii="Times New Roman;serif" w:hAnsi="Times New Roman;serif"/>
          <w:b w:val="false"/>
          <w:i/>
          <w:sz w:val="22"/>
        </w:rPr>
        <w:t xml:space="preserve">. </w:t>
      </w:r>
      <w:r>
        <w:rPr>
          <w:rFonts w:ascii="Times New Roman;serif" w:hAnsi="Times New Roman;serif"/>
          <w:b w:val="false"/>
          <w:sz w:val="22"/>
        </w:rPr>
        <w:t>This Plan was approved by the Committee and the Board on October 4, 2013, to be effective as of October 24, 2013. The Plan was amended by the Committee on February 17, 2016 and further amended and restated by the Committee on February 21, 2023.</w:t>
      </w:r>
    </w:p>
    <w:p>
      <w:pPr>
        <w:pStyle w:val="TextBody"/>
        <w:spacing w:before="0" w:after="0"/>
        <w:jc w:val="both"/>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ARTICLE 2</w:t>
      </w:r>
    </w:p>
    <w:p>
      <w:pPr>
        <w:pStyle w:val="TextBody"/>
        <w:spacing w:before="0" w:after="0"/>
        <w:jc w:val="center"/>
        <w:rPr>
          <w:rFonts w:ascii="Times New Roman;serif" w:hAnsi="Times New Roman;serif"/>
          <w:b/>
          <w:sz w:val="22"/>
        </w:rPr>
      </w:pPr>
      <w:r>
        <w:rPr>
          <w:rFonts w:ascii="Times New Roman;serif" w:hAnsi="Times New Roman;serif"/>
          <w:b/>
          <w:sz w:val="22"/>
        </w:rPr>
        <w:t>DEFINITIONS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2.1. </w:t>
      </w:r>
      <w:r>
        <w:rPr>
          <w:rFonts w:ascii="Times New Roman;serif" w:hAnsi="Times New Roman;serif"/>
          <w:b w:val="false"/>
          <w:sz w:val="22"/>
          <w:u w:val="single"/>
        </w:rPr>
        <w:t>DEFINITIONS</w:t>
      </w:r>
      <w:r>
        <w:rPr>
          <w:rFonts w:ascii="Times New Roman;serif" w:hAnsi="Times New Roman;serif"/>
          <w:b w:val="false"/>
          <w:sz w:val="22"/>
        </w:rPr>
        <w:t>. The following terms shall have the following meanings for purposes of this Plan, unless the context in which they are used clearly indicates that some other meaning is intended.</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(a)</w:t>
      </w:r>
    </w:p>
    <w:p>
      <w:pPr>
        <w:pStyle w:val="TextBody"/>
        <w:jc w:val="both"/>
        <w:rPr/>
      </w:pPr>
      <w:r>
        <w:rPr/>
        <w:t>“</w:t>
      </w:r>
      <w:r>
        <w:rPr>
          <w:rFonts w:ascii="Times New Roman;serif" w:hAnsi="Times New Roman;serif"/>
          <w:b w:val="false"/>
          <w:sz w:val="22"/>
        </w:rPr>
        <w:t>Affiliate” means (i) any Subsidiary or Parent, or (ii) an entity that directly or through one or more intermediaries controls, is controlled by or is under common control with, the Company, as determined by the Committee.</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(b)</w:t>
      </w:r>
    </w:p>
    <w:p>
      <w:pPr>
        <w:pStyle w:val="TextBody"/>
        <w:jc w:val="both"/>
        <w:rPr/>
      </w:pPr>
      <w:r>
        <w:rPr/>
        <w:t>“</w:t>
      </w:r>
      <w:r>
        <w:rPr>
          <w:rFonts w:ascii="Times New Roman;serif" w:hAnsi="Times New Roman;serif"/>
          <w:b w:val="false"/>
          <w:sz w:val="22"/>
        </w:rPr>
        <w:t>Annual Incentive Award” means the cash incentive award payable to a Participant under this Plan calculated by reference to the achievement of applicable Performance Objectives, as determined in accordance with Article 5.</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(c)</w:t>
      </w:r>
    </w:p>
    <w:p>
      <w:pPr>
        <w:pStyle w:val="TextBody"/>
        <w:jc w:val="both"/>
        <w:rPr/>
      </w:pPr>
      <w:r>
        <w:rPr/>
        <w:t>“</w:t>
      </w:r>
      <w:r>
        <w:rPr>
          <w:rFonts w:ascii="Times New Roman;serif" w:hAnsi="Times New Roman;serif"/>
          <w:b w:val="false"/>
          <w:sz w:val="22"/>
        </w:rPr>
        <w:t xml:space="preserve">Base Salary” means a Participant’s annual base salary actually paid by the Company and received by the Participant during the applicable performance period, based on salary earnings before reductions for such items as contributions under Section 401(k) of the Code. Base Salary does not include (i) Annual Incentive Awards under the Plan, (ii) long-term incentive awards, (iii) signing bonuses or any similar bonuses, (iv) cash payments received pursuant to the CommScope, Inc. Retirement Savings Plan, (v) imputed income from such programs as executive life insurance, or (vi) nonrecurring earnings such as moving expenses. </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(d)</w:t>
      </w:r>
    </w:p>
    <w:p>
      <w:pPr>
        <w:pStyle w:val="TextBody"/>
        <w:jc w:val="both"/>
        <w:rPr/>
      </w:pPr>
      <w:r>
        <w:rPr/>
        <w:t>“</w:t>
      </w:r>
      <w:r>
        <w:rPr>
          <w:rFonts w:ascii="Times New Roman;serif" w:hAnsi="Times New Roman;serif"/>
          <w:b w:val="false"/>
          <w:sz w:val="22"/>
        </w:rPr>
        <w:t xml:space="preserve">Beneficial Owner” shall have the meaning given such term in Rule 13d-3 of the General Rules and Regulations under the 1934 Act.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(e)</w:t>
      </w:r>
    </w:p>
    <w:p>
      <w:pPr>
        <w:pStyle w:val="TextBody"/>
        <w:jc w:val="both"/>
        <w:rPr/>
      </w:pPr>
      <w:r>
        <w:rPr/>
        <w:t>“</w:t>
      </w:r>
      <w:r>
        <w:rPr>
          <w:rFonts w:ascii="Times New Roman;serif" w:hAnsi="Times New Roman;serif"/>
          <w:b w:val="false"/>
          <w:sz w:val="22"/>
        </w:rPr>
        <w:t>Board” means the Board of Directors of the Company.</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(f)</w:t>
      </w:r>
    </w:p>
    <w:p>
      <w:pPr>
        <w:pStyle w:val="TextBody"/>
        <w:jc w:val="both"/>
        <w:rPr/>
      </w:pPr>
      <w:r>
        <w:rPr/>
        <w:t>“</w:t>
      </w:r>
      <w:r>
        <w:rPr>
          <w:rFonts w:ascii="Times New Roman;serif" w:hAnsi="Times New Roman;serif"/>
          <w:b w:val="false"/>
          <w:sz w:val="22"/>
        </w:rPr>
        <w:t>CEO” means the Chief Executive Officer of the Company.</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(g)</w:t>
      </w:r>
    </w:p>
    <w:p>
      <w:pPr>
        <w:pStyle w:val="TextBody"/>
        <w:jc w:val="both"/>
        <w:rPr/>
      </w:pPr>
      <w:r>
        <w:rPr/>
        <w:t>“</w:t>
      </w:r>
      <w:r>
        <w:rPr>
          <w:rFonts w:ascii="Times New Roman;serif" w:hAnsi="Times New Roman;serif"/>
          <w:b w:val="false"/>
          <w:sz w:val="22"/>
        </w:rPr>
        <w:t>Change in Control” means and includes the occurrence of any one of the following events: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(i) during any consecutive 12-month period, individuals who, at the beginning of such period, constitute the Board (the “Incumbent Directors”) cease for any reason to constitute at least a majority of such Board, provided that any person becoming a director after the beginning of such 12-month period and whose election or nomination for election was approved by a vote of at least a majority of the Incumbent Directors then on the Board shall be an Incumbent Director;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(ii) any Person becomes a Beneficial Owner,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Times New Roman;serif" w:hAnsi="Times New Roman;serif"/>
          <w:b w:val="false"/>
          <w:sz w:val="22"/>
          <w:u w:val="single"/>
        </w:rPr>
        <w:t>provided</w:t>
      </w:r>
      <w:r>
        <w:rPr>
          <w:rFonts w:ascii="Times New Roman;serif" w:hAnsi="Times New Roman;serif"/>
          <w:b w:val="false"/>
          <w:sz w:val="22"/>
        </w:rPr>
        <w:t xml:space="preserve">, </w:t>
      </w:r>
      <w:r>
        <w:rPr>
          <w:rFonts w:ascii="Times New Roman;serif" w:hAnsi="Times New Roman;serif"/>
          <w:b w:val="false"/>
          <w:sz w:val="22"/>
          <w:u w:val="single"/>
        </w:rPr>
        <w:t>however</w:t>
      </w:r>
      <w:r>
        <w:rPr>
          <w:rFonts w:ascii="Times New Roman;serif" w:hAnsi="Times New Roman;serif"/>
          <w:b w:val="false"/>
          <w:sz w:val="22"/>
        </w:rPr>
        <w:t>, that for purposes of this subsection (ii), the following acquisitions of Company Common Stock or Company Voting Securities shall not constitute a Change in Control: (w) an acquisition directly from the Company, (x) an acquisition by the Company or a Subsidiary, (y) an acquisition by any employee benefit plan (or related trust) sponsored or maintained by the Company or any Subsidiary, or (z) an acquisition pursuant to a Non-Qualifying Transaction (as defined in subsection (iii) below); or</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(iii) 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or other entity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35% of, respectively, the then outstanding shares of common stock and the combined voting power of the then outstanding voting securities entitled to vote generally in the election of directors, as the case may be, of the entity resulting from such Reorganization, Sale or Acquisition (including, without limitation, an entity which as a result of such transaction owns the Company or all or substantially all of the Company’s assets or stock either directly or through one or more subsidiaries, the “Surviving Entity”)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(y) the Surviving Entity or its ultimate parent entity, or (z) any employee</w:t>
      </w:r>
      <w:r>
        <w:rPr>
          <w:rFonts w:ascii="Times New Roman" w:hAnsi="Times New Roman"/>
          <w:sz w:val="20"/>
        </w:rPr>
        <w:t xml:space="preserve">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Entity, and (C) at least a majority of the members of the board of directors of the Surviving Entity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(iv) approval by the stockholders of the Company of a complete liquidation or dissolution of the Company.</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(h)</w:t>
      </w:r>
    </w:p>
    <w:p>
      <w:pPr>
        <w:pStyle w:val="TextBody"/>
        <w:jc w:val="both"/>
        <w:rPr/>
      </w:pPr>
      <w:r>
        <w:rPr/>
        <w:t>“</w:t>
      </w:r>
      <w:r>
        <w:rPr>
          <w:rFonts w:ascii="Times New Roman;serif" w:hAnsi="Times New Roman;serif"/>
          <w:b w:val="false"/>
          <w:sz w:val="22"/>
        </w:rPr>
        <w:t>Code” means the Internal Revenue Code of 1986, as amended.</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(i)</w:t>
      </w:r>
    </w:p>
    <w:p>
      <w:pPr>
        <w:pStyle w:val="TextBody"/>
        <w:jc w:val="both"/>
        <w:rPr/>
      </w:pPr>
      <w:r>
        <w:rPr/>
        <w:t>“</w:t>
      </w:r>
      <w:r>
        <w:rPr>
          <w:rFonts w:ascii="Times New Roman;serif" w:hAnsi="Times New Roman;serif"/>
          <w:b w:val="false"/>
          <w:sz w:val="22"/>
        </w:rPr>
        <w:t>Committee” means the Compensation Committee of the Board.</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(j)</w:t>
      </w:r>
    </w:p>
    <w:p>
      <w:pPr>
        <w:pStyle w:val="TextBody"/>
        <w:jc w:val="both"/>
        <w:rPr/>
      </w:pPr>
      <w:r>
        <w:rPr/>
        <w:t>“</w:t>
      </w:r>
      <w:r>
        <w:rPr>
          <w:rFonts w:ascii="Times New Roman;serif" w:hAnsi="Times New Roman;serif"/>
          <w:b w:val="false"/>
          <w:sz w:val="22"/>
        </w:rPr>
        <w:t>Company” means CommScope Holding Company, Inc., a Delaware corporation, or any successor corporation</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(k)</w:t>
      </w:r>
    </w:p>
    <w:p>
      <w:pPr>
        <w:pStyle w:val="TextBody"/>
        <w:jc w:val="both"/>
        <w:rPr/>
      </w:pPr>
      <w:r>
        <w:rPr/>
        <w:t>“</w:t>
      </w:r>
      <w:r>
        <w:rPr>
          <w:rFonts w:ascii="Times New Roman;serif" w:hAnsi="Times New Roman;serif"/>
          <w:b w:val="false"/>
          <w:sz w:val="22"/>
        </w:rPr>
        <w:t xml:space="preserve">Company Performance Objectives” means the Company Performance Objectives established by the Committee or the CEO, as applicable, for a Plan Year, as provided in Article 5. </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(l)</w:t>
      </w:r>
    </w:p>
    <w:p>
      <w:pPr>
        <w:pStyle w:val="TextBody"/>
        <w:jc w:val="both"/>
        <w:rPr/>
      </w:pPr>
      <w:r>
        <w:rPr/>
        <w:t>“</w:t>
      </w:r>
      <w:r>
        <w:rPr>
          <w:rFonts w:ascii="Times New Roman;serif" w:hAnsi="Times New Roman;serif"/>
          <w:b w:val="false"/>
          <w:sz w:val="22"/>
        </w:rPr>
        <w:t>Disability” shall mean permanent disability, as provided in the Company’s long-term disability plan.</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(m)</w:t>
      </w:r>
    </w:p>
    <w:p>
      <w:pPr>
        <w:pStyle w:val="TextBody"/>
        <w:jc w:val="both"/>
        <w:rPr/>
      </w:pPr>
      <w:r>
        <w:rPr/>
        <w:t>“</w:t>
      </w:r>
      <w:r>
        <w:rPr>
          <w:rFonts w:ascii="Times New Roman;serif" w:hAnsi="Times New Roman;serif"/>
          <w:b w:val="false"/>
          <w:sz w:val="22"/>
        </w:rPr>
        <w:t xml:space="preserve">Individual Performance Objectives” means the Individual Performance Objectives established for a Participant by the Committee or the CEO, as applicable, for a Plan Year, as provided in Article 5. </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(n)</w:t>
      </w:r>
    </w:p>
    <w:p>
      <w:pPr>
        <w:pStyle w:val="TextBody"/>
        <w:jc w:val="both"/>
        <w:rPr/>
      </w:pPr>
      <w:r>
        <w:rPr/>
        <w:t>“</w:t>
      </w:r>
      <w:r>
        <w:rPr>
          <w:rFonts w:ascii="Times New Roman;serif" w:hAnsi="Times New Roman;serif"/>
          <w:b w:val="false"/>
          <w:sz w:val="22"/>
        </w:rPr>
        <w:t>LTIP” means the CommScope Holding Company, Inc. Amended and Restated 2019 Long-Term Incentive Plan, and any subsequent equity compensation plan approved by the stockholders and designated by the Board as the LTIP for purposes of this Plan.</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jc w:val="both"/>
        <w:rPr/>
      </w:pPr>
      <w:r>
        <w:rPr/>
        <w:t>“</w:t>
      </w:r>
      <w:r>
        <w:rPr>
          <w:rFonts w:ascii="Times New Roman;serif" w:hAnsi="Times New Roman;serif"/>
          <w:b w:val="false"/>
          <w:sz w:val="22"/>
        </w:rPr>
        <w:t>Parent” means a corporation, limited liability company, partnership or other entity which owns or beneficially owns a majority of the outstanding voting stock or voting power of the Company.</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(p)</w:t>
      </w:r>
    </w:p>
    <w:p>
      <w:pPr>
        <w:pStyle w:val="TextBody"/>
        <w:jc w:val="both"/>
        <w:rPr/>
      </w:pPr>
      <w:r>
        <w:rPr/>
        <w:t>“</w:t>
      </w:r>
      <w:r>
        <w:rPr>
          <w:rFonts w:ascii="Times New Roman;serif" w:hAnsi="Times New Roman;serif"/>
          <w:b w:val="false"/>
          <w:sz w:val="22"/>
        </w:rPr>
        <w:t>Participant” means a person who, as an employee of the Company or any Affiliate, has been granted an Annual Incentive Award opportunity under the Plan; provided that in the case of the death of a Participant, the term “Participant” refers to a beneficiary designated by the Participant or the legal guardian or other legal representative acting in a fiduciary capacity on behalf of the Participant under applicable state law and court supervision.</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(q)</w:t>
      </w:r>
    </w:p>
    <w:p>
      <w:pPr>
        <w:pStyle w:val="TextBody"/>
        <w:jc w:val="both"/>
        <w:rPr/>
      </w:pPr>
      <w:r>
        <w:rPr/>
        <w:t>“</w:t>
      </w:r>
      <w:r>
        <w:rPr>
          <w:rFonts w:ascii="Times New Roman;serif" w:hAnsi="Times New Roman;serif"/>
          <w:b w:val="false"/>
          <w:sz w:val="22"/>
        </w:rPr>
        <w:t xml:space="preserve">Performance Objectives” means collectively, with respect to a Participant, any Company Performance Objectives and Individual Performance Objectives applicable to the Participant, as provided in Article 5. </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(r)</w:t>
      </w:r>
    </w:p>
    <w:p>
      <w:pPr>
        <w:pStyle w:val="TextBody"/>
        <w:jc w:val="both"/>
        <w:rPr/>
      </w:pPr>
      <w:r>
        <w:rPr/>
        <w:t>“</w:t>
      </w:r>
      <w:r>
        <w:rPr>
          <w:rFonts w:ascii="Times New Roman;serif" w:hAnsi="Times New Roman;serif"/>
          <w:b w:val="false"/>
          <w:sz w:val="22"/>
        </w:rPr>
        <w:t>Person” means any individual, entity or group, within the meaning of Section 3(a)(9) of the 1934 Act and as used in Section 13(d)(3) or 14(d)(2) of the 1934 Act.</w:t>
      </w:r>
    </w:p>
    <w:p>
      <w:pPr>
        <w:pStyle w:val="TextBody"/>
        <w:spacing w:before="0" w:after="0"/>
        <w:jc w:val="both"/>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(s)</w:t>
      </w:r>
    </w:p>
    <w:p>
      <w:pPr>
        <w:pStyle w:val="TextBody"/>
        <w:jc w:val="both"/>
        <w:rPr/>
      </w:pPr>
      <w:r>
        <w:rPr/>
        <w:t>“</w:t>
      </w:r>
      <w:r>
        <w:rPr>
          <w:rFonts w:ascii="Times New Roman;serif" w:hAnsi="Times New Roman;serif"/>
          <w:b w:val="false"/>
          <w:sz w:val="22"/>
        </w:rPr>
        <w:t>Plan” means this CommScope Holding Company, Inc. Annual Incentive Plan, as amended from time to time.</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(t)</w:t>
      </w:r>
    </w:p>
    <w:p>
      <w:pPr>
        <w:pStyle w:val="TextBody"/>
        <w:jc w:val="both"/>
        <w:rPr/>
      </w:pPr>
      <w:r>
        <w:rPr/>
        <w:t>“</w:t>
      </w:r>
      <w:r>
        <w:rPr>
          <w:rFonts w:ascii="Times New Roman;serif" w:hAnsi="Times New Roman;serif"/>
          <w:b w:val="false"/>
          <w:sz w:val="22"/>
        </w:rPr>
        <w:t>Plan Year” means January 1 to December 31 of each year.</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(u)</w:t>
      </w:r>
    </w:p>
    <w:p>
      <w:pPr>
        <w:pStyle w:val="TextBody"/>
        <w:jc w:val="both"/>
        <w:rPr/>
      </w:pPr>
      <w:r>
        <w:rPr/>
        <w:t>“</w:t>
      </w:r>
      <w:r>
        <w:rPr>
          <w:rFonts w:ascii="Times New Roman;serif" w:hAnsi="Times New Roman;serif"/>
          <w:b w:val="false"/>
          <w:sz w:val="22"/>
        </w:rPr>
        <w:t xml:space="preserve">Retirement” shall mean (i) retirement at or after age 55 and the completion of 10 years of service with the Company or any of its Subsidiaries, (ii) retirement at or after age 65 or (iii) early retirement with the prior written approval of the Company. </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(v)</w:t>
      </w:r>
    </w:p>
    <w:p>
      <w:pPr>
        <w:pStyle w:val="TextBody"/>
        <w:jc w:val="both"/>
        <w:rPr/>
      </w:pPr>
      <w:r>
        <w:rPr/>
        <w:t>“</w:t>
      </w:r>
      <w:r>
        <w:rPr>
          <w:rFonts w:ascii="Times New Roman;serif" w:hAnsi="Times New Roman;serif"/>
          <w:b w:val="false"/>
          <w:sz w:val="22"/>
        </w:rPr>
        <w:t>Section 16 Officer” means a Participant who, as of the beginning of the applicable performance period, is an officer subject to Section 16 of the 1934 Act.</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(w)</w:t>
      </w:r>
    </w:p>
    <w:p>
      <w:pPr>
        <w:pStyle w:val="TextBody"/>
        <w:jc w:val="both"/>
        <w:rPr/>
      </w:pPr>
      <w:r>
        <w:rPr/>
        <w:t>“</w:t>
      </w:r>
      <w:r>
        <w:rPr>
          <w:rFonts w:ascii="Times New Roman;serif" w:hAnsi="Times New Roman;serif"/>
          <w:b w:val="false"/>
          <w:sz w:val="22"/>
        </w:rPr>
        <w:t xml:space="preserve">Subsidiary” means any corporation, limited liability company, partnership or other entity of which a majority of the outstanding voting stock or voting power is beneficially owned directly or indirectly by the Company. </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(x)</w:t>
      </w:r>
    </w:p>
    <w:p>
      <w:pPr>
        <w:pStyle w:val="TextBody"/>
        <w:jc w:val="both"/>
        <w:rPr/>
      </w:pPr>
      <w:r>
        <w:rPr/>
        <w:t>“</w:t>
      </w:r>
      <w:r>
        <w:rPr>
          <w:rFonts w:ascii="Times New Roman;serif" w:hAnsi="Times New Roman;serif"/>
          <w:b w:val="false"/>
          <w:sz w:val="22"/>
        </w:rPr>
        <w:t>Target Award” has the meaning described in Section 5.2.</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(y)</w:t>
      </w:r>
    </w:p>
    <w:p>
      <w:pPr>
        <w:pStyle w:val="TextBody"/>
        <w:jc w:val="both"/>
        <w:rPr/>
      </w:pPr>
      <w:r>
        <w:rPr/>
        <w:t>“</w:t>
      </w:r>
      <w:r>
        <w:rPr>
          <w:rFonts w:ascii="Times New Roman;serif" w:hAnsi="Times New Roman;serif"/>
          <w:b w:val="false"/>
          <w:sz w:val="22"/>
        </w:rPr>
        <w:t>1933 Act” means the Securities Act of 1933, as amended from time to time.</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(z)</w:t>
      </w:r>
    </w:p>
    <w:p>
      <w:pPr>
        <w:pStyle w:val="TextBody"/>
        <w:jc w:val="both"/>
        <w:rPr/>
      </w:pPr>
      <w:r>
        <w:rPr/>
        <w:t>“</w:t>
      </w:r>
      <w:r>
        <w:rPr>
          <w:rFonts w:ascii="Times New Roman;serif" w:hAnsi="Times New Roman;serif"/>
          <w:b w:val="false"/>
          <w:sz w:val="22"/>
        </w:rPr>
        <w:t>1934 Act” means the Securities Exchange Act of 1934, as amended from time to time.</w:t>
      </w:r>
    </w:p>
    <w:p>
      <w:pPr>
        <w:pStyle w:val="TextBody"/>
        <w:spacing w:before="0" w:after="0"/>
        <w:jc w:val="both"/>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ARTICLE 3</w:t>
      </w:r>
    </w:p>
    <w:p>
      <w:pPr>
        <w:pStyle w:val="TextBody"/>
        <w:spacing w:before="0" w:after="0"/>
        <w:jc w:val="center"/>
        <w:rPr>
          <w:rFonts w:ascii="Times New Roman;serif" w:hAnsi="Times New Roman;serif"/>
          <w:b/>
          <w:sz w:val="22"/>
        </w:rPr>
      </w:pPr>
      <w:r>
        <w:rPr>
          <w:rFonts w:ascii="Times New Roman;serif" w:hAnsi="Times New Roman;serif"/>
          <w:b/>
          <w:sz w:val="22"/>
        </w:rPr>
        <w:t>ADMINISTRATION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3.1. </w:t>
      </w:r>
      <w:r>
        <w:rPr>
          <w:rFonts w:ascii="Times New Roman;serif" w:hAnsi="Times New Roman;serif"/>
          <w:b w:val="false"/>
          <w:sz w:val="22"/>
          <w:u w:val="single"/>
        </w:rPr>
        <w:t>COMMITTEE</w:t>
      </w:r>
      <w:r>
        <w:rPr>
          <w:rFonts w:ascii="Times New Roman;serif" w:hAnsi="Times New Roman;serif"/>
          <w:b w:val="false"/>
          <w:sz w:val="22"/>
        </w:rPr>
        <w:t>. This Plan shall be administered by the Committee.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3.2. </w:t>
      </w:r>
      <w:r>
        <w:rPr>
          <w:rFonts w:ascii="Times New Roman;serif" w:hAnsi="Times New Roman;serif"/>
          <w:b w:val="false"/>
          <w:sz w:val="22"/>
          <w:u w:val="single"/>
        </w:rPr>
        <w:t>AUTHORITY OF COMMITTEE</w:t>
      </w:r>
      <w:r>
        <w:rPr>
          <w:rFonts w:ascii="Times New Roman;serif" w:hAnsi="Times New Roman;serif"/>
          <w:b w:val="false"/>
          <w:sz w:val="22"/>
        </w:rPr>
        <w:t>. The Committee has the exclusive power, authority and discretion to:</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(a) designate Participants for each Plan Year (by individual or employee class);</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(b) establish and review Individual Performance Objectives and weightings for different Individual Performance Objectives for each Plan Year;</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(c) establish and review Company Performance Objectives and weightings for different Company Performance Objectives for each Plan Year;</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(d) establish Target Awards for Participants for each Plan Year;</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(e) determine whether and to what extent Performance Objectives were achieved for each Plan Year;</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(f) increase or decrease the Annual Incentive Award otherwise payable to any Participant resulting from the achievement of Company Performance Objectives and Individual Performance Objectives in any Plan Year, based on such objective or subjective factors as the Committee shall deem relevant;</w:t>
      </w:r>
    </w:p>
    <w:p>
      <w:pPr>
        <w:pStyle w:val="TextBody"/>
        <w:spacing w:before="0" w:after="0"/>
        <w:jc w:val="both"/>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4</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2"/>
        </w:rPr>
        <w:t>(g) establish, adopt or revise any rules and regulations as it may deem necessary or advisable to administer this Plan;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(h) make all other decisions and determinations that may be required under this Plan or as the Committee deems necessary or advisable to administer this Plan;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(i)</w:t>
      </w:r>
    </w:p>
    <w:p>
      <w:pPr>
        <w:pStyle w:val="TextBody"/>
        <w:jc w:val="both"/>
        <w:rPr>
          <w:rFonts w:ascii="Times New Roman;serif" w:hAnsi="Times New Roman;serif"/>
          <w:b w:val="false"/>
          <w:sz w:val="22"/>
        </w:rPr>
      </w:pPr>
      <w:r>
        <w:rPr>
          <w:rFonts w:ascii="Times New Roman;serif" w:hAnsi="Times New Roman;serif"/>
          <w:b w:val="false"/>
          <w:sz w:val="22"/>
        </w:rPr>
        <w:t xml:space="preserve">amend this Plan as provided herein; and </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(j) delegate to the CEO any authority or responsibility to administer the Plan with respect to Participants who are not Section 16 Officers.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3.3. </w:t>
      </w:r>
      <w:r>
        <w:rPr>
          <w:rFonts w:ascii="Times New Roman;serif" w:hAnsi="Times New Roman;serif"/>
          <w:b w:val="false"/>
          <w:sz w:val="22"/>
          <w:u w:val="single"/>
        </w:rPr>
        <w:t>DECISIONS BINDING</w:t>
      </w:r>
      <w:r>
        <w:rPr>
          <w:rFonts w:ascii="Times New Roman;serif" w:hAnsi="Times New Roman;serif"/>
          <w:b w:val="false"/>
          <w:sz w:val="22"/>
        </w:rPr>
        <w:t>. The interpretation of this Plan by, and all decisions and determinations by, the Committee or the CEO, as applicable, with respect to this Plan are final, binding, and conclusive on all parties.</w:t>
      </w:r>
    </w:p>
    <w:p>
      <w:pPr>
        <w:pStyle w:val="TextBody"/>
        <w:spacing w:before="0" w:after="0"/>
        <w:jc w:val="both"/>
        <w:rPr/>
      </w:pPr>
      <w:r>
        <w:rPr/>
        <w:t> </w:t>
      </w:r>
    </w:p>
    <w:p>
      <w:pPr>
        <w:pStyle w:val="TextBody"/>
        <w:spacing w:before="0" w:after="0"/>
        <w:jc w:val="center"/>
        <w:rPr>
          <w:rFonts w:ascii="Times New Roman;serif" w:hAnsi="Times New Roman;serif"/>
          <w:b/>
          <w:sz w:val="22"/>
        </w:rPr>
      </w:pPr>
      <w:bookmarkStart w:id="26" w:name="art5"/>
      <w:bookmarkEnd w:id="26"/>
      <w:r>
        <w:rPr>
          <w:rFonts w:ascii="Times New Roman;serif" w:hAnsi="Times New Roman;serif"/>
          <w:b/>
          <w:sz w:val="22"/>
        </w:rPr>
        <w:t>ARTICLE 4</w:t>
      </w:r>
    </w:p>
    <w:p>
      <w:pPr>
        <w:pStyle w:val="TextBody"/>
        <w:spacing w:before="0" w:after="0"/>
        <w:jc w:val="center"/>
        <w:rPr>
          <w:rFonts w:ascii="Times New Roman;serif" w:hAnsi="Times New Roman;serif"/>
          <w:b/>
          <w:sz w:val="22"/>
        </w:rPr>
      </w:pPr>
      <w:r>
        <w:rPr>
          <w:rFonts w:ascii="Times New Roman;serif" w:hAnsi="Times New Roman;serif"/>
          <w:b/>
          <w:sz w:val="22"/>
        </w:rPr>
        <w:t>ELIGIBILITY</w:t>
      </w:r>
    </w:p>
    <w:p>
      <w:pPr>
        <w:pStyle w:val="TextBody"/>
        <w:spacing w:before="0" w:after="0"/>
        <w:jc w:val="both"/>
        <w:rPr>
          <w:rFonts w:ascii="Times New Roman" w:hAnsi="Times New Roman"/>
          <w:sz w:val="20"/>
        </w:rPr>
      </w:pPr>
      <w:r>
        <w:rPr>
          <w:rFonts w:ascii="Times New Roman;serif" w:hAnsi="Times New Roman;serif"/>
          <w:b w:val="false"/>
          <w:sz w:val="22"/>
        </w:rPr>
        <w:t xml:space="preserve">4.1. </w:t>
      </w:r>
      <w:r>
        <w:rPr>
          <w:rFonts w:ascii="Times New Roman;serif" w:hAnsi="Times New Roman;serif"/>
          <w:b w:val="false"/>
          <w:sz w:val="22"/>
          <w:u w:val="single"/>
        </w:rPr>
        <w:t>DESIGNATION OF PARTICIPANTS</w:t>
      </w:r>
      <w:r>
        <w:rPr>
          <w:rFonts w:ascii="Times New Roman;serif" w:hAnsi="Times New Roman;serif"/>
          <w:b w:val="false"/>
          <w:sz w:val="22"/>
        </w:rPr>
        <w:t>. Each Plan Year, the Committee shall review and approve (individually, in the case of Section 16 Officers, or by group, in the case of other Participants) the Participants and their Target Awards for that Plan Year. Inclusion as a Participant in the Plan in any Plan Year does not guarantee that such Participant will receive any amount in payment of an Annual Incentive Award.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4.2. </w:t>
      </w:r>
      <w:r>
        <w:rPr>
          <w:rFonts w:ascii="Times New Roman;serif" w:hAnsi="Times New Roman;serif"/>
          <w:b w:val="false"/>
          <w:caps/>
          <w:sz w:val="22"/>
          <w:u w:val="single"/>
        </w:rPr>
        <w:t>Partial Year Participation</w:t>
      </w:r>
      <w:r>
        <w:rPr>
          <w:rFonts w:ascii="Times New Roman;serif" w:hAnsi="Times New Roman;serif"/>
          <w:b w:val="false"/>
          <w:sz w:val="22"/>
        </w:rPr>
        <w:t>. Unless otherwise determined by the Committee or the CEO (with respect to individuals who are not Section 16 Officers) (i) if a Participant begins employment or is promoted to an eligible position after the beginning of a Plan Year but before October 1 of such Plan Year, such Participant will be eligible to receive an Annual Incentive Award for such Plan Year, which will be prorated based on the number of days such person participated in the Plan during the Plan Year; and (ii) if a Participant begins employment or is promoted to an eligible position after October 1 of a Plan Year, the Participant will not be eligible to receive an Annual Incentive Award for such Plan Year. If a Participant takes a leave of absence during the Plan Year for any reason, the Committee or the CEO (with respect to individuals who are not Section 16 Officers) in their discretion, may determine whether such employee may participate in this Plan and the terms of such participation, if any.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4.3. </w:t>
      </w:r>
      <w:r>
        <w:rPr>
          <w:rFonts w:ascii="Times New Roman;serif" w:hAnsi="Times New Roman;serif"/>
          <w:b w:val="false"/>
          <w:sz w:val="22"/>
          <w:u w:val="single"/>
        </w:rPr>
        <w:t>CHANGE IN ELIGIBLE POSITION</w:t>
      </w:r>
      <w:r>
        <w:rPr>
          <w:rFonts w:ascii="Times New Roman;serif" w:hAnsi="Times New Roman;serif"/>
          <w:b w:val="false"/>
          <w:sz w:val="22"/>
        </w:rPr>
        <w:t>. Unless otherwise determined by the Committee or the CEO (with respect to individuals who are not Section 16 Officers), if a Participant changes from one eligible position to another during a Plan Year, the Participant’s Annual Incentive Award for such Plan Year will be prorated based on the number of days such person participated in the Plan during the Plan year in each respective position and shall be determined with respect to the Target Award and Performance Objectives relevant to such respective positions.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4.4. </w:t>
      </w:r>
      <w:r>
        <w:rPr>
          <w:rFonts w:ascii="Times New Roman;serif" w:hAnsi="Times New Roman;serif"/>
          <w:b w:val="false"/>
          <w:caps/>
          <w:sz w:val="22"/>
          <w:u w:val="single"/>
        </w:rPr>
        <w:t>Demotions; TERMINATIONS</w:t>
      </w:r>
      <w:r>
        <w:rPr>
          <w:rFonts w:ascii="Times New Roman;serif" w:hAnsi="Times New Roman;serif"/>
          <w:b w:val="false"/>
          <w:sz w:val="22"/>
        </w:rPr>
        <w:t>. Unless otherwise determined by the Committee or the CEO (with respect to individuals who are not Section 16 Officers) if a Participant resigns, is terminated, or is demoted to a non-eligible position during the Plan Year, the Participant’s Plan participation shall end at that time. Notwithstanding the foregoing, in the event of a Participant’s death or Disability, the Committee or the CEO (with respect to individuals who are not Section 16 Officers) in their discretion, may determine whether such employee may participate in this Plan and if so, the terms of such participation pursuant to Section 5.6 hereof.</w:t>
      </w:r>
      <w:r>
        <w:rPr>
          <w:rFonts w:ascii="Times New Roman" w:hAnsi="Times New Roman"/>
          <w:sz w:val="20"/>
        </w:rPr>
        <w:t xml:space="preserve">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5</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ARTICLE 5</w:t>
      </w:r>
    </w:p>
    <w:p>
      <w:pPr>
        <w:pStyle w:val="TextBody"/>
        <w:spacing w:before="0" w:after="0"/>
        <w:jc w:val="center"/>
        <w:rPr>
          <w:rFonts w:ascii="Times New Roman;serif" w:hAnsi="Times New Roman;serif"/>
          <w:b/>
          <w:sz w:val="22"/>
        </w:rPr>
      </w:pPr>
      <w:r>
        <w:rPr>
          <w:rFonts w:ascii="Times New Roman;serif" w:hAnsi="Times New Roman;serif"/>
          <w:b/>
          <w:sz w:val="22"/>
        </w:rPr>
        <w:t>OPERATION OF THE PLAN</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5.1. </w:t>
      </w:r>
      <w:r>
        <w:rPr>
          <w:rFonts w:ascii="Times New Roman;serif" w:hAnsi="Times New Roman;serif"/>
          <w:b w:val="false"/>
          <w:sz w:val="22"/>
          <w:u w:val="single"/>
        </w:rPr>
        <w:t>PLAN STRUCTURE</w:t>
      </w:r>
      <w:r>
        <w:rPr>
          <w:rFonts w:ascii="Times New Roman;serif" w:hAnsi="Times New Roman;serif"/>
          <w:b w:val="false"/>
          <w:sz w:val="22"/>
        </w:rPr>
        <w:t>. Subject to the terms and conditions described herein, each Participant shall be eligible to receive an Annual Incentive Award for the Plan Year if certain Performance Objectives are met or exceeded by the Company and, if applicable, the Participant. Each Plan Year, Performance Objectives and their respective weightings and Target Awards shall be established as provided in Sections 5.2, 5.3 and 5.4 hereof.</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5.2. </w:t>
      </w:r>
      <w:r>
        <w:rPr>
          <w:rFonts w:ascii="Times New Roman;serif" w:hAnsi="Times New Roman;serif"/>
          <w:b w:val="false"/>
          <w:caps/>
          <w:sz w:val="22"/>
          <w:u w:val="single"/>
        </w:rPr>
        <w:t>Establishment of TARGET AWARDs</w:t>
      </w:r>
      <w:r>
        <w:rPr>
          <w:rFonts w:ascii="Times New Roman;serif" w:hAnsi="Times New Roman;serif"/>
          <w:b w:val="false"/>
          <w:sz w:val="22"/>
        </w:rPr>
        <w:t>. Each Participant shall have a target award, reflected as a specified amount or a percentage of his or her Base Salary, that will be awarded to the Participant for the designated Plan Year if the established Performance Objectives are achieved at the target level (the “Target Award”). Each Plan Year, (i) the Committee shall approve the Target Award for each Participant that is a Section 16 Officer, (ii) the CEO shall approve the Target Award for all Participants other than Section 16 Officers, and (iii) the Committee shall approve the aggregate cost of Target Awards for all Participants other than Section 16 Officers. Each Participant’s Target Award percentage will be communicated in writing to the Participant upon such Participant’s initial participation in the Plan, and shall remain in effect until any change thereto is communicated to the Participant in writing. The actual Annual Incentive Award to a Participant may be greater or less than his or her Target Award, depending on the level of achievement of applicable Performance Objectives and such other objective or subjective factors as the Committee with respect to Section 16 Officers or the CEO with respect to individuals who are not Section 16 Officers, as applicable, shall deem relevant.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5.3. </w:t>
      </w:r>
      <w:r>
        <w:rPr>
          <w:rFonts w:ascii="Times New Roman;serif" w:hAnsi="Times New Roman;serif"/>
          <w:b w:val="false"/>
          <w:caps/>
          <w:sz w:val="22"/>
          <w:u w:val="single"/>
        </w:rPr>
        <w:t>Company Performance Objectives</w:t>
      </w:r>
      <w:r>
        <w:rPr>
          <w:rFonts w:ascii="Times New Roman;serif" w:hAnsi="Times New Roman;serif"/>
          <w:b w:val="false"/>
          <w:sz w:val="22"/>
        </w:rPr>
        <w:t>. Each Plan Year, (i) the Committee shall approve Company Performance Objectives for that Plan Year for the Section 16 Officers, and (ii) the CEO shall approve Company Performance Objectives for that Plan Year for other Participants. The Company Performance Objectives may relate to performance at the corporate, segment or business unit level. The Company Performance Objectives will be communicated in writing to the Participants. In establishing Company Performance Objectives, the Committee or the CEO, as applicable, may take into account such factors as it deems appropriate, including, without limitation, prior year results, planned business results, anticipated business trends, performance relative to peer companies and macroeconomic conditions.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5.4. </w:t>
      </w:r>
      <w:r>
        <w:rPr>
          <w:rFonts w:ascii="Times New Roman;serif" w:hAnsi="Times New Roman;serif"/>
          <w:b w:val="false"/>
          <w:caps/>
          <w:sz w:val="22"/>
          <w:u w:val="single"/>
        </w:rPr>
        <w:t>INDIVIDUAL PERFORMANCE Objectives</w:t>
      </w:r>
      <w:r>
        <w:rPr>
          <w:rFonts w:ascii="Times New Roman;serif" w:hAnsi="Times New Roman;serif"/>
          <w:b w:val="false"/>
          <w:sz w:val="22"/>
        </w:rPr>
        <w:t>. Each Plan Year, (i) the Committee shall approve any Individual Performance Objectives for that Plan Year for the Section 16 Officers, and (ii) the CEO shall approve Individual Performance Objectives for that Plan Year for other Participants. Any such Individual Performance Objectives will be communicated in writing to the Participants. In addition, whether or not written Individual Performance Objectives are established for a Plan Year, the Committee with respect to Section 16 Officers or the CEO with respect to individuals who are not Section 16 Officers, as applicable, reserves the right to increase or decrease a Participant’s Annual Incentive Award based on a subjective assessment of the Participant’s overall performance during the Plan Year.</w:t>
      </w:r>
    </w:p>
    <w:p>
      <w:pPr>
        <w:pStyle w:val="TextBody"/>
        <w:spacing w:before="0" w:after="0"/>
        <w:jc w:val="both"/>
        <w:rPr>
          <w:rFonts w:ascii="Times New Roman" w:hAnsi="Times New Roman"/>
          <w:sz w:val="20"/>
        </w:rPr>
      </w:pPr>
      <w:r>
        <w:rPr>
          <w:rFonts w:ascii="Times New Roman;serif" w:hAnsi="Times New Roman;serif"/>
          <w:b w:val="false"/>
          <w:sz w:val="22"/>
        </w:rPr>
        <w:t xml:space="preserve">5.5. </w:t>
      </w:r>
      <w:r>
        <w:rPr>
          <w:rFonts w:ascii="Times New Roman;serif" w:hAnsi="Times New Roman;serif"/>
          <w:b w:val="false"/>
          <w:sz w:val="22"/>
          <w:u w:val="single"/>
        </w:rPr>
        <w:t>PAYOUT FORM AND TIMING</w:t>
      </w:r>
      <w:r>
        <w:rPr>
          <w:rFonts w:ascii="Times New Roman;serif" w:hAnsi="Times New Roman;serif"/>
          <w:b w:val="false"/>
          <w:sz w:val="22"/>
        </w:rPr>
        <w:t>. Annual Incentive Awards will be paid in a lump sum in cash as soon as administratively practicable after the Committee or the CEO (in the case of Participants that are not Section 16 Officers) determines whether and to what extent Performance Objectives were achieved, but in any event during the calendar year following the end of the Plan Year for which the Annual Incentive Awards, if any, were earned; provided that any Annual Incentive Award which is properly deferred by a Participant under a deferred compensation plan or arrangement adopted or approved by the Company shall be paid pursuant to the terms and conditions of such deferral.</w:t>
      </w:r>
    </w:p>
    <w:p>
      <w:pPr>
        <w:pStyle w:val="TextBody"/>
        <w:spacing w:before="0" w:after="0"/>
        <w:jc w:val="both"/>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6</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5.6. </w:t>
      </w:r>
      <w:r>
        <w:rPr>
          <w:rFonts w:ascii="Times New Roman;serif" w:hAnsi="Times New Roman;serif"/>
          <w:b w:val="false"/>
          <w:sz w:val="22"/>
          <w:u w:val="single"/>
        </w:rPr>
        <w:t>TERMINATION OF EMPLOYMENT</w:t>
      </w:r>
      <w:r>
        <w:rPr>
          <w:rFonts w:ascii="Times New Roman;serif" w:hAnsi="Times New Roman;serif"/>
          <w:b w:val="false"/>
          <w:sz w:val="22"/>
        </w:rPr>
        <w:t>. Unless otherwise determined by (i) the Committee in its discretion or (ii) the CEO in his or her discretion with respect to a Participant who is not a Section 16 Officer, and subject to any contrary provision in an individual employment, key position, severance or similar agreement with a Participant, a Participant must be actively employed and in good standing or on approved leave of absence as of the date of payment in order to be eligible to receive an Annual Incentive Award for such Plan Year, and a Participant whose employment terminates for any reason prior to the date of payment shall forfeit his or her right to receive an Annual Incentive Award for such Plan Year. Notwithstanding the foregoing, pursuant to Section 4.4, the Committee or the CEO (with respect to individuals who are not Section 16 Officers) may determine, in their discretion and on a case-by-case basis, that a Participant whose employment is terminated on account of death, Disability or Retirement shall remain eligible to receive a portion of his or her Annual Incentive Award, based on actual achievement of applicable Performance Objectives and prorated based on the number of days that the Participant was actively employed and performed services during the applicable performance period. Any amounts paid on behalf of a deceased Participant will be paid to the Participant’s beneficiary.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5.7. </w:t>
      </w:r>
      <w:r>
        <w:rPr>
          <w:rFonts w:ascii="Times New Roman;serif" w:hAnsi="Times New Roman;serif"/>
          <w:b w:val="false"/>
          <w:sz w:val="22"/>
          <w:u w:val="single"/>
        </w:rPr>
        <w:t>CHANGE IN CONTROL</w:t>
      </w:r>
      <w:r>
        <w:rPr>
          <w:rFonts w:ascii="Times New Roman;serif" w:hAnsi="Times New Roman;serif"/>
          <w:b w:val="false"/>
          <w:sz w:val="22"/>
        </w:rPr>
        <w:t>. In the event a Change in Control occurs during a Plan Year, unless otherwise determined by the Committee, a pro rata portion of the Target Award amounts for that Plan Year (based on the number of days in the Plan Year preceding the Change in Control, divided by 365) shall be deemed earned, notwithstanding the level of achievement of Performance Objectives. Such prorata Target Awards shall be paid to Participants no later than thirty (30) days after the effective date of the Change in Control and, unless other determined by the Company in its sole discretion, such payments shall be in full satisfaction of any awards under the Plan for such Plan Year and no additional amounts shall be payable to Participants under the Plan with respect to such Plan Year.</w:t>
      </w:r>
    </w:p>
    <w:p>
      <w:pPr>
        <w:pStyle w:val="TextBody"/>
        <w:spacing w:before="0" w:after="0"/>
        <w:jc w:val="both"/>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ARTICLE 6</w:t>
      </w:r>
    </w:p>
    <w:p>
      <w:pPr>
        <w:pStyle w:val="TextBody"/>
        <w:spacing w:before="0" w:after="0"/>
        <w:jc w:val="center"/>
        <w:rPr>
          <w:rFonts w:ascii="Times New Roman;serif" w:hAnsi="Times New Roman;serif"/>
          <w:b/>
          <w:sz w:val="22"/>
        </w:rPr>
      </w:pPr>
      <w:r>
        <w:rPr>
          <w:rFonts w:ascii="Times New Roman;serif" w:hAnsi="Times New Roman;serif"/>
          <w:b/>
          <w:sz w:val="22"/>
        </w:rPr>
        <w:t>AMENDMENT, MODIFICATION AND TERMINATION</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6.1. </w:t>
      </w:r>
      <w:r>
        <w:rPr>
          <w:rFonts w:ascii="Times New Roman;serif" w:hAnsi="Times New Roman;serif"/>
          <w:b w:val="false"/>
          <w:sz w:val="22"/>
          <w:u w:val="single"/>
        </w:rPr>
        <w:t>AMENDMENT, MODIFICATION AND TERMINATION</w:t>
      </w:r>
      <w:r>
        <w:rPr>
          <w:rFonts w:ascii="Times New Roman;serif" w:hAnsi="Times New Roman;serif"/>
          <w:b w:val="false"/>
          <w:sz w:val="22"/>
        </w:rPr>
        <w:t>. The Committee may, at any time and from time to time, amend, modify or terminate this Plan. The Committee may condition any amendment or modification on the approval of stockholders of the Company if such approval is necessary or deemed advisable with respect to tax, securities or other applicable laws, policies or regulations.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6.2. </w:t>
      </w:r>
      <w:r>
        <w:rPr>
          <w:rFonts w:ascii="Times New Roman;serif" w:hAnsi="Times New Roman;serif"/>
          <w:b w:val="false"/>
          <w:caps/>
          <w:sz w:val="22"/>
          <w:u w:val="single"/>
        </w:rPr>
        <w:t>Termination during Plan Year</w:t>
      </w:r>
      <w:r>
        <w:rPr>
          <w:rFonts w:ascii="Times New Roman;serif" w:hAnsi="Times New Roman;serif"/>
          <w:b w:val="false"/>
          <w:sz w:val="22"/>
        </w:rPr>
        <w:t>. Termination or amendment of this Plan during a Plan Year may be retroactive to the beginning of the Plan Year, at the discretion of the Committee. If a Change in Control occurs, no amendment or termination may adversely affect amounts payable to a Participant without the consent of the Participant.</w:t>
      </w:r>
    </w:p>
    <w:p>
      <w:pPr>
        <w:pStyle w:val="TextBody"/>
        <w:spacing w:before="0" w:after="0"/>
        <w:jc w:val="both"/>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ARTICLE 7</w:t>
      </w:r>
    </w:p>
    <w:p>
      <w:pPr>
        <w:pStyle w:val="TextBody"/>
        <w:spacing w:before="0" w:after="0"/>
        <w:jc w:val="center"/>
        <w:rPr>
          <w:rFonts w:ascii="Times New Roman;serif" w:hAnsi="Times New Roman;serif"/>
          <w:b/>
          <w:sz w:val="22"/>
        </w:rPr>
      </w:pPr>
      <w:r>
        <w:rPr>
          <w:rFonts w:ascii="Times New Roman;serif" w:hAnsi="Times New Roman;serif"/>
          <w:b/>
          <w:sz w:val="22"/>
        </w:rPr>
        <w:t>GENERAL PROVISIONS</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7.1. </w:t>
      </w:r>
      <w:r>
        <w:rPr>
          <w:rFonts w:ascii="Times New Roman;serif" w:hAnsi="Times New Roman;serif"/>
          <w:b w:val="false"/>
          <w:sz w:val="22"/>
          <w:u w:val="single"/>
        </w:rPr>
        <w:t>NO RIGHT TO PARTICIPATE</w:t>
      </w:r>
      <w:r>
        <w:rPr>
          <w:rFonts w:ascii="Times New Roman;serif" w:hAnsi="Times New Roman;serif"/>
          <w:b w:val="false"/>
          <w:sz w:val="22"/>
        </w:rPr>
        <w:t>. No employee shall have any right to be selected to participate in this Plan.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7.2. </w:t>
      </w:r>
      <w:r>
        <w:rPr>
          <w:rFonts w:ascii="Times New Roman;serif" w:hAnsi="Times New Roman;serif"/>
          <w:b w:val="false"/>
          <w:sz w:val="22"/>
          <w:u w:val="single"/>
        </w:rPr>
        <w:t>NO RIGHT TO EMPLOYMENT</w:t>
      </w:r>
      <w:r>
        <w:rPr>
          <w:rFonts w:ascii="Times New Roman;serif" w:hAnsi="Times New Roman;serif"/>
          <w:b w:val="false"/>
          <w:sz w:val="22"/>
        </w:rPr>
        <w:t>. Nothing in this Plan shall interfere with or limit in any way the right of the Company or any Affiliate to terminate any Participant’s employment at any time, nor confer upon any Participant any right to continue in the employ of the Company or any Affiliate.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7.3. </w:t>
      </w:r>
      <w:r>
        <w:rPr>
          <w:rFonts w:ascii="Times New Roman;serif" w:hAnsi="Times New Roman;serif"/>
          <w:b w:val="false"/>
          <w:sz w:val="22"/>
          <w:u w:val="single"/>
        </w:rPr>
        <w:t>WITHHOLDING</w:t>
      </w:r>
      <w:r>
        <w:rPr>
          <w:rFonts w:ascii="Times New Roman;serif" w:hAnsi="Times New Roman;serif"/>
          <w:b w:val="false"/>
          <w:sz w:val="22"/>
        </w:rPr>
        <w:t>. The Company or any Affiliate shall have the authority and the right to deduct or withhold, or require a Participant to remit to the Company, an amount sufficient to satisfy applicable taxes (including, without limitation, federal, state, local and foreign taxes, and the Participant’s FICA obligation) required by law to be withheld with respect to any taxable event arising as a result of this Plan.</w:t>
      </w:r>
      <w:r>
        <w:rPr>
          <w:rFonts w:ascii="Times New Roman" w:hAnsi="Times New Roman"/>
          <w:sz w:val="20"/>
        </w:rPr>
        <w:t xml:space="preserve">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7</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7.4. </w:t>
      </w:r>
      <w:r>
        <w:rPr>
          <w:rFonts w:ascii="Times New Roman;serif" w:hAnsi="Times New Roman;serif"/>
          <w:b w:val="false"/>
          <w:sz w:val="22"/>
          <w:u w:val="single"/>
        </w:rPr>
        <w:t>FUNDING</w:t>
      </w:r>
      <w:r>
        <w:rPr>
          <w:rFonts w:ascii="Times New Roman;serif" w:hAnsi="Times New Roman;serif"/>
          <w:b w:val="false"/>
          <w:sz w:val="22"/>
        </w:rPr>
        <w:t>. Benefits payable under this Plan to a Participant or to a beneficiary will be paid by the Company from its general assets. The Company is not required to segregate on its books or otherwise establish any funding procedure for any amount to be used for the payment of benefits under this Plan. The Company may, however, in its sole discretion, set funds aside in investments to meet its anticipated obligations under this Plan. Any such action or set-aside may not be deemed to create a trust of any kind between the Company and any Participant or beneficiary or to constitute the funding of any Plan benefits. Consequently, any person entitled to a payment under this Plan will have no rights greater than the rights of any other unsecured creditor of the Company.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7.5. </w:t>
      </w:r>
      <w:r>
        <w:rPr>
          <w:rFonts w:ascii="Times New Roman;serif" w:hAnsi="Times New Roman;serif"/>
          <w:b w:val="false"/>
          <w:sz w:val="22"/>
          <w:u w:val="single"/>
        </w:rPr>
        <w:t>EXPENSES</w:t>
      </w:r>
      <w:r>
        <w:rPr>
          <w:rFonts w:ascii="Times New Roman;serif" w:hAnsi="Times New Roman;serif"/>
          <w:b w:val="false"/>
          <w:sz w:val="22"/>
        </w:rPr>
        <w:t>. The expenses of administering this Plan shall be borne by the Company and its Subsidiaries.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7.6. </w:t>
      </w:r>
      <w:r>
        <w:rPr>
          <w:rFonts w:ascii="Times New Roman;serif" w:hAnsi="Times New Roman;serif"/>
          <w:b w:val="false"/>
          <w:sz w:val="22"/>
          <w:u w:val="single"/>
        </w:rPr>
        <w:t>TITLES AND HEADINGS</w:t>
      </w:r>
      <w:r>
        <w:rPr>
          <w:rFonts w:ascii="Times New Roman;serif" w:hAnsi="Times New Roman;serif"/>
          <w:b w:val="false"/>
          <w:sz w:val="22"/>
        </w:rPr>
        <w:t>. The titles and headings of the Sections in this Plan are for convenience of reference only, and in the event of any conflict, the text of this Plan, rather than such titles or headings, shall control.</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7.7. </w:t>
      </w:r>
      <w:r>
        <w:rPr>
          <w:rFonts w:ascii="Times New Roman;serif" w:hAnsi="Times New Roman;serif"/>
          <w:b w:val="false"/>
          <w:sz w:val="22"/>
          <w:u w:val="single"/>
        </w:rPr>
        <w:t>GENDER AND NUMBER</w:t>
      </w:r>
      <w:r>
        <w:rPr>
          <w:rFonts w:ascii="Times New Roman;serif" w:hAnsi="Times New Roman;serif"/>
          <w:b w:val="false"/>
          <w:sz w:val="22"/>
        </w:rPr>
        <w:t>. Except where otherwise indicated by the context, any masculine term used herein also shall include the feminine; the plural shall include the singular and the singular shall include the plural.</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7.8. </w:t>
      </w:r>
      <w:r>
        <w:rPr>
          <w:rFonts w:ascii="Times New Roman;serif" w:hAnsi="Times New Roman;serif"/>
          <w:b w:val="false"/>
          <w:sz w:val="22"/>
          <w:u w:val="single"/>
        </w:rPr>
        <w:t>GOVERNING LAW.</w:t>
      </w:r>
      <w:r>
        <w:rPr>
          <w:rFonts w:ascii="Times New Roman" w:hAnsi="Times New Roman"/>
          <w:sz w:val="20"/>
        </w:rPr>
        <w:t xml:space="preserve"> </w:t>
      </w:r>
      <w:r>
        <w:rPr>
          <w:rFonts w:ascii="Times New Roman;serif" w:hAnsi="Times New Roman;serif"/>
          <w:b w:val="false"/>
          <w:sz w:val="22"/>
        </w:rPr>
        <w:t>To the extent not governed by federal law, this Plan shall be construed in accordance with and governed by the laws of the State of Delaware.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7.9. </w:t>
      </w:r>
      <w:r>
        <w:rPr>
          <w:rFonts w:ascii="Times New Roman;serif" w:hAnsi="Times New Roman;serif"/>
          <w:b w:val="false"/>
          <w:caps/>
          <w:sz w:val="22"/>
          <w:u w:val="single"/>
        </w:rPr>
        <w:t>CompensatIOn ReCoupmenT Policy</w:t>
      </w:r>
      <w:r>
        <w:rPr>
          <w:rFonts w:ascii="Times New Roman;serif" w:hAnsi="Times New Roman;serif"/>
          <w:b w:val="false"/>
          <w:sz w:val="22"/>
        </w:rPr>
        <w:t>. Annual Incentive Awards granted under this Plan shall be subject to any compensation recoupment policy that the Company may adopt from time to time that is applicable by its terms to the recipient of such award.</w:t>
      </w:r>
      <w:r>
        <w:rPr>
          <w:rFonts w:ascii="Times New Roman" w:hAnsi="Times New Roman"/>
          <w:sz w:val="20"/>
        </w:rPr>
        <w:t xml:space="preserve"> </w:t>
      </w:r>
    </w:p>
    <w:p>
      <w:pPr>
        <w:pStyle w:val="TextBody"/>
        <w:spacing w:before="0" w:after="0"/>
        <w:jc w:val="both"/>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w:t>
      </w:r>
    </w:p>
    <w:p>
      <w:pPr>
        <w:pStyle w:val="TextBody"/>
        <w:spacing w:before="0" w:after="0"/>
        <w:jc w:val="both"/>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8</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foregoing is hereby acknowledged as being the CommScope Holding Company, Inc. Annual Incentive Plan as adopted by the Board to be effective as of October 24, 2013, as amended February 17, 2016, and further amended and restated as of February 21, 2023.</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serif" w:hAnsi="Times New Roman;serif"/>
          <w:b w:val="false"/>
          <w:caps/>
          <w:sz w:val="22"/>
        </w:rPr>
      </w:pPr>
      <w:r>
        <w:rPr>
          <w:rFonts w:ascii="Times New Roman;serif" w:hAnsi="Times New Roman;serif"/>
          <w:b w:val="false"/>
          <w:caps/>
          <w:sz w:val="22"/>
        </w:rPr>
        <w:t>COMMSCOPE HOLDING COMPANY, INC.</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Justin C. Choi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Its: Senior Vice President</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7" w:name="comm-ex31_1.htm"/>
      <w:bookmarkStart w:id="28" w:name="kscommex31_1"/>
      <w:bookmarkEnd w:id="27"/>
      <w:bookmarkEnd w:id="28"/>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240" w:after="0"/>
        <w:jc w:val="center"/>
        <w:rPr>
          <w:rFonts w:ascii="Times New Roman;serif" w:hAnsi="Times New Roman;serif"/>
          <w:b/>
          <w:sz w:val="20"/>
        </w:rPr>
      </w:pPr>
      <w:r>
        <w:rPr>
          <w:rFonts w:ascii="Times New Roman;serif" w:hAnsi="Times New Roman;serif"/>
          <w:b/>
          <w:sz w:val="20"/>
        </w:rPr>
        <w:t>MANAGEMENT CERTIFICATION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Charles L. Treadway, certify that: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CommScope Holding Company, Inc.;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6977" w:type="dxa"/>
        <w:jc w:val="left"/>
        <w:tblInd w:w="0" w:type="dxa"/>
        <w:tblCellMar>
          <w:top w:w="28" w:type="dxa"/>
          <w:left w:w="28" w:type="dxa"/>
          <w:bottom w:w="28" w:type="dxa"/>
          <w:right w:w="28" w:type="dxa"/>
        </w:tblCellMar>
      </w:tblPr>
      <w:tblGrid>
        <w:gridCol w:w="646"/>
        <w:gridCol w:w="6331"/>
      </w:tblGrid>
      <w:tr>
        <w:trPr/>
        <w:tc>
          <w:tcPr>
            <w:tcW w:w="646" w:type="dxa"/>
            <w:tcBorders/>
            <w:shd w:fill="auto" w:val="clear"/>
            <w:vAlign w:val="center"/>
          </w:tcPr>
          <w:p>
            <w:pPr>
              <w:pStyle w:val="TableContents"/>
              <w:spacing w:before="0" w:after="283"/>
              <w:rPr>
                <w:sz w:val="4"/>
                <w:szCs w:val="4"/>
              </w:rPr>
            </w:pPr>
            <w:r>
              <w:rPr>
                <w:sz w:val="4"/>
                <w:szCs w:val="4"/>
              </w:rPr>
            </w:r>
          </w:p>
        </w:tc>
        <w:tc>
          <w:tcPr>
            <w:tcW w:w="6331" w:type="dxa"/>
            <w:tcBorders/>
            <w:shd w:fill="auto" w:val="clear"/>
            <w:vAlign w:val="center"/>
          </w:tcPr>
          <w:p>
            <w:pPr>
              <w:pStyle w:val="TableContents"/>
              <w:spacing w:before="0" w:after="283"/>
              <w:rPr>
                <w:sz w:val="4"/>
                <w:szCs w:val="4"/>
              </w:rPr>
            </w:pPr>
            <w:r>
              <w:rPr>
                <w:sz w:val="4"/>
                <w:szCs w:val="4"/>
              </w:rPr>
            </w:r>
          </w:p>
        </w:tc>
      </w:tr>
      <w:tr>
        <w:trPr/>
        <w:tc>
          <w:tcPr>
            <w:tcW w:w="6977"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Dated: May 3, 2023</w:t>
            </w:r>
          </w:p>
        </w:tc>
      </w:tr>
      <w:tr>
        <w:trPr/>
        <w:tc>
          <w:tcPr>
            <w:tcW w:w="6977" w:type="dxa"/>
            <w:gridSpan w:val="2"/>
            <w:tcBorders/>
            <w:shd w:fill="auto" w:val="clear"/>
            <w:vAlign w:val="center"/>
          </w:tcPr>
          <w:p>
            <w:pPr>
              <w:pStyle w:val="TableContents"/>
              <w:spacing w:before="0" w:after="0"/>
              <w:ind w:left="0" w:right="0" w:hanging="0"/>
              <w:jc w:val="left"/>
              <w:rPr/>
            </w:pPr>
            <w:r>
              <w:rPr/>
              <w:t> </w:t>
            </w:r>
          </w:p>
        </w:tc>
      </w:tr>
      <w:tr>
        <w:trPr/>
        <w:tc>
          <w:tcPr>
            <w:tcW w:w="69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Charles L. Treadway</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Charles L. Treadway</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Chief Executive Officer and Director (Principal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9" w:name="comm-ex31_2.htm"/>
      <w:bookmarkStart w:id="30" w:name="kscommex31_2"/>
      <w:bookmarkEnd w:id="29"/>
      <w:bookmarkEnd w:id="30"/>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240" w:after="0"/>
        <w:jc w:val="center"/>
        <w:rPr>
          <w:rFonts w:ascii="Times New Roman;serif" w:hAnsi="Times New Roman;serif"/>
          <w:b/>
          <w:sz w:val="20"/>
        </w:rPr>
      </w:pPr>
      <w:r>
        <w:rPr>
          <w:rFonts w:ascii="Times New Roman;serif" w:hAnsi="Times New Roman;serif"/>
          <w:b/>
          <w:sz w:val="20"/>
        </w:rPr>
        <w:t>MANAGEMENT CERTIFICATION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Kyle D. Lorentzen, certify that: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CommScope Holding Company, Inc.;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7397" w:type="dxa"/>
        <w:jc w:val="left"/>
        <w:tblInd w:w="0" w:type="dxa"/>
        <w:tblCellMar>
          <w:top w:w="28" w:type="dxa"/>
          <w:left w:w="28" w:type="dxa"/>
          <w:bottom w:w="28" w:type="dxa"/>
          <w:right w:w="28" w:type="dxa"/>
        </w:tblCellMar>
      </w:tblPr>
      <w:tblGrid>
        <w:gridCol w:w="646"/>
        <w:gridCol w:w="6751"/>
      </w:tblGrid>
      <w:tr>
        <w:trPr/>
        <w:tc>
          <w:tcPr>
            <w:tcW w:w="646" w:type="dxa"/>
            <w:tcBorders/>
            <w:shd w:fill="auto" w:val="clear"/>
            <w:vAlign w:val="center"/>
          </w:tcPr>
          <w:p>
            <w:pPr>
              <w:pStyle w:val="TableContents"/>
              <w:spacing w:before="0" w:after="283"/>
              <w:rPr>
                <w:sz w:val="4"/>
                <w:szCs w:val="4"/>
              </w:rPr>
            </w:pPr>
            <w:r>
              <w:rPr>
                <w:sz w:val="4"/>
                <w:szCs w:val="4"/>
              </w:rPr>
            </w:r>
          </w:p>
        </w:tc>
        <w:tc>
          <w:tcPr>
            <w:tcW w:w="6751" w:type="dxa"/>
            <w:tcBorders/>
            <w:shd w:fill="auto" w:val="clear"/>
            <w:vAlign w:val="center"/>
          </w:tcPr>
          <w:p>
            <w:pPr>
              <w:pStyle w:val="TableContents"/>
              <w:spacing w:before="0" w:after="283"/>
              <w:rPr>
                <w:sz w:val="4"/>
                <w:szCs w:val="4"/>
              </w:rPr>
            </w:pPr>
            <w:r>
              <w:rPr>
                <w:sz w:val="4"/>
                <w:szCs w:val="4"/>
              </w:rPr>
            </w:r>
          </w:p>
        </w:tc>
      </w:tr>
      <w:tr>
        <w:trPr/>
        <w:tc>
          <w:tcPr>
            <w:tcW w:w="7397"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Dated: May 3, 2023</w:t>
            </w:r>
          </w:p>
        </w:tc>
      </w:tr>
      <w:tr>
        <w:trPr/>
        <w:tc>
          <w:tcPr>
            <w:tcW w:w="7397" w:type="dxa"/>
            <w:gridSpan w:val="2"/>
            <w:tcBorders/>
            <w:shd w:fill="auto" w:val="clear"/>
            <w:vAlign w:val="center"/>
          </w:tcPr>
          <w:p>
            <w:pPr>
              <w:pStyle w:val="TableContents"/>
              <w:spacing w:before="0" w:after="0"/>
              <w:ind w:left="0" w:right="0" w:hanging="0"/>
              <w:jc w:val="left"/>
              <w:rPr/>
            </w:pPr>
            <w:r>
              <w:rPr/>
              <w:t> </w:t>
            </w:r>
          </w:p>
        </w:tc>
      </w:tr>
      <w:tr>
        <w:trPr/>
        <w:tc>
          <w:tcPr>
            <w:tcW w:w="73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Kyle D. Lorentzen</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6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Kyle D. Lorentzen</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67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Vice President and Chief Financial Officer (Principal Financial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31" w:name="comm-ex32_1.htm"/>
      <w:bookmarkStart w:id="32" w:name="kscommex32_1"/>
      <w:bookmarkEnd w:id="31"/>
      <w:bookmarkEnd w:id="32"/>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CommScope Holding Company, Inc. (the “Company”) on Form 10-Q for the quarter ended March 31, 2023 as filed with the Securities and Exchange Commission on the date hereof (the “Report”), we, Charles L. Treadway, President, Chief Executive Officer and Director of the Company, and Kyle D. Lorentzen, Executive Vice President and Chief Financial Officer of the Company, certify, pursuant to 18 U.S.C. § 1350 as adopted pursuant to § 906 of the Sarbanes-Oxley Act of 2002, that: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spacing w:before="0" w:after="0"/>
        <w:jc w:val="left"/>
        <w:rPr/>
      </w:pPr>
      <w:r>
        <w:rPr/>
        <w:t> </w:t>
      </w:r>
    </w:p>
    <w:tbl>
      <w:tblPr>
        <w:tblW w:w="3976" w:type="dxa"/>
        <w:jc w:val="left"/>
        <w:tblInd w:w="0" w:type="dxa"/>
        <w:tblCellMar>
          <w:top w:w="28" w:type="dxa"/>
          <w:left w:w="28" w:type="dxa"/>
          <w:bottom w:w="28" w:type="dxa"/>
          <w:right w:w="28" w:type="dxa"/>
        </w:tblCellMar>
      </w:tblPr>
      <w:tblGrid>
        <w:gridCol w:w="3976"/>
      </w:tblGrid>
      <w:tr>
        <w:trPr/>
        <w:tc>
          <w:tcPr>
            <w:tcW w:w="3976" w:type="dxa"/>
            <w:tcBorders/>
            <w:shd w:fill="auto" w:val="clear"/>
            <w:vAlign w:val="center"/>
          </w:tcPr>
          <w:p>
            <w:pPr>
              <w:pStyle w:val="TableContents"/>
              <w:spacing w:before="0" w:after="283"/>
              <w:rPr>
                <w:sz w:val="4"/>
                <w:szCs w:val="4"/>
              </w:rPr>
            </w:pPr>
            <w:r>
              <w:rPr>
                <w:sz w:val="4"/>
                <w:szCs w:val="4"/>
              </w:rPr>
            </w:r>
          </w:p>
        </w:tc>
      </w:tr>
      <w:tr>
        <w:trPr/>
        <w:tc>
          <w:tcPr>
            <w:tcW w:w="3976" w:type="dxa"/>
            <w:tcBorders/>
            <w:shd w:fill="auto" w:val="cle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Dated: May 3, 2023</w:t>
            </w:r>
          </w:p>
        </w:tc>
      </w:tr>
      <w:tr>
        <w:trPr/>
        <w:tc>
          <w:tcPr>
            <w:tcW w:w="3976" w:type="dxa"/>
            <w:tcBorders/>
            <w:shd w:fill="auto" w:val="clear"/>
            <w:vAlign w:val="center"/>
          </w:tcPr>
          <w:p>
            <w:pPr>
              <w:pStyle w:val="TableContents"/>
              <w:spacing w:before="0" w:after="0"/>
              <w:ind w:left="0" w:right="0" w:hanging="0"/>
              <w:jc w:val="left"/>
              <w:rPr/>
            </w:pPr>
            <w:r>
              <w:rPr/>
              <w:t> </w:t>
            </w:r>
          </w:p>
        </w:tc>
      </w:tr>
      <w:tr>
        <w:trPr/>
        <w:tc>
          <w:tcPr>
            <w:tcW w:w="39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Charles L. Treadway</w:t>
            </w:r>
          </w:p>
        </w:tc>
      </w:tr>
      <w:tr>
        <w:trPr/>
        <w:tc>
          <w:tcPr>
            <w:tcW w:w="3976" w:type="dxa"/>
            <w:tcBorders/>
            <w:shd w:fill="auto" w:val="cle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Charles L. Treadway</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Chief Executive Officer and Director</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spacing w:before="0" w:after="0"/>
        <w:jc w:val="left"/>
        <w:rPr/>
      </w:pPr>
      <w:r>
        <w:rPr/>
        <w:t> </w:t>
      </w:r>
    </w:p>
    <w:tbl>
      <w:tblPr>
        <w:tblW w:w="4456" w:type="dxa"/>
        <w:jc w:val="left"/>
        <w:tblInd w:w="0" w:type="dxa"/>
        <w:tblCellMar>
          <w:top w:w="28" w:type="dxa"/>
          <w:left w:w="28" w:type="dxa"/>
          <w:bottom w:w="28" w:type="dxa"/>
          <w:right w:w="28" w:type="dxa"/>
        </w:tblCellMar>
      </w:tblPr>
      <w:tblGrid>
        <w:gridCol w:w="4456"/>
      </w:tblGrid>
      <w:tr>
        <w:trPr/>
        <w:tc>
          <w:tcPr>
            <w:tcW w:w="4456" w:type="dxa"/>
            <w:tcBorders/>
            <w:shd w:fill="auto" w:val="clear"/>
            <w:vAlign w:val="center"/>
          </w:tcPr>
          <w:p>
            <w:pPr>
              <w:pStyle w:val="TableContents"/>
              <w:spacing w:before="0" w:after="283"/>
              <w:rPr>
                <w:sz w:val="4"/>
                <w:szCs w:val="4"/>
              </w:rPr>
            </w:pPr>
            <w:r>
              <w:rPr>
                <w:sz w:val="4"/>
                <w:szCs w:val="4"/>
              </w:rPr>
            </w:r>
          </w:p>
        </w:tc>
      </w:tr>
      <w:tr>
        <w:trPr/>
        <w:tc>
          <w:tcPr>
            <w:tcW w:w="44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Kyle D. Lorentzen</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Kyle D. Lorentzen</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Vice President and Chief Financial Officer</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spacing w:before="0" w:after="0"/>
        <w:jc w:val="left"/>
        <w:rPr/>
      </w:pPr>
      <w:r>
        <w:rPr/>
        <w:t> </w:t>
      </w:r>
    </w:p>
    <w:p>
      <w:pPr>
        <w:pStyle w:val="TextBody"/>
        <w:spacing w:before="0" w:after="0"/>
        <w:jc w:val="left"/>
        <w:rPr/>
      </w:pPr>
      <w:r>
        <w:rPr/>
        <w:t> </w:t>
      </w:r>
    </w:p>
    <w:p>
      <w:pPr>
        <w:pStyle w:val="TextBody"/>
        <w:spacing w:before="24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7228/000119312513430556/d613438dex31.htm" TargetMode="External"/><Relationship Id="rId3" Type="http://schemas.openxmlformats.org/officeDocument/2006/relationships/hyperlink" Target="https://www.sec.gov/Archives/edgar/data/1517228/000119312521175068/d172001ds8.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21810</Words>
  <CharactersWithSpaces>142571</CharactersWithSpaces>
  <Paragraphs>7778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