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
        <w:spacing w:after="0"/>
        <w:rPr>
          <w:sz w:val="20"/>
          <w:szCs w:val="20"/>
          <w:color w:val="auto"/>
        </w:rPr>
      </w:pPr>
      <w:r>
        <w:rPr>
          <w:rFonts w:ascii="Times New Roman" w:cs="Times New Roman" w:eastAsia="Times New Roman" w:hAnsi="Times New Roman"/>
          <w:sz w:val="3"/>
          <w:szCs w:val="3"/>
          <w:color w:val="auto"/>
        </w:rPr>
        <w:t>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2853055</wp:posOffset>
            </wp:positionH>
            <wp:positionV relativeFrom="paragraph">
              <wp:posOffset>-185420</wp:posOffset>
            </wp:positionV>
            <wp:extent cx="14363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6370" cy="7620"/>
                    </a:xfrm>
                    <a:prstGeom prst="rect">
                      <a:avLst/>
                    </a:prstGeom>
                    <a:noFill/>
                  </pic:spPr>
                </pic:pic>
              </a:graphicData>
            </a:graphic>
          </wp:anchor>
        </w:drawing>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1" w:lineRule="exact"/>
        <w:rPr>
          <w:sz w:val="24"/>
          <w:szCs w:val="24"/>
          <w:color w:val="auto"/>
        </w:rPr>
      </w:pPr>
    </w:p>
    <w:p>
      <w:pPr>
        <w:ind w:left="580" w:hanging="576"/>
        <w:spacing w:after="0"/>
        <w:tabs>
          <w:tab w:leader="none" w:pos="58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41" w:lineRule="exact"/>
        <w:rPr>
          <w:rFonts w:ascii="MS PGothic" w:cs="MS PGothic" w:eastAsia="MS PGothic" w:hAnsi="MS PGothic"/>
          <w:sz w:val="15"/>
          <w:szCs w:val="15"/>
          <w:color w:val="auto"/>
          <w:highlight w:val="black"/>
        </w:rPr>
      </w:pPr>
    </w:p>
    <w:p>
      <w:pPr>
        <w:ind w:left="404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For the quarterly period ended March 31,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39" w:lineRule="exact"/>
        <w:rPr>
          <w:sz w:val="24"/>
          <w:szCs w:val="24"/>
          <w:color w:val="auto"/>
        </w:rPr>
      </w:pPr>
    </w:p>
    <w:p>
      <w:pPr>
        <w:ind w:left="580" w:hanging="576"/>
        <w:spacing w:after="0"/>
        <w:tabs>
          <w:tab w:leader="none" w:pos="58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7" w:lineRule="exact"/>
        <w:rPr>
          <w:sz w:val="24"/>
          <w:szCs w:val="24"/>
          <w:color w:val="auto"/>
        </w:rPr>
      </w:pPr>
    </w:p>
    <w:p>
      <w:pPr>
        <w:ind w:left="4060"/>
        <w:spacing w:after="0"/>
        <w:tabs>
          <w:tab w:leader="none" w:pos="65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001-36146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2853055</wp:posOffset>
            </wp:positionH>
            <wp:positionV relativeFrom="paragraph">
              <wp:posOffset>71755</wp:posOffset>
            </wp:positionV>
            <wp:extent cx="14363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6370" cy="762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CommScope Holding Company,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Pr>
          <w:p>
            <w:pPr>
              <w:jc w:val="center"/>
              <w:ind w:left="163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960" w:type="dxa"/>
            <w:vAlign w:val="bottom"/>
          </w:tcPr>
          <w:p>
            <w:pPr>
              <w:jc w:val="center"/>
              <w:ind w:right="1614"/>
              <w:spacing w:after="0"/>
              <w:rPr>
                <w:sz w:val="20"/>
                <w:szCs w:val="20"/>
                <w:color w:val="auto"/>
              </w:rPr>
            </w:pPr>
            <w:r>
              <w:rPr>
                <w:rFonts w:ascii="Times New Roman" w:cs="Times New Roman" w:eastAsia="Times New Roman" w:hAnsi="Times New Roman"/>
                <w:sz w:val="15"/>
                <w:szCs w:val="15"/>
                <w:b w:val="1"/>
                <w:bCs w:val="1"/>
                <w:color w:val="auto"/>
              </w:rPr>
              <w:t>27-4332098</w:t>
            </w:r>
          </w:p>
        </w:tc>
        <w:tc>
          <w:tcPr>
            <w:tcW w:w="0" w:type="dxa"/>
            <w:vAlign w:val="bottom"/>
          </w:tcPr>
          <w:p>
            <w:pPr>
              <w:spacing w:after="0"/>
              <w:rPr>
                <w:sz w:val="1"/>
                <w:szCs w:val="1"/>
                <w:color w:val="auto"/>
              </w:rPr>
            </w:pPr>
          </w:p>
        </w:tc>
      </w:tr>
      <w:tr>
        <w:trPr>
          <w:trHeight w:val="128"/>
        </w:trPr>
        <w:tc>
          <w:tcPr>
            <w:tcW w:w="3920" w:type="dxa"/>
            <w:vAlign w:val="bottom"/>
          </w:tcPr>
          <w:p>
            <w:pPr>
              <w:jc w:val="center"/>
              <w:ind w:left="1633"/>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60" w:type="dxa"/>
            <w:vAlign w:val="bottom"/>
          </w:tcPr>
          <w:p>
            <w:pPr>
              <w:jc w:val="center"/>
              <w:ind w:right="1614"/>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2"/>
        </w:trPr>
        <w:tc>
          <w:tcPr>
            <w:tcW w:w="3920" w:type="dxa"/>
            <w:vAlign w:val="bottom"/>
          </w:tcPr>
          <w:p>
            <w:pPr>
              <w:jc w:val="center"/>
              <w:ind w:left="1633"/>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tcPr>
          <w:p>
            <w:pPr>
              <w:jc w:val="center"/>
              <w:ind w:right="1614"/>
              <w:spacing w:after="0"/>
              <w:rPr>
                <w:sz w:val="20"/>
                <w:szCs w:val="20"/>
                <w:color w:val="auto"/>
              </w:rPr>
            </w:pPr>
            <w:r>
              <w:rPr>
                <w:rFonts w:ascii="Times New Roman" w:cs="Times New Roman" w:eastAsia="Times New Roman" w:hAnsi="Times New Roman"/>
                <w:sz w:val="12"/>
                <w:szCs w:val="12"/>
                <w:b w:val="1"/>
                <w:bCs w:val="1"/>
                <w:color w:val="auto"/>
              </w:rPr>
              <w:t>Identification No.)</w:t>
            </w:r>
          </w:p>
        </w:tc>
        <w:tc>
          <w:tcPr>
            <w:tcW w:w="0" w:type="dxa"/>
            <w:vAlign w:val="bottom"/>
          </w:tcPr>
          <w:p>
            <w:pPr>
              <w:spacing w:after="0"/>
              <w:rPr>
                <w:sz w:val="1"/>
                <w:szCs w:val="1"/>
                <w:color w:val="auto"/>
              </w:rPr>
            </w:pPr>
          </w:p>
        </w:tc>
      </w:tr>
      <w:tr>
        <w:trPr>
          <w:trHeight w:val="259"/>
        </w:trPr>
        <w:tc>
          <w:tcPr>
            <w:tcW w:w="3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4"/>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1100 CommScope Place, SE</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4"/>
          </w:tcPr>
          <w:p>
            <w:pPr>
              <w:jc w:val="center"/>
              <w:ind w:right="560"/>
              <w:spacing w:after="0" w:line="171" w:lineRule="exact"/>
              <w:rPr>
                <w:sz w:val="20"/>
                <w:szCs w:val="20"/>
                <w:color w:val="auto"/>
              </w:rPr>
            </w:pPr>
            <w:r>
              <w:rPr>
                <w:rFonts w:ascii="Times New Roman" w:cs="Times New Roman" w:eastAsia="Times New Roman" w:hAnsi="Times New Roman"/>
                <w:sz w:val="15"/>
                <w:szCs w:val="15"/>
                <w:b w:val="1"/>
                <w:bCs w:val="1"/>
                <w:color w:val="auto"/>
              </w:rPr>
              <w:t>Hickory, North Carolina</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4"/>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2160" w:type="dxa"/>
            <w:vAlign w:val="bottom"/>
            <w:gridSpan w:val="4"/>
          </w:tcPr>
          <w:p>
            <w:pPr>
              <w:jc w:val="right"/>
              <w:ind w:right="193"/>
              <w:spacing w:after="0"/>
              <w:rPr>
                <w:sz w:val="20"/>
                <w:szCs w:val="20"/>
                <w:color w:val="auto"/>
              </w:rPr>
            </w:pPr>
            <w:r>
              <w:rPr>
                <w:rFonts w:ascii="Times New Roman" w:cs="Times New Roman" w:eastAsia="Times New Roman" w:hAnsi="Times New Roman"/>
                <w:sz w:val="15"/>
                <w:szCs w:val="15"/>
                <w:b w:val="1"/>
                <w:bCs w:val="1"/>
                <w:color w:val="auto"/>
              </w:rPr>
              <w:t>28602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4"/>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280" w:type="dxa"/>
            <w:vAlign w:val="bottom"/>
            <w:gridSpan w:val="5"/>
          </w:tcPr>
          <w:p>
            <w:pPr>
              <w:jc w:val="right"/>
              <w:ind w:right="100"/>
              <w:spacing w:after="0" w:line="171" w:lineRule="exact"/>
              <w:rPr>
                <w:sz w:val="20"/>
                <w:szCs w:val="20"/>
                <w:color w:val="auto"/>
              </w:rPr>
            </w:pPr>
            <w:r>
              <w:rPr>
                <w:rFonts w:ascii="Times New Roman" w:cs="Times New Roman" w:eastAsia="Times New Roman" w:hAnsi="Times New Roman"/>
                <w:sz w:val="15"/>
                <w:szCs w:val="15"/>
                <w:b w:val="1"/>
                <w:bCs w:val="1"/>
                <w:color w:val="auto"/>
              </w:rPr>
              <w:t>(828) 324-2200</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3380" w:type="dxa"/>
            <w:vAlign w:val="bottom"/>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3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39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4"/>
            <w:vMerge w:val="restart"/>
          </w:tcPr>
          <w:p>
            <w:pPr>
              <w:jc w:val="center"/>
              <w:ind w:right="134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920" w:type="dxa"/>
            <w:vAlign w:val="bottom"/>
            <w:vMerge w:val="restart"/>
          </w:tcPr>
          <w:p>
            <w:pPr>
              <w:ind w:left="166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gridSpan w:val="4"/>
            <w:vMerge w:val="continue"/>
          </w:tcPr>
          <w:p>
            <w:pPr>
              <w:spacing w:after="0"/>
              <w:rPr>
                <w:sz w:val="10"/>
                <w:szCs w:val="10"/>
                <w:color w:val="auto"/>
              </w:rPr>
            </w:pPr>
          </w:p>
        </w:tc>
        <w:tc>
          <w:tcPr>
            <w:tcW w:w="3960" w:type="dxa"/>
            <w:vAlign w:val="bottom"/>
            <w:vMerge w:val="restart"/>
          </w:tcPr>
          <w:p>
            <w:pPr>
              <w:jc w:val="center"/>
              <w:ind w:right="1034"/>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61"/>
        </w:trPr>
        <w:tc>
          <w:tcPr>
            <w:tcW w:w="39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gridSpan w:val="4"/>
          </w:tcPr>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w w:val="99"/>
              </w:rPr>
              <w:t>COMM</w:t>
            </w:r>
          </w:p>
        </w:tc>
        <w:tc>
          <w:tcPr>
            <w:tcW w:w="120" w:type="dxa"/>
            <w:vAlign w:val="bottom"/>
          </w:tcPr>
          <w:p>
            <w:pPr>
              <w:spacing w:after="0"/>
              <w:rPr>
                <w:sz w:val="15"/>
                <w:szCs w:val="15"/>
                <w:color w:val="auto"/>
              </w:rPr>
            </w:pPr>
          </w:p>
        </w:tc>
        <w:tc>
          <w:tcPr>
            <w:tcW w:w="1100" w:type="dxa"/>
            <w:vAlign w:val="bottom"/>
            <w:tcBorders>
              <w:top w:val="single" w:sz="8" w:color="auto"/>
            </w:tcBorders>
            <w:gridSpan w:val="2"/>
          </w:tcPr>
          <w:p>
            <w:pPr>
              <w:spacing w:after="0"/>
              <w:rPr>
                <w:sz w:val="15"/>
                <w:szCs w:val="15"/>
                <w:color w:val="auto"/>
              </w:rPr>
            </w:pPr>
          </w:p>
        </w:tc>
        <w:tc>
          <w:tcPr>
            <w:tcW w:w="3960" w:type="dxa"/>
            <w:vAlign w:val="bottom"/>
            <w:tcBorders>
              <w:top w:val="single" w:sz="8" w:color="auto"/>
            </w:tcBorders>
          </w:tcPr>
          <w:p>
            <w:pPr>
              <w:jc w:val="center"/>
              <w:ind w:right="1034"/>
              <w:spacing w:after="0"/>
              <w:rPr>
                <w:sz w:val="20"/>
                <w:szCs w:val="20"/>
                <w:color w:val="auto"/>
              </w:rPr>
            </w:pPr>
            <w:r>
              <w:rPr>
                <w:rFonts w:ascii="Times New Roman" w:cs="Times New Roman" w:eastAsia="Times New Roman" w:hAnsi="Times New Roman"/>
                <w:sz w:val="14"/>
                <w:szCs w:val="14"/>
                <w:color w:val="auto"/>
                <w:w w:val="99"/>
              </w:rPr>
              <w:t>The NASDAQ Stock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24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ind w:right="6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Accelerated filer</w:t>
            </w:r>
          </w:p>
        </w:tc>
        <w:tc>
          <w:tcPr>
            <w:tcW w:w="1560" w:type="dxa"/>
            <w:vAlign w:val="bottom"/>
          </w:tcPr>
          <w:p>
            <w:pPr>
              <w:ind w:left="1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560" w:type="dxa"/>
            <w:vAlign w:val="bottom"/>
          </w:tcPr>
          <w:p>
            <w:pPr>
              <w:ind w:left="1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4"/>
        </w:trPr>
        <w:tc>
          <w:tcPr>
            <w:tcW w:w="17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560" w:type="dxa"/>
            <w:vAlign w:val="bottom"/>
          </w:tcPr>
          <w:p>
            <w:pPr>
              <w:ind w:left="1420"/>
              <w:spacing w:after="0" w:line="121" w:lineRule="exact"/>
              <w:rPr>
                <w:sz w:val="20"/>
                <w:szCs w:val="20"/>
                <w:color w:val="auto"/>
              </w:rPr>
            </w:pPr>
            <w:r>
              <w:rPr>
                <w:rFonts w:ascii="MS PGothic" w:cs="MS PGothic" w:eastAsia="MS PGothic" w:hAnsi="MS PGothic"/>
                <w:sz w:val="12"/>
                <w:szCs w:val="12"/>
                <w:color w:val="auto"/>
                <w:w w:val="99"/>
              </w:rPr>
              <w:t>☐</w:t>
            </w:r>
          </w:p>
        </w:tc>
      </w:tr>
    </w:tbl>
    <w:p>
      <w:pPr>
        <w:ind w:right="520"/>
        <w:spacing w:after="0" w:line="19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3080"/>
        <w:spacing w:after="0" w:line="22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April 25, 2022, there were 207,261,230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513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650875</wp:posOffset>
            </wp:positionV>
            <wp:extent cx="717677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493" w:right="3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b w:val="1"/>
          <w:bCs w:val="1"/>
          <w:color w:val="auto"/>
        </w:rPr>
        <w:t>March 31, 2022</w:t>
      </w:r>
    </w:p>
    <w:p>
      <w:pPr>
        <w:spacing w:after="0" w:line="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5"/>
                <w:szCs w:val="15"/>
                <w:color w:val="0000FF"/>
              </w:rPr>
              <w:t>Part I—Financial Information (Unaudited):</w:t>
            </w:r>
          </w:p>
        </w:tc>
        <w:tc>
          <w:tcPr>
            <w:tcW w:w="20" w:type="dxa"/>
            <w:vAlign w:val="bottom"/>
            <w:tcBorders>
              <w:bottom w:val="single" w:sz="8" w:color="0000EE"/>
            </w:tcBorders>
          </w:tcPr>
          <w:p>
            <w:pPr>
              <w:spacing w:after="0"/>
              <w:rPr>
                <w:sz w:val="15"/>
                <w:szCs w:val="15"/>
                <w:color w:val="auto"/>
              </w:rPr>
            </w:pPr>
          </w:p>
        </w:tc>
        <w:tc>
          <w:tcPr>
            <w:tcW w:w="6040" w:type="dxa"/>
            <w:vAlign w:val="bottom"/>
            <w:gridSpan w:val="12"/>
          </w:tcPr>
          <w:p>
            <w:pPr>
              <w:spacing w:after="0"/>
              <w:rPr>
                <w:sz w:val="15"/>
                <w:szCs w:val="15"/>
                <w:color w:val="auto"/>
              </w:rPr>
            </w:pPr>
          </w:p>
        </w:tc>
        <w:tc>
          <w:tcPr>
            <w:tcW w:w="2520" w:type="dxa"/>
            <w:vAlign w:val="bottom"/>
          </w:tcPr>
          <w:p>
            <w:pPr>
              <w:spacing w:after="0"/>
              <w:rPr>
                <w:sz w:val="15"/>
                <w:szCs w:val="15"/>
                <w:color w:val="auto"/>
              </w:rPr>
            </w:pPr>
          </w:p>
        </w:tc>
      </w:tr>
      <w:tr>
        <w:trPr>
          <w:trHeight w:val="282"/>
        </w:trPr>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w:t>
            </w:r>
          </w:p>
        </w:tc>
        <w:tc>
          <w:tcPr>
            <w:tcW w:w="7900" w:type="dxa"/>
            <w:vAlign w:val="bottom"/>
            <w:gridSpan w:val="20"/>
          </w:tcPr>
          <w:p>
            <w:pPr>
              <w:ind w:left="20"/>
              <w:spacing w:after="0"/>
              <w:rPr>
                <w:sz w:val="20"/>
                <w:szCs w:val="20"/>
                <w:color w:val="auto"/>
              </w:rPr>
            </w:pPr>
            <w:r>
              <w:rPr>
                <w:rFonts w:ascii="Times New Roman" w:cs="Times New Roman" w:eastAsia="Times New Roman" w:hAnsi="Times New Roman"/>
                <w:sz w:val="15"/>
                <w:szCs w:val="15"/>
                <w:color w:val="0000FF"/>
              </w:rPr>
              <w:t>Condensed Consolidated Financial Statements:</w:t>
            </w:r>
          </w:p>
        </w:tc>
        <w:tc>
          <w:tcPr>
            <w:tcW w:w="25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82"/>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Condensed Consolidated Statements of Operations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Condensed Consolidated Statements of Comprehensive Loss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Condensed Consolidated Balance Sheets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Condensed Consolidated Statements of Cash Flows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Condensed Consolidated Statements of Stockholders’ Equity (Deficit)</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Notes to Unaudited Condensed Consolidated 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380" w:type="dxa"/>
            <w:vAlign w:val="bottom"/>
          </w:tcPr>
          <w:p>
            <w:pPr>
              <w:spacing w:after="0"/>
              <w:rPr>
                <w:sz w:val="24"/>
                <w:szCs w:val="24"/>
                <w:color w:val="auto"/>
              </w:rPr>
            </w:pPr>
          </w:p>
        </w:tc>
        <w:tc>
          <w:tcPr>
            <w:tcW w:w="3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5"/>
                <w:szCs w:val="15"/>
                <w:color w:val="0000FF"/>
              </w:rPr>
              <w:t>2.</w:t>
            </w:r>
          </w:p>
        </w:tc>
        <w:tc>
          <w:tcPr>
            <w:tcW w:w="556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23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93"/>
        </w:trPr>
        <w:tc>
          <w:tcPr>
            <w:tcW w:w="380" w:type="dxa"/>
            <w:vAlign w:val="bottom"/>
          </w:tcPr>
          <w:p>
            <w:pPr>
              <w:spacing w:after="0"/>
              <w:rPr>
                <w:sz w:val="24"/>
                <w:szCs w:val="24"/>
                <w:color w:val="auto"/>
              </w:rPr>
            </w:pPr>
          </w:p>
        </w:tc>
        <w:tc>
          <w:tcPr>
            <w:tcW w:w="3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5"/>
                <w:szCs w:val="15"/>
                <w:color w:val="0000FF"/>
              </w:rPr>
              <w:t>3.</w:t>
            </w:r>
          </w:p>
        </w:tc>
        <w:tc>
          <w:tcPr>
            <w:tcW w:w="37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5"/>
                <w:szCs w:val="15"/>
                <w:color w:val="0000FF"/>
              </w:rPr>
              <w:t>Quantitative and Qualitative Disclosures About Market Risk</w:t>
            </w:r>
          </w:p>
        </w:tc>
        <w:tc>
          <w:tcPr>
            <w:tcW w:w="4140" w:type="dxa"/>
            <w:vAlign w:val="bottom"/>
            <w:gridSpan w:val="5"/>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93"/>
        </w:trPr>
        <w:tc>
          <w:tcPr>
            <w:tcW w:w="380" w:type="dxa"/>
            <w:vAlign w:val="bottom"/>
          </w:tcPr>
          <w:p>
            <w:pPr>
              <w:spacing w:after="0"/>
              <w:rPr>
                <w:sz w:val="24"/>
                <w:szCs w:val="24"/>
                <w:color w:val="auto"/>
              </w:rPr>
            </w:pPr>
          </w:p>
        </w:tc>
        <w:tc>
          <w:tcPr>
            <w:tcW w:w="3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5"/>
                <w:szCs w:val="15"/>
                <w:color w:val="0000FF"/>
              </w:rPr>
              <w:t>4.</w:t>
            </w:r>
          </w:p>
        </w:tc>
        <w:tc>
          <w:tcPr>
            <w:tcW w:w="15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5"/>
                <w:szCs w:val="15"/>
                <w:color w:val="0000FF"/>
              </w:rPr>
              <w:t>Controls and Procedures</w:t>
            </w:r>
          </w:p>
        </w:tc>
        <w:tc>
          <w:tcPr>
            <w:tcW w:w="636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93"/>
        </w:trPr>
        <w:tc>
          <w:tcPr>
            <w:tcW w:w="8740" w:type="dxa"/>
            <w:vAlign w:val="bottom"/>
            <w:gridSpan w:val="24"/>
          </w:tcPr>
          <w:p>
            <w:pPr>
              <w:spacing w:after="0"/>
              <w:rPr>
                <w:sz w:val="20"/>
                <w:szCs w:val="20"/>
                <w:color w:val="auto"/>
              </w:rPr>
            </w:pPr>
            <w:r>
              <w:rPr>
                <w:rFonts w:ascii="Times New Roman" w:cs="Times New Roman" w:eastAsia="Times New Roman" w:hAnsi="Times New Roman"/>
                <w:sz w:val="15"/>
                <w:szCs w:val="15"/>
                <w:color w:val="0000FF"/>
              </w:rPr>
              <w:t>Part II—Other Information:</w:t>
            </w:r>
          </w:p>
        </w:tc>
        <w:tc>
          <w:tcPr>
            <w:tcW w:w="2520" w:type="dxa"/>
            <w:vAlign w:val="bottom"/>
          </w:tcPr>
          <w:p>
            <w:pPr>
              <w:spacing w:after="0"/>
              <w:rPr>
                <w:sz w:val="24"/>
                <w:szCs w:val="24"/>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82"/>
        </w:trPr>
        <w:tc>
          <w:tcPr>
            <w:tcW w:w="380" w:type="dxa"/>
            <w:vAlign w:val="bottom"/>
          </w:tcPr>
          <w:p>
            <w:pPr>
              <w:spacing w:after="0"/>
              <w:rPr>
                <w:sz w:val="24"/>
                <w:szCs w:val="24"/>
                <w:color w:val="auto"/>
              </w:rPr>
            </w:pPr>
          </w:p>
        </w:tc>
        <w:tc>
          <w:tcPr>
            <w:tcW w:w="3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5"/>
                <w:szCs w:val="15"/>
                <w:color w:val="0000FF"/>
              </w:rPr>
              <w:t>1.</w:t>
            </w:r>
          </w:p>
        </w:tc>
        <w:tc>
          <w:tcPr>
            <w:tcW w:w="11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5"/>
                <w:szCs w:val="15"/>
                <w:color w:val="0000FF"/>
              </w:rPr>
              <w:t>Legal Proceedings</w:t>
            </w:r>
          </w:p>
        </w:tc>
        <w:tc>
          <w:tcPr>
            <w:tcW w:w="6740" w:type="dxa"/>
            <w:vAlign w:val="bottom"/>
            <w:gridSpan w:val="15"/>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93"/>
        </w:trPr>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8060" w:type="dxa"/>
            <w:vAlign w:val="bottom"/>
            <w:gridSpan w:val="21"/>
          </w:tcPr>
          <w:p>
            <w:pPr>
              <w:ind w:left="20"/>
              <w:spacing w:after="0"/>
              <w:rPr>
                <w:sz w:val="20"/>
                <w:szCs w:val="20"/>
                <w:color w:val="auto"/>
              </w:rPr>
            </w:pPr>
            <w:r>
              <w:rPr>
                <w:rFonts w:ascii="Times New Roman" w:cs="Times New Roman" w:eastAsia="Times New Roman" w:hAnsi="Times New Roman"/>
                <w:sz w:val="15"/>
                <w:szCs w:val="15"/>
                <w:color w:val="0000FF"/>
              </w:rPr>
              <w:t>1A. Risk Factors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2.</w:t>
            </w:r>
          </w:p>
        </w:tc>
        <w:tc>
          <w:tcPr>
            <w:tcW w:w="7900" w:type="dxa"/>
            <w:vAlign w:val="bottom"/>
            <w:gridSpan w:val="20"/>
          </w:tcPr>
          <w:p>
            <w:pPr>
              <w:ind w:left="20"/>
              <w:spacing w:after="0"/>
              <w:rPr>
                <w:sz w:val="20"/>
                <w:szCs w:val="20"/>
                <w:color w:val="auto"/>
              </w:rPr>
            </w:pPr>
            <w:r>
              <w:rPr>
                <w:rFonts w:ascii="Times New Roman" w:cs="Times New Roman" w:eastAsia="Times New Roman" w:hAnsi="Times New Roman"/>
                <w:sz w:val="15"/>
                <w:szCs w:val="15"/>
                <w:color w:val="0000FF"/>
              </w:rPr>
              <w:t>Unregistered Sales of Equity Securities and Use of Proceeds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305"/>
        </w:trPr>
        <w:tc>
          <w:tcPr>
            <w:tcW w:w="380" w:type="dxa"/>
            <w:vAlign w:val="bottom"/>
          </w:tcPr>
          <w:p>
            <w:pPr>
              <w:spacing w:after="0"/>
              <w:rPr>
                <w:sz w:val="24"/>
                <w:szCs w:val="24"/>
                <w:color w:val="auto"/>
              </w:rPr>
            </w:pPr>
          </w:p>
        </w:tc>
        <w:tc>
          <w:tcPr>
            <w:tcW w:w="30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5"/>
                <w:szCs w:val="15"/>
                <w:color w:val="0000FF"/>
              </w:rPr>
              <w:t>3.</w:t>
            </w:r>
          </w:p>
        </w:tc>
        <w:tc>
          <w:tcPr>
            <w:tcW w:w="3740" w:type="dxa"/>
            <w:vAlign w:val="bottom"/>
            <w:tcBorders>
              <w:top w:val="single" w:sz="8" w:color="0000FF"/>
            </w:tcBorders>
            <w:gridSpan w:val="14"/>
          </w:tcPr>
          <w:p>
            <w:pPr>
              <w:ind w:left="20"/>
              <w:spacing w:after="0"/>
              <w:rPr>
                <w:sz w:val="20"/>
                <w:szCs w:val="20"/>
                <w:color w:val="auto"/>
              </w:rPr>
            </w:pPr>
            <w:r>
              <w:rPr>
                <w:rFonts w:ascii="Times New Roman" w:cs="Times New Roman" w:eastAsia="Times New Roman" w:hAnsi="Times New Roman"/>
                <w:sz w:val="15"/>
                <w:szCs w:val="15"/>
                <w:color w:val="0000FF"/>
              </w:rPr>
              <w:t>Defaults Upon Senior Securities</w:t>
            </w:r>
          </w:p>
        </w:tc>
        <w:tc>
          <w:tcPr>
            <w:tcW w:w="4160" w:type="dxa"/>
            <w:vAlign w:val="bottom"/>
            <w:gridSpan w:val="6"/>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305"/>
        </w:trPr>
        <w:tc>
          <w:tcPr>
            <w:tcW w:w="380" w:type="dxa"/>
            <w:vAlign w:val="bottom"/>
          </w:tcPr>
          <w:p>
            <w:pPr>
              <w:spacing w:after="0"/>
              <w:rPr>
                <w:sz w:val="24"/>
                <w:szCs w:val="24"/>
                <w:color w:val="auto"/>
              </w:rPr>
            </w:pPr>
          </w:p>
        </w:tc>
        <w:tc>
          <w:tcPr>
            <w:tcW w:w="300" w:type="dxa"/>
            <w:vAlign w:val="bottom"/>
            <w:tcBorders>
              <w:top w:val="single" w:sz="8" w:color="0000FF"/>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5"/>
                <w:szCs w:val="15"/>
                <w:color w:val="0000FF"/>
              </w:rPr>
              <w:t>4.</w:t>
            </w:r>
          </w:p>
        </w:tc>
        <w:tc>
          <w:tcPr>
            <w:tcW w:w="154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5"/>
                <w:szCs w:val="15"/>
                <w:color w:val="0000FF"/>
              </w:rPr>
              <w:t>Mine Safety Disclosures</w:t>
            </w:r>
          </w:p>
        </w:tc>
        <w:tc>
          <w:tcPr>
            <w:tcW w:w="460" w:type="dxa"/>
            <w:vAlign w:val="bottom"/>
            <w:tcBorders>
              <w:top w:val="single" w:sz="8" w:color="0000FF"/>
            </w:tcBorders>
            <w:gridSpan w:val="3"/>
          </w:tcPr>
          <w:p>
            <w:pPr>
              <w:spacing w:after="0"/>
              <w:rPr>
                <w:sz w:val="24"/>
                <w:szCs w:val="24"/>
                <w:color w:val="auto"/>
              </w:rPr>
            </w:pPr>
          </w:p>
        </w:tc>
        <w:tc>
          <w:tcPr>
            <w:tcW w:w="5900" w:type="dxa"/>
            <w:vAlign w:val="bottom"/>
            <w:gridSpan w:val="11"/>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305"/>
        </w:trPr>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5.</w:t>
            </w:r>
          </w:p>
        </w:tc>
        <w:tc>
          <w:tcPr>
            <w:tcW w:w="7900" w:type="dxa"/>
            <w:vAlign w:val="bottom"/>
            <w:gridSpan w:val="20"/>
          </w:tcPr>
          <w:p>
            <w:pPr>
              <w:ind w:left="20"/>
              <w:spacing w:after="0"/>
              <w:rPr>
                <w:sz w:val="20"/>
                <w:szCs w:val="20"/>
                <w:color w:val="auto"/>
              </w:rPr>
            </w:pPr>
            <w:r>
              <w:rPr>
                <w:rFonts w:ascii="Times New Roman" w:cs="Times New Roman" w:eastAsia="Times New Roman" w:hAnsi="Times New Roman"/>
                <w:sz w:val="15"/>
                <w:szCs w:val="15"/>
                <w:color w:val="0000FF"/>
              </w:rPr>
              <w:t>Other Information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305"/>
        </w:trPr>
        <w:tc>
          <w:tcPr>
            <w:tcW w:w="380" w:type="dxa"/>
            <w:vAlign w:val="bottom"/>
          </w:tcPr>
          <w:p>
            <w:pPr>
              <w:spacing w:after="0"/>
              <w:rPr>
                <w:sz w:val="24"/>
                <w:szCs w:val="24"/>
                <w:color w:val="auto"/>
              </w:rPr>
            </w:pPr>
          </w:p>
        </w:tc>
        <w:tc>
          <w:tcPr>
            <w:tcW w:w="30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94"/>
              </w:rPr>
              <w:t>Item</w:t>
            </w: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5"/>
                <w:szCs w:val="15"/>
                <w:color w:val="0000FF"/>
              </w:rPr>
              <w:t>6.</w:t>
            </w:r>
          </w:p>
        </w:tc>
        <w:tc>
          <w:tcPr>
            <w:tcW w:w="114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5"/>
                <w:szCs w:val="15"/>
                <w:color w:val="0000FF"/>
              </w:rPr>
              <w:t>Exhibits</w:t>
            </w:r>
          </w:p>
        </w:tc>
        <w:tc>
          <w:tcPr>
            <w:tcW w:w="6760" w:type="dxa"/>
            <w:vAlign w:val="bottom"/>
            <w:gridSpan w:val="16"/>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3"/>
        </w:trPr>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Signatures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931"/>
        </w:trPr>
        <w:tc>
          <w:tcPr>
            <w:tcW w:w="3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19"/>
          </w:tcPr>
          <w:p>
            <w:pPr>
              <w:ind w:left="4740"/>
              <w:spacing w:after="0"/>
              <w:rPr>
                <w:sz w:val="20"/>
                <w:szCs w:val="20"/>
                <w:color w:val="auto"/>
              </w:rPr>
            </w:pPr>
            <w:r>
              <w:rPr>
                <w:rFonts w:ascii="Times New Roman" w:cs="Times New Roman" w:eastAsia="Times New Roman" w:hAnsi="Times New Roman"/>
                <w:sz w:val="15"/>
                <w:szCs w:val="15"/>
                <w:color w:val="auto"/>
              </w:rPr>
              <w:t>1</w:t>
            </w:r>
          </w:p>
        </w:tc>
        <w:tc>
          <w:tcPr>
            <w:tcW w:w="23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45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PART 1 -- FINANCIAL INFORMATION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CONDENSED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5"/>
          <w:szCs w:val="15"/>
          <w:b w:val="1"/>
          <w:bCs w:val="1"/>
          <w:color w:val="auto"/>
        </w:rPr>
        <w:t>(Unaudited – In millions,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8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822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r>
      <w:tr>
        <w:trPr>
          <w:trHeight w:val="177"/>
        </w:trPr>
        <w:tc>
          <w:tcPr>
            <w:tcW w:w="8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sales</w:t>
            </w:r>
          </w:p>
        </w:tc>
        <w:tc>
          <w:tcPr>
            <w:tcW w:w="860" w:type="dxa"/>
            <w:vAlign w:val="bottom"/>
            <w:shd w:val="clear" w:color="auto" w:fill="CCECFF"/>
          </w:tcPr>
          <w:p>
            <w:pPr>
              <w:jc w:val="right"/>
              <w:ind w:right="68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2,228.6</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00" w:type="dxa"/>
            <w:vAlign w:val="bottom"/>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2,072.0</w:t>
            </w:r>
          </w:p>
        </w:tc>
        <w:tc>
          <w:tcPr>
            <w:tcW w:w="80" w:type="dxa"/>
            <w:vAlign w:val="bottom"/>
            <w:shd w:val="clear" w:color="auto" w:fill="CCECFF"/>
          </w:tcPr>
          <w:p>
            <w:pPr>
              <w:spacing w:after="0"/>
              <w:rPr>
                <w:sz w:val="15"/>
                <w:szCs w:val="15"/>
                <w:color w:val="auto"/>
              </w:rPr>
            </w:pPr>
          </w:p>
        </w:tc>
      </w:t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1,399.8</w:t>
            </w:r>
          </w:p>
        </w:tc>
        <w:tc>
          <w:tcPr>
            <w:tcW w:w="80" w:type="dxa"/>
            <w:vAlign w:val="bottom"/>
          </w:tcPr>
          <w:p>
            <w:pPr>
              <w:spacing w:after="0"/>
              <w:rPr>
                <w:sz w:val="16"/>
                <w:szCs w:val="16"/>
                <w:color w:val="auto"/>
              </w:rPr>
            </w:pPr>
          </w:p>
        </w:tc>
      </w:tr>
      <w:tr>
        <w:trPr>
          <w:trHeight w:val="177"/>
        </w:trPr>
        <w:tc>
          <w:tcPr>
            <w:tcW w:w="8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86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636.3</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672.2</w:t>
            </w:r>
          </w:p>
        </w:tc>
        <w:tc>
          <w:tcPr>
            <w:tcW w:w="80" w:type="dxa"/>
            <w:vAlign w:val="bottom"/>
            <w:shd w:val="clear" w:color="auto" w:fill="CCECFF"/>
          </w:tcPr>
          <w:p>
            <w:pPr>
              <w:spacing w:after="0"/>
              <w:rPr>
                <w:sz w:val="15"/>
                <w:szCs w:val="15"/>
                <w:color w:val="auto"/>
              </w:rPr>
            </w:pPr>
          </w:p>
        </w:tc>
      </w:t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82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86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286.0</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292.7</w:t>
            </w:r>
          </w:p>
        </w:tc>
        <w:tc>
          <w:tcPr>
            <w:tcW w:w="80" w:type="dxa"/>
            <w:vAlign w:val="bottom"/>
            <w:shd w:val="clear" w:color="auto" w:fill="CCECFF"/>
          </w:tcPr>
          <w:p>
            <w:pPr>
              <w:spacing w:after="0"/>
              <w:rPr>
                <w:sz w:val="16"/>
                <w:szCs w:val="16"/>
                <w:color w:val="auto"/>
              </w:rPr>
            </w:pPr>
          </w:p>
        </w:tc>
      </w:tr>
      <w:tr>
        <w:trPr>
          <w:trHeight w:val="186"/>
        </w:trPr>
        <w:tc>
          <w:tcPr>
            <w:tcW w:w="8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171.5</w:t>
            </w:r>
          </w:p>
        </w:tc>
        <w:tc>
          <w:tcPr>
            <w:tcW w:w="80" w:type="dxa"/>
            <w:vAlign w:val="bottom"/>
          </w:tcPr>
          <w:p>
            <w:pPr>
              <w:spacing w:after="0"/>
              <w:rPr>
                <w:sz w:val="16"/>
                <w:szCs w:val="16"/>
                <w:color w:val="auto"/>
              </w:rPr>
            </w:pPr>
          </w:p>
        </w:tc>
      </w:tr>
      <w:tr>
        <w:trPr>
          <w:trHeight w:val="186"/>
        </w:trPr>
        <w:tc>
          <w:tcPr>
            <w:tcW w:w="82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86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80" w:type="dxa"/>
            <w:vAlign w:val="bottom"/>
            <w:shd w:val="clear" w:color="auto" w:fill="CCECFF"/>
          </w:tcPr>
          <w:p>
            <w:pPr>
              <w:spacing w:after="0"/>
              <w:rPr>
                <w:sz w:val="16"/>
                <w:szCs w:val="16"/>
                <w:color w:val="auto"/>
              </w:rPr>
            </w:pPr>
          </w:p>
        </w:tc>
      </w:tr>
      <w:tr>
        <w:trPr>
          <w:trHeight w:val="186"/>
        </w:trPr>
        <w:tc>
          <w:tcPr>
            <w:tcW w:w="8220" w:type="dxa"/>
            <w:vAlign w:val="bottom"/>
            <w:tcBorders>
              <w:bottom w:val="single" w:sz="8" w:color="CCECFF"/>
            </w:tcBorders>
          </w:tcPr>
          <w:p>
            <w:pPr>
              <w:ind w:left="80"/>
              <w:spacing w:after="0"/>
              <w:rPr>
                <w:sz w:val="20"/>
                <w:szCs w:val="20"/>
                <w:color w:val="auto"/>
              </w:rPr>
            </w:pPr>
            <w:r>
              <w:rPr>
                <w:rFonts w:ascii="Times New Roman" w:cs="Times New Roman" w:eastAsia="Times New Roman" w:hAnsi="Times New Roman"/>
                <w:sz w:val="15"/>
                <w:szCs w:val="15"/>
                <w:color w:val="auto"/>
              </w:rPr>
              <w:t>Restructuring costs, net</w:t>
            </w: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Borders>
              <w:bottom w:val="single" w:sz="8" w:color="CCECFF"/>
            </w:tcBorders>
          </w:tcPr>
          <w:p>
            <w:pPr>
              <w:spacing w:after="0"/>
              <w:rPr>
                <w:sz w:val="16"/>
                <w:szCs w:val="16"/>
                <w:color w:val="auto"/>
              </w:rPr>
            </w:pPr>
          </w:p>
        </w:tc>
        <w:tc>
          <w:tcPr>
            <w:tcW w:w="120" w:type="dxa"/>
            <w:vAlign w:val="bottom"/>
            <w:tcBorders>
              <w:bottom w:val="single" w:sz="8" w:color="CCEC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80" w:type="dxa"/>
            <w:vAlign w:val="bottom"/>
            <w:tcBorders>
              <w:bottom w:val="single" w:sz="8" w:color="CCECFF"/>
            </w:tcBorders>
          </w:tcPr>
          <w:p>
            <w:pPr>
              <w:spacing w:after="0"/>
              <w:rPr>
                <w:sz w:val="16"/>
                <w:szCs w:val="16"/>
                <w:color w:val="auto"/>
              </w:rPr>
            </w:pPr>
          </w:p>
        </w:tc>
      </w:tr>
      <w:tr>
        <w:trPr>
          <w:trHeight w:val="177"/>
        </w:trPr>
        <w:tc>
          <w:tcPr>
            <w:tcW w:w="822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860" w:type="dxa"/>
            <w:vAlign w:val="bottom"/>
            <w:tcBorders>
              <w:bottom w:val="single" w:sz="8" w:color="auto"/>
            </w:tcBorders>
            <w:shd w:val="clear" w:color="auto" w:fill="CCECFF"/>
          </w:tcPr>
          <w:p>
            <w:pPr>
              <w:spacing w:after="0"/>
              <w:rPr>
                <w:sz w:val="15"/>
                <w:szCs w:val="15"/>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609.5</w:t>
            </w:r>
          </w:p>
        </w:tc>
        <w:tc>
          <w:tcPr>
            <w:tcW w:w="1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500" w:type="dxa"/>
            <w:vAlign w:val="bottom"/>
            <w:tcBorders>
              <w:bottom w:val="single" w:sz="8" w:color="auto"/>
            </w:tcBorders>
            <w:shd w:val="clear" w:color="auto" w:fill="CCECFF"/>
          </w:tcPr>
          <w:p>
            <w:pPr>
              <w:spacing w:after="0"/>
              <w:rPr>
                <w:sz w:val="15"/>
                <w:szCs w:val="15"/>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663.3</w:t>
            </w:r>
          </w:p>
        </w:tc>
        <w:tc>
          <w:tcPr>
            <w:tcW w:w="80" w:type="dxa"/>
            <w:vAlign w:val="bottom"/>
            <w:tcBorders>
              <w:bottom w:val="single" w:sz="8" w:color="CCECFF"/>
            </w:tcBorders>
            <w:shd w:val="clear" w:color="auto" w:fill="CCECFF"/>
          </w:tcPr>
          <w:p>
            <w:pPr>
              <w:spacing w:after="0"/>
              <w:rPr>
                <w:sz w:val="15"/>
                <w:szCs w:val="15"/>
                <w:color w:val="auto"/>
              </w:rPr>
            </w:pPr>
          </w:p>
        </w:tc>
      </w:tr>
      <w:tr>
        <w:trPr>
          <w:trHeight w:val="177"/>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5"/>
                <w:szCs w:val="15"/>
                <w:color w:val="auto"/>
              </w:rPr>
            </w:pPr>
          </w:p>
        </w:tc>
      </w:tr>
      <w:tr>
        <w:trPr>
          <w:trHeight w:val="186"/>
        </w:trPr>
        <w:tc>
          <w:tcPr>
            <w:tcW w:w="8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860" w:type="dxa"/>
            <w:vAlign w:val="bottom"/>
            <w:shd w:val="clear" w:color="auto" w:fill="CCECFF"/>
          </w:tcPr>
          <w:p>
            <w:pPr>
              <w:spacing w:after="0"/>
              <w:rPr>
                <w:sz w:val="16"/>
                <w:szCs w:val="16"/>
                <w:color w:val="auto"/>
              </w:rPr>
            </w:pPr>
          </w:p>
        </w:tc>
        <w:tc>
          <w:tcPr>
            <w:tcW w:w="74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CFF"/>
          </w:tcPr>
          <w:p>
            <w:pPr>
              <w:spacing w:after="0"/>
              <w:rPr>
                <w:sz w:val="16"/>
                <w:szCs w:val="16"/>
                <w:color w:val="auto"/>
              </w:rPr>
            </w:pPr>
          </w:p>
        </w:tc>
      </w:t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(136.5 )</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(137.5 )</w:t>
            </w:r>
          </w:p>
        </w:tc>
      </w:tr>
      <w:tr>
        <w:trPr>
          <w:trHeight w:val="186"/>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860" w:type="dxa"/>
            <w:vAlign w:val="bottom"/>
            <w:tcBorders>
              <w:bottom w:val="single" w:sz="8" w:color="auto"/>
            </w:tcBorders>
            <w:shd w:val="clear" w:color="auto" w:fill="CCECFF"/>
          </w:tcPr>
          <w:p>
            <w:pPr>
              <w:spacing w:after="0"/>
              <w:rPr>
                <w:sz w:val="16"/>
                <w:szCs w:val="16"/>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spacing w:after="0"/>
              <w:rPr>
                <w:sz w:val="16"/>
                <w:szCs w:val="16"/>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77"/>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8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(109.0 )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(127.1 )</w:t>
            </w:r>
          </w:p>
        </w:tc>
      </w:tr>
      <w:tr>
        <w:trPr>
          <w:trHeight w:val="186"/>
        </w:trPr>
        <w:tc>
          <w:tcPr>
            <w:tcW w:w="8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86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(30.9 )</w:t>
            </w:r>
          </w:p>
        </w:tc>
        <w:tc>
          <w:tcPr>
            <w:tcW w:w="12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80" w:type="dxa"/>
            <w:vAlign w:val="bottom"/>
            <w:shd w:val="clear" w:color="auto" w:fill="CCECFF"/>
          </w:tcPr>
          <w:p>
            <w:pPr>
              <w:spacing w:after="0"/>
              <w:rPr>
                <w:sz w:val="16"/>
                <w:szCs w:val="16"/>
                <w:color w:val="auto"/>
              </w:rPr>
            </w:pPr>
          </w:p>
        </w:tc>
      </w:tr>
      <w:tr>
        <w:trPr>
          <w:trHeight w:val="20"/>
        </w:trPr>
        <w:tc>
          <w:tcPr>
            <w:tcW w:w="8220" w:type="dxa"/>
            <w:vAlign w:val="bottom"/>
            <w:shd w:val="clear" w:color="auto" w:fill="CCEC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r>
      <w:tr>
        <w:trPr>
          <w:trHeight w:val="177"/>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8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(139.9 )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(97.6 )</w:t>
            </w:r>
          </w:p>
        </w:tc>
      </w:tr>
      <w:tr>
        <w:trPr>
          <w:trHeight w:val="186"/>
        </w:trPr>
        <w:tc>
          <w:tcPr>
            <w:tcW w:w="8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Series A convertible preferred stock dividends</w:t>
            </w:r>
          </w:p>
        </w:tc>
        <w:tc>
          <w:tcPr>
            <w:tcW w:w="86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(14.5 )</w:t>
            </w:r>
          </w:p>
        </w:tc>
        <w:tc>
          <w:tcPr>
            <w:tcW w:w="12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(14.3 )</w:t>
            </w:r>
          </w:p>
        </w:tc>
      </w:tr>
      <w:tr>
        <w:trPr>
          <w:trHeight w:val="177"/>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86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8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Loss per share:</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8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Basic</w:t>
            </w:r>
          </w:p>
        </w:tc>
        <w:tc>
          <w:tcPr>
            <w:tcW w:w="860" w:type="dxa"/>
            <w:vAlign w:val="bottom"/>
            <w:shd w:val="clear" w:color="auto" w:fill="CCECFF"/>
          </w:tcPr>
          <w:p>
            <w:pPr>
              <w:jc w:val="right"/>
              <w:ind w:right="686"/>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(0.75 )</w:t>
            </w:r>
          </w:p>
        </w:tc>
        <w:tc>
          <w:tcPr>
            <w:tcW w:w="120" w:type="dxa"/>
            <w:vAlign w:val="bottom"/>
            <w:shd w:val="clear" w:color="auto" w:fill="CCECFF"/>
          </w:tcPr>
          <w:p>
            <w:pPr>
              <w:spacing w:after="0"/>
              <w:rPr>
                <w:sz w:val="16"/>
                <w:szCs w:val="16"/>
                <w:color w:val="auto"/>
              </w:rPr>
            </w:pPr>
          </w:p>
        </w:tc>
        <w:tc>
          <w:tcPr>
            <w:tcW w:w="500" w:type="dxa"/>
            <w:vAlign w:val="bottom"/>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(0.55 )</w:t>
            </w:r>
          </w:p>
        </w:tc>
      </w:t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Diluted</w:t>
            </w:r>
          </w:p>
        </w:tc>
        <w:tc>
          <w:tcPr>
            <w:tcW w:w="860" w:type="dxa"/>
            <w:vAlign w:val="bottom"/>
          </w:tcPr>
          <w:p>
            <w:pPr>
              <w:jc w:val="right"/>
              <w:ind w:right="686"/>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(0.75 )</w:t>
            </w:r>
          </w:p>
        </w:tc>
        <w:tc>
          <w:tcPr>
            <w:tcW w:w="120" w:type="dxa"/>
            <w:vAlign w:val="bottom"/>
          </w:tcPr>
          <w:p>
            <w:pPr>
              <w:spacing w:after="0"/>
              <w:rPr>
                <w:sz w:val="16"/>
                <w:szCs w:val="16"/>
                <w:color w:val="auto"/>
              </w:rPr>
            </w:pPr>
          </w:p>
        </w:tc>
        <w:tc>
          <w:tcPr>
            <w:tcW w:w="50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(0.55 )</w:t>
            </w:r>
          </w:p>
        </w:tc>
      </w:tr>
      <w:tr>
        <w:trPr>
          <w:trHeight w:val="186"/>
        </w:trPr>
        <w:tc>
          <w:tcPr>
            <w:tcW w:w="82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outstanding:</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8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Basic</w:t>
            </w:r>
          </w:p>
        </w:tc>
        <w:tc>
          <w:tcPr>
            <w:tcW w:w="86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201.7</w:t>
            </w:r>
          </w:p>
        </w:tc>
        <w:tc>
          <w:tcPr>
            <w:tcW w:w="80" w:type="dxa"/>
            <w:vAlign w:val="bottom"/>
            <w:shd w:val="clear" w:color="auto" w:fill="CCECFF"/>
          </w:tcPr>
          <w:p>
            <w:pPr>
              <w:spacing w:after="0"/>
              <w:rPr>
                <w:sz w:val="16"/>
                <w:szCs w:val="16"/>
                <w:color w:val="auto"/>
              </w:rPr>
            </w:pPr>
          </w:p>
        </w:tc>
      </w:tr>
      <w:tr>
        <w:trPr>
          <w:trHeight w:val="200"/>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Diluted</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201.7</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6088380</wp:posOffset>
            </wp:positionH>
            <wp:positionV relativeFrom="paragraph">
              <wp:posOffset>-2200910</wp:posOffset>
            </wp:positionV>
            <wp:extent cx="84455" cy="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455" cy="15811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-2200910</wp:posOffset>
            </wp:positionV>
            <wp:extent cx="76835" cy="15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158115"/>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-1584325</wp:posOffset>
            </wp:positionV>
            <wp:extent cx="590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-1584325</wp:posOffset>
            </wp:positionV>
            <wp:extent cx="514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-1341755</wp:posOffset>
            </wp:positionV>
            <wp:extent cx="590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-1341755</wp:posOffset>
            </wp:positionV>
            <wp:extent cx="514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See notes to unaudited condensed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295"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Comprehensive loss: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Net loss</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Other comprehensive loss, net of tax:</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Foreign currency translation loss</w:t>
      </w:r>
    </w:p>
    <w:p>
      <w:pPr>
        <w:spacing w:after="0" w:line="13" w:lineRule="exact"/>
        <w:rPr>
          <w:sz w:val="20"/>
          <w:szCs w:val="20"/>
          <w:color w:val="auto"/>
        </w:rPr>
      </w:pPr>
    </w:p>
    <w:p>
      <w:pPr>
        <w:ind w:left="160"/>
        <w:spacing w:after="0" w:line="266" w:lineRule="auto"/>
        <w:rPr>
          <w:sz w:val="20"/>
          <w:szCs w:val="20"/>
          <w:color w:val="auto"/>
        </w:rPr>
      </w:pPr>
      <w:r>
        <w:rPr>
          <w:rFonts w:ascii="Times New Roman" w:cs="Times New Roman" w:eastAsia="Times New Roman" w:hAnsi="Times New Roman"/>
          <w:sz w:val="15"/>
          <w:szCs w:val="15"/>
          <w:color w:val="auto"/>
        </w:rPr>
        <w:t>Pension and other postretirement benefit activity Gain on hedging instruments</w:t>
      </w:r>
    </w:p>
    <w:p>
      <w:pPr>
        <w:ind w:right="500" w:firstLine="77"/>
        <w:spacing w:after="0" w:line="340" w:lineRule="auto"/>
        <w:rPr>
          <w:sz w:val="20"/>
          <w:szCs w:val="20"/>
          <w:color w:val="auto"/>
        </w:rPr>
      </w:pPr>
      <w:r>
        <w:rPr>
          <w:rFonts w:ascii="Times New Roman" w:cs="Times New Roman" w:eastAsia="Times New Roman" w:hAnsi="Times New Roman"/>
          <w:sz w:val="15"/>
          <w:szCs w:val="15"/>
          <w:color w:val="auto"/>
        </w:rPr>
        <w:t>Total other comprehensive loss, net of tax Total comprehensive loss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Loss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(Unaudited – In millions)</w:t>
      </w:r>
    </w:p>
    <w:p>
      <w:pPr>
        <w:spacing w:after="0" w:line="175" w:lineRule="exact"/>
        <w:rPr>
          <w:sz w:val="20"/>
          <w:szCs w:val="20"/>
          <w:color w:val="auto"/>
        </w:rPr>
      </w:pPr>
    </w:p>
    <w:p>
      <w:pPr>
        <w:jc w:val="center"/>
        <w:ind w:left="-4519"/>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4" w:lineRule="exact"/>
        <w:rPr>
          <w:sz w:val="20"/>
          <w:szCs w:val="20"/>
          <w:color w:val="auto"/>
        </w:rPr>
      </w:pPr>
    </w:p>
    <w:p>
      <w:pPr>
        <w:jc w:val="center"/>
        <w:ind w:left="-4519"/>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2" w:lineRule="exact"/>
        <w:rPr>
          <w:sz w:val="20"/>
          <w:szCs w:val="20"/>
          <w:color w:val="auto"/>
        </w:rPr>
      </w:pPr>
    </w:p>
    <w:tbl>
      <w:tblPr>
        <w:tblLayout w:type="fixed"/>
        <w:tblInd w:w="4920" w:type="dxa"/>
        <w:tblCellMar>
          <w:top w:w="0" w:type="dxa"/>
          <w:left w:w="0" w:type="dxa"/>
          <w:bottom w:w="0" w:type="dxa"/>
          <w:right w:w="0" w:type="dxa"/>
        </w:tblCellMar>
      </w:tblP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2"/>
        </w:trPr>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(139.9 )</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(97.6 )</w:t>
            </w:r>
          </w:p>
        </w:tc>
        <w:tc>
          <w:tcPr>
            <w:tcW w:w="0" w:type="dxa"/>
            <w:vAlign w:val="bottom"/>
          </w:tcPr>
          <w:p>
            <w:pPr>
              <w:spacing w:after="0"/>
              <w:rPr>
                <w:sz w:val="1"/>
                <w:szCs w:val="1"/>
                <w:color w:val="auto"/>
              </w:rPr>
            </w:pPr>
          </w:p>
        </w:tc>
      </w:tr>
      <w:tr>
        <w:trPr>
          <w:trHeight w:val="357"/>
        </w:trPr>
        <w:tc>
          <w:tcPr>
            <w:tcW w:w="300" w:type="dxa"/>
            <w:vAlign w:val="bottom"/>
          </w:tcPr>
          <w:p>
            <w:pPr>
              <w:spacing w:after="0"/>
              <w:rPr>
                <w:sz w:val="24"/>
                <w:szCs w:val="24"/>
                <w:color w:val="auto"/>
              </w:rPr>
            </w:pPr>
          </w:p>
        </w:tc>
        <w:tc>
          <w:tcPr>
            <w:tcW w:w="12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(16.7 )</w:t>
            </w:r>
          </w:p>
        </w:tc>
        <w:tc>
          <w:tcPr>
            <w:tcW w:w="3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(51.3 )</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2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(1.3 )</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77"/>
        </w:trPr>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0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(136.0</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-979170</wp:posOffset>
            </wp:positionV>
            <wp:extent cx="7151370" cy="118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1370" cy="11811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-742950</wp:posOffset>
            </wp:positionV>
            <wp:extent cx="7151370" cy="118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1370" cy="11811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-507365</wp:posOffset>
            </wp:positionV>
            <wp:extent cx="7151370" cy="118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1370" cy="11811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-264795</wp:posOffset>
            </wp:positionV>
            <wp:extent cx="7151370" cy="12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1370" cy="12509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notes to unaudited condensed consolidated financial statements.</w:t>
      </w:r>
    </w:p>
    <w:p>
      <w:pPr>
        <w:spacing w:after="0" w:line="37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292100</wp:posOffset>
            </wp:positionV>
            <wp:extent cx="717677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2">
            <w:col w:w="3160" w:space="320"/>
            <w:col w:w="7760"/>
          </w:cols>
          <w:pgMar w:left="320" w:top="295" w:right="339" w:bottom="1440" w:gutter="0" w:footer="0" w:header="0"/>
        </w:sectPr>
      </w:pPr>
    </w:p>
    <w:bookmarkStart w:id="4" w:name="page5"/>
    <w:bookmarkEnd w:id="4"/>
    <w:p>
      <w:pPr>
        <w:ind w:left="4420"/>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 except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vMerge w:val="restart"/>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000" w:type="dxa"/>
            <w:vAlign w:val="bottom"/>
            <w:shd w:val="clear" w:color="auto" w:fill="CCECFF"/>
          </w:tcPr>
          <w:p>
            <w:pPr>
              <w:ind w:left="32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40" w:type="dxa"/>
            <w:vAlign w:val="bottom"/>
            <w:tcBorders>
              <w:top w:val="single" w:sz="8" w:color="auto"/>
            </w:tcBorders>
            <w:shd w:val="clear" w:color="auto" w:fill="CCECFF"/>
          </w:tcPr>
          <w:p>
            <w:pPr>
              <w:spacing w:after="0"/>
              <w:rPr>
                <w:sz w:val="15"/>
                <w:szCs w:val="15"/>
                <w:color w:val="auto"/>
              </w:rPr>
            </w:pPr>
          </w:p>
        </w:tc>
        <w:tc>
          <w:tcPr>
            <w:tcW w:w="560" w:type="dxa"/>
            <w:vAlign w:val="bottom"/>
            <w:tcBorders>
              <w:top w:val="single" w:sz="8" w:color="auto"/>
            </w:tcBorders>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80" w:type="dxa"/>
            <w:vAlign w:val="bottom"/>
            <w:tcBorders>
              <w:top w:val="single" w:sz="8" w:color="auto"/>
            </w:tcBorders>
            <w:shd w:val="clear" w:color="auto" w:fill="CCECFF"/>
          </w:tcPr>
          <w:p>
            <w:pPr>
              <w:spacing w:after="0"/>
              <w:rPr>
                <w:sz w:val="15"/>
                <w:szCs w:val="15"/>
                <w:color w:val="auto"/>
              </w:rPr>
            </w:pPr>
          </w:p>
        </w:tc>
        <w:tc>
          <w:tcPr>
            <w:tcW w:w="1700" w:type="dxa"/>
            <w:vAlign w:val="bottom"/>
            <w:tcBorders>
              <w:top w:val="single" w:sz="8" w:color="auto"/>
            </w:tcBorders>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40" w:type="dxa"/>
            <w:vAlign w:val="bottom"/>
          </w:tcPr>
          <w:p>
            <w:pPr>
              <w:jc w:val="right"/>
              <w:ind w:right="128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314.7</w:t>
            </w:r>
          </w:p>
        </w:tc>
        <w:tc>
          <w:tcPr>
            <w:tcW w:w="200" w:type="dxa"/>
            <w:vAlign w:val="bottom"/>
          </w:tcPr>
          <w:p>
            <w:pPr>
              <w:spacing w:after="0"/>
              <w:rPr>
                <w:sz w:val="16"/>
                <w:szCs w:val="16"/>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CECFF"/>
          </w:tcPr>
          <w:p>
            <w:pPr>
              <w:spacing w:after="0" w:line="148" w:lineRule="exact"/>
              <w:rPr>
                <w:sz w:val="20"/>
                <w:szCs w:val="20"/>
                <w:color w:val="auto"/>
              </w:rPr>
            </w:pPr>
            <w:r>
              <w:rPr>
                <w:rFonts w:ascii="Times New Roman" w:cs="Times New Roman" w:eastAsia="Times New Roman" w:hAnsi="Times New Roman"/>
                <w:sz w:val="15"/>
                <w:szCs w:val="15"/>
                <w:color w:val="auto"/>
              </w:rPr>
              <w:t>Accounts receivable, less allowance for doubtful accounts</w:t>
            </w:r>
          </w:p>
        </w:tc>
        <w:tc>
          <w:tcPr>
            <w:tcW w:w="14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7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0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5"/>
                <w:szCs w:val="15"/>
                <w:color w:val="auto"/>
              </w:rPr>
              <w:t>of $64.8 and $63.7, respectively</w:t>
            </w:r>
          </w:p>
        </w:tc>
        <w:tc>
          <w:tcPr>
            <w:tcW w:w="1440" w:type="dxa"/>
            <w:vAlign w:val="bottom"/>
            <w:shd w:val="clear" w:color="auto" w:fill="CCECFF"/>
          </w:tcPr>
          <w:p>
            <w:pPr>
              <w:spacing w:after="0"/>
              <w:rPr>
                <w:sz w:val="17"/>
                <w:szCs w:val="17"/>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1,590.1</w:t>
            </w:r>
          </w:p>
        </w:tc>
        <w:tc>
          <w:tcPr>
            <w:tcW w:w="2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1,532.6</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Inventories, net</w:t>
            </w:r>
          </w:p>
        </w:tc>
        <w:tc>
          <w:tcPr>
            <w:tcW w:w="1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1,507.5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40" w:type="dxa"/>
            <w:vAlign w:val="bottom"/>
            <w:tcBorders>
              <w:bottom w:val="single" w:sz="8" w:color="auto"/>
            </w:tcBorders>
            <w:shd w:val="clear" w:color="auto" w:fill="CCECFF"/>
          </w:tcPr>
          <w:p>
            <w:pPr>
              <w:spacing w:after="0"/>
              <w:rPr>
                <w:sz w:val="16"/>
                <w:szCs w:val="16"/>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231.1</w:t>
            </w:r>
          </w:p>
        </w:tc>
        <w:tc>
          <w:tcPr>
            <w:tcW w:w="20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auto"/>
            </w:tcBorders>
            <w:shd w:val="clear" w:color="auto" w:fill="CCECFF"/>
          </w:tcPr>
          <w:p>
            <w:pPr>
              <w:spacing w:after="0"/>
              <w:rPr>
                <w:sz w:val="16"/>
                <w:szCs w:val="16"/>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251.0</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current assets</w:t>
            </w:r>
          </w:p>
        </w:tc>
        <w:tc>
          <w:tcPr>
            <w:tcW w:w="1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3,643.4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CECFF"/>
          </w:tcPr>
          <w:p>
            <w:pPr>
              <w:spacing w:after="0" w:line="148" w:lineRule="exact"/>
              <w:rPr>
                <w:sz w:val="20"/>
                <w:szCs w:val="20"/>
                <w:color w:val="auto"/>
              </w:rPr>
            </w:pPr>
            <w:r>
              <w:rPr>
                <w:rFonts w:ascii="Times New Roman" w:cs="Times New Roman" w:eastAsia="Times New Roman" w:hAnsi="Times New Roman"/>
                <w:sz w:val="15"/>
                <w:szCs w:val="15"/>
                <w:color w:val="auto"/>
              </w:rPr>
              <w:t>Property, plant and equipment, net of accumulated depreciation</w:t>
            </w:r>
          </w:p>
        </w:tc>
        <w:tc>
          <w:tcPr>
            <w:tcW w:w="14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7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0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5"/>
                <w:szCs w:val="15"/>
                <w:color w:val="auto"/>
              </w:rPr>
              <w:t>of $806.0 and $787.4, respectively</w:t>
            </w:r>
          </w:p>
        </w:tc>
        <w:tc>
          <w:tcPr>
            <w:tcW w:w="1440" w:type="dxa"/>
            <w:vAlign w:val="bottom"/>
            <w:shd w:val="clear" w:color="auto" w:fill="CCECFF"/>
          </w:tcPr>
          <w:p>
            <w:pPr>
              <w:spacing w:after="0"/>
              <w:rPr>
                <w:sz w:val="17"/>
                <w:szCs w:val="17"/>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646.1</w:t>
            </w:r>
          </w:p>
        </w:tc>
        <w:tc>
          <w:tcPr>
            <w:tcW w:w="2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656.3</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1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5,220.5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144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2,884.4</w:t>
            </w:r>
          </w:p>
        </w:tc>
        <w:tc>
          <w:tcPr>
            <w:tcW w:w="2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3,027.3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14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724.9</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0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Total assets</w:t>
            </w:r>
          </w:p>
        </w:tc>
        <w:tc>
          <w:tcPr>
            <w:tcW w:w="1440" w:type="dxa"/>
            <w:vAlign w:val="bottom"/>
            <w:tcBorders>
              <w:bottom w:val="single" w:sz="8" w:color="auto"/>
            </w:tcBorders>
            <w:shd w:val="clear" w:color="auto" w:fill="CCECFF"/>
          </w:tcPr>
          <w:p>
            <w:pPr>
              <w:jc w:val="right"/>
              <w:ind w:right="128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13,119.3</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13,259.5</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000" w:type="dxa"/>
            <w:vAlign w:val="bottom"/>
          </w:tcPr>
          <w:p>
            <w:pPr>
              <w:ind w:left="2260"/>
              <w:spacing w:after="0" w:line="161" w:lineRule="exact"/>
              <w:rPr>
                <w:sz w:val="20"/>
                <w:szCs w:val="20"/>
                <w:color w:val="auto"/>
              </w:rPr>
            </w:pPr>
            <w:r>
              <w:rPr>
                <w:rFonts w:ascii="Times New Roman" w:cs="Times New Roman" w:eastAsia="Times New Roman" w:hAnsi="Times New Roman"/>
                <w:sz w:val="15"/>
                <w:szCs w:val="15"/>
                <w:b w:val="1"/>
                <w:bCs w:val="1"/>
                <w:color w:val="auto"/>
              </w:rPr>
              <w:t>Liabilities and Stockholders' Deficit</w:t>
            </w: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0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1440" w:type="dxa"/>
            <w:vAlign w:val="bottom"/>
            <w:shd w:val="clear" w:color="auto" w:fill="CCECFF"/>
          </w:tcPr>
          <w:p>
            <w:pPr>
              <w:jc w:val="right"/>
              <w:ind w:right="128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1,272.6</w:t>
            </w:r>
          </w:p>
        </w:tc>
        <w:tc>
          <w:tcPr>
            <w:tcW w:w="20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1,160.7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Accrued and other liabilities</w:t>
            </w:r>
          </w:p>
        </w:tc>
        <w:tc>
          <w:tcPr>
            <w:tcW w:w="1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917.3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1440" w:type="dxa"/>
            <w:vAlign w:val="bottom"/>
            <w:tcBorders>
              <w:bottom w:val="single" w:sz="8" w:color="auto"/>
            </w:tcBorders>
            <w:shd w:val="clear" w:color="auto" w:fill="CCECFF"/>
          </w:tcPr>
          <w:p>
            <w:pPr>
              <w:spacing w:after="0"/>
              <w:rPr>
                <w:sz w:val="16"/>
                <w:szCs w:val="16"/>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20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auto"/>
            </w:tcBorders>
            <w:shd w:val="clear" w:color="auto" w:fill="CCECFF"/>
          </w:tcPr>
          <w:p>
            <w:pPr>
              <w:spacing w:after="0"/>
              <w:rPr>
                <w:sz w:val="16"/>
                <w:szCs w:val="16"/>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2,221.9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144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9,476.3</w:t>
            </w:r>
          </w:p>
        </w:tc>
        <w:tc>
          <w:tcPr>
            <w:tcW w:w="2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9,478.5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1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440" w:type="dxa"/>
            <w:vAlign w:val="bottom"/>
            <w:tcBorders>
              <w:bottom w:val="single" w:sz="8" w:color="auto"/>
            </w:tcBorders>
            <w:shd w:val="clear" w:color="auto" w:fill="CCECFF"/>
          </w:tcPr>
          <w:p>
            <w:pPr>
              <w:spacing w:after="0"/>
              <w:rPr>
                <w:sz w:val="16"/>
                <w:szCs w:val="16"/>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463.6</w:t>
            </w:r>
          </w:p>
        </w:tc>
        <w:tc>
          <w:tcPr>
            <w:tcW w:w="20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auto"/>
            </w:tcBorders>
            <w:shd w:val="clear" w:color="auto" w:fill="CCECFF"/>
          </w:tcPr>
          <w:p>
            <w:pPr>
              <w:spacing w:after="0"/>
              <w:rPr>
                <w:sz w:val="16"/>
                <w:szCs w:val="16"/>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490.8</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liabilities</w:t>
            </w:r>
          </w:p>
        </w:tc>
        <w:tc>
          <w:tcPr>
            <w:tcW w:w="1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12,362.8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44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Series A convertible preferred stock, $0.01 par value</w:t>
            </w:r>
          </w:p>
        </w:tc>
        <w:tc>
          <w:tcPr>
            <w:tcW w:w="1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Stockholders' deficit:</w:t>
            </w:r>
          </w:p>
        </w:tc>
        <w:tc>
          <w:tcPr>
            <w:tcW w:w="144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00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auto"/>
              </w:rPr>
              <w:t>Preferred stock, $0.01 par value: Authorized shares: 200,000,000;</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Issued and outstanding shares: 1,070,666 and 1,056,144, respectively,</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A convertible preferred stock</w:t>
            </w:r>
          </w:p>
        </w:tc>
        <w:tc>
          <w:tcPr>
            <w:tcW w:w="1440" w:type="dxa"/>
            <w:vAlign w:val="bottom"/>
          </w:tcPr>
          <w:p>
            <w:pPr>
              <w:spacing w:after="0"/>
              <w:rPr>
                <w:sz w:val="17"/>
                <w:szCs w:val="17"/>
                <w:color w:val="auto"/>
              </w:rPr>
            </w:pPr>
          </w:p>
        </w:tc>
        <w:tc>
          <w:tcPr>
            <w:tcW w:w="76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78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7000" w:type="dxa"/>
            <w:vAlign w:val="bottom"/>
            <w:shd w:val="clear" w:color="auto" w:fill="CCECFF"/>
          </w:tcPr>
          <w:p>
            <w:pPr>
              <w:ind w:left="80"/>
              <w:spacing w:after="0" w:line="148" w:lineRule="exact"/>
              <w:rPr>
                <w:sz w:val="20"/>
                <w:szCs w:val="20"/>
                <w:color w:val="auto"/>
              </w:rPr>
            </w:pPr>
            <w:r>
              <w:rPr>
                <w:rFonts w:ascii="Times New Roman" w:cs="Times New Roman" w:eastAsia="Times New Roman" w:hAnsi="Times New Roman"/>
                <w:sz w:val="15"/>
                <w:szCs w:val="15"/>
                <w:color w:val="auto"/>
              </w:rPr>
              <w:t>Common stock, $0.01 par value: Authorized shares: 1,300,000,000;</w:t>
            </w:r>
          </w:p>
        </w:tc>
        <w:tc>
          <w:tcPr>
            <w:tcW w:w="14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7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0" w:type="dxa"/>
            <w:vAlign w:val="bottom"/>
            <w:shd w:val="clear" w:color="auto" w:fill="CCECFF"/>
          </w:tcPr>
          <w:p>
            <w:pPr>
              <w:ind w:left="200"/>
              <w:spacing w:after="0" w:line="162" w:lineRule="exact"/>
              <w:rPr>
                <w:sz w:val="20"/>
                <w:szCs w:val="20"/>
                <w:color w:val="auto"/>
              </w:rPr>
            </w:pPr>
            <w:r>
              <w:rPr>
                <w:rFonts w:ascii="Times New Roman" w:cs="Times New Roman" w:eastAsia="Times New Roman" w:hAnsi="Times New Roman"/>
                <w:sz w:val="15"/>
                <w:szCs w:val="15"/>
                <w:color w:val="auto"/>
              </w:rPr>
              <w:t>Issued and outstanding shares: 207,052,122 and 204,567,294,</w:t>
            </w:r>
          </w:p>
        </w:tc>
        <w:tc>
          <w:tcPr>
            <w:tcW w:w="144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7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respectively</w:t>
            </w:r>
          </w:p>
        </w:tc>
        <w:tc>
          <w:tcPr>
            <w:tcW w:w="1440" w:type="dxa"/>
            <w:vAlign w:val="bottom"/>
            <w:shd w:val="clear" w:color="auto" w:fill="CCECFF"/>
          </w:tcPr>
          <w:p>
            <w:pPr>
              <w:spacing w:after="0"/>
              <w:rPr>
                <w:sz w:val="17"/>
                <w:szCs w:val="17"/>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2,542.8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Accumulated deficit</w:t>
            </w:r>
          </w:p>
        </w:tc>
        <w:tc>
          <w:tcPr>
            <w:tcW w:w="1440" w:type="dxa"/>
            <w:vAlign w:val="bottom"/>
            <w:shd w:val="clear" w:color="auto" w:fill="CCECFF"/>
          </w:tcPr>
          <w:p>
            <w:pPr>
              <w:spacing w:after="0"/>
              <w:rPr>
                <w:sz w:val="16"/>
                <w:szCs w:val="16"/>
                <w:color w:val="auto"/>
              </w:rPr>
            </w:pPr>
          </w:p>
        </w:tc>
        <w:tc>
          <w:tcPr>
            <w:tcW w:w="760" w:type="dxa"/>
            <w:vAlign w:val="bottom"/>
            <w:gridSpan w:val="2"/>
            <w:shd w:val="clear" w:color="auto" w:fill="CCECFF"/>
          </w:tcPr>
          <w:p>
            <w:pPr>
              <w:jc w:val="right"/>
              <w:ind w:right="63"/>
              <w:spacing w:after="0"/>
              <w:rPr>
                <w:sz w:val="20"/>
                <w:szCs w:val="20"/>
                <w:color w:val="auto"/>
              </w:rPr>
            </w:pPr>
            <w:r>
              <w:rPr>
                <w:rFonts w:ascii="Times New Roman" w:cs="Times New Roman" w:eastAsia="Times New Roman" w:hAnsi="Times New Roman"/>
                <w:sz w:val="15"/>
                <w:szCs w:val="15"/>
                <w:color w:val="auto"/>
              </w:rPr>
              <w:t>(2,355.2 )</w:t>
            </w:r>
          </w:p>
        </w:tc>
        <w:tc>
          <w:tcPr>
            <w:tcW w:w="280" w:type="dxa"/>
            <w:vAlign w:val="bottom"/>
            <w:shd w:val="clear" w:color="auto" w:fill="CCECFF"/>
          </w:tcPr>
          <w:p>
            <w:pPr>
              <w:spacing w:after="0"/>
              <w:rPr>
                <w:sz w:val="16"/>
                <w:szCs w:val="16"/>
                <w:color w:val="auto"/>
              </w:rPr>
            </w:pP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(2,215.3 )</w:t>
            </w:r>
          </w:p>
        </w:tc>
        <w:tc>
          <w:tcPr>
            <w:tcW w:w="0" w:type="dxa"/>
            <w:vAlign w:val="bottom"/>
          </w:tcPr>
          <w:p>
            <w:pPr>
              <w:spacing w:after="0"/>
              <w:rPr>
                <w:sz w:val="1"/>
                <w:szCs w:val="1"/>
                <w:color w:val="auto"/>
              </w:rPr>
            </w:pPr>
          </w:p>
        </w:tc>
      </w:tr>
      <w:tr>
        <w:trPr>
          <w:trHeight w:val="186"/>
        </w:trPr>
        <w:tc>
          <w:tcPr>
            <w:tcW w:w="70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440" w:type="dxa"/>
            <w:vAlign w:val="bottom"/>
          </w:tcPr>
          <w:p>
            <w:pPr>
              <w:spacing w:after="0"/>
              <w:rPr>
                <w:sz w:val="16"/>
                <w:szCs w:val="16"/>
                <w:color w:val="auto"/>
              </w:rPr>
            </w:pPr>
          </w:p>
        </w:tc>
        <w:tc>
          <w:tcPr>
            <w:tcW w:w="76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(215.6 )</w:t>
            </w:r>
          </w:p>
        </w:tc>
        <w:tc>
          <w:tcPr>
            <w:tcW w:w="28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(206.4 )</w:t>
            </w:r>
          </w:p>
        </w:tc>
        <w:tc>
          <w:tcPr>
            <w:tcW w:w="0" w:type="dxa"/>
            <w:vAlign w:val="bottom"/>
          </w:tcPr>
          <w:p>
            <w:pPr>
              <w:spacing w:after="0"/>
              <w:rPr>
                <w:sz w:val="1"/>
                <w:szCs w:val="1"/>
                <w:color w:val="auto"/>
              </w:rPr>
            </w:pPr>
          </w:p>
        </w:tc>
      </w:tr>
      <w:tr>
        <w:trPr>
          <w:trHeight w:val="148"/>
        </w:trPr>
        <w:tc>
          <w:tcPr>
            <w:tcW w:w="7000" w:type="dxa"/>
            <w:vAlign w:val="bottom"/>
            <w:shd w:val="clear" w:color="auto" w:fill="CCECFF"/>
          </w:tcPr>
          <w:p>
            <w:pPr>
              <w:ind w:left="80"/>
              <w:spacing w:after="0" w:line="148" w:lineRule="exact"/>
              <w:rPr>
                <w:sz w:val="20"/>
                <w:szCs w:val="20"/>
                <w:color w:val="auto"/>
              </w:rPr>
            </w:pPr>
            <w:r>
              <w:rPr>
                <w:rFonts w:ascii="Times New Roman" w:cs="Times New Roman" w:eastAsia="Times New Roman" w:hAnsi="Times New Roman"/>
                <w:sz w:val="15"/>
                <w:szCs w:val="15"/>
                <w:color w:val="auto"/>
              </w:rPr>
              <w:t>Treasury stock, at cost: 12,201,824 shares and</w:t>
            </w:r>
          </w:p>
        </w:tc>
        <w:tc>
          <w:tcPr>
            <w:tcW w:w="14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7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0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10,970,585 shares, respectively</w:t>
            </w:r>
          </w:p>
        </w:tc>
        <w:tc>
          <w:tcPr>
            <w:tcW w:w="1440" w:type="dxa"/>
            <w:vAlign w:val="bottom"/>
            <w:shd w:val="clear" w:color="auto" w:fill="CCECFF"/>
          </w:tcPr>
          <w:p>
            <w:pPr>
              <w:spacing w:after="0"/>
              <w:rPr>
                <w:sz w:val="17"/>
                <w:szCs w:val="17"/>
                <w:color w:val="auto"/>
              </w:rPr>
            </w:pPr>
          </w:p>
        </w:tc>
        <w:tc>
          <w:tcPr>
            <w:tcW w:w="760" w:type="dxa"/>
            <w:vAlign w:val="bottom"/>
            <w:gridSpan w:val="2"/>
            <w:shd w:val="clear" w:color="auto" w:fill="CCECFF"/>
          </w:tcPr>
          <w:p>
            <w:pPr>
              <w:jc w:val="right"/>
              <w:ind w:right="63"/>
              <w:spacing w:after="0"/>
              <w:rPr>
                <w:sz w:val="20"/>
                <w:szCs w:val="20"/>
                <w:color w:val="auto"/>
              </w:rPr>
            </w:pPr>
            <w:r>
              <w:rPr>
                <w:rFonts w:ascii="Times New Roman" w:cs="Times New Roman" w:eastAsia="Times New Roman" w:hAnsi="Times New Roman"/>
                <w:sz w:val="15"/>
                <w:szCs w:val="15"/>
                <w:color w:val="auto"/>
              </w:rPr>
              <w:t>(288.4 )</w:t>
            </w:r>
          </w:p>
        </w:tc>
        <w:tc>
          <w:tcPr>
            <w:tcW w:w="280" w:type="dxa"/>
            <w:vAlign w:val="bottom"/>
            <w:shd w:val="clear" w:color="auto" w:fill="CCECFF"/>
          </w:tcPr>
          <w:p>
            <w:pPr>
              <w:spacing w:after="0"/>
              <w:rPr>
                <w:sz w:val="17"/>
                <w:szCs w:val="17"/>
                <w:color w:val="auto"/>
              </w:rPr>
            </w:pP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(277.8 )</w:t>
            </w:r>
          </w:p>
        </w:tc>
        <w:tc>
          <w:tcPr>
            <w:tcW w:w="0" w:type="dxa"/>
            <w:vAlign w:val="bottom"/>
          </w:tcPr>
          <w:p>
            <w:pPr>
              <w:spacing w:after="0"/>
              <w:rPr>
                <w:sz w:val="1"/>
                <w:szCs w:val="1"/>
                <w:color w:val="auto"/>
              </w:rPr>
            </w:pPr>
          </w:p>
        </w:tc>
      </w:tr>
      <w:tr>
        <w:trPr>
          <w:trHeight w:val="177"/>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4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(314.2</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7"/>
        </w:trPr>
        <w:tc>
          <w:tcPr>
            <w:tcW w:w="700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Total liabilities and stockholders' deficit</w:t>
            </w:r>
          </w:p>
        </w:tc>
        <w:tc>
          <w:tcPr>
            <w:tcW w:w="1440" w:type="dxa"/>
            <w:vAlign w:val="bottom"/>
            <w:tcBorders>
              <w:bottom w:val="single" w:sz="8" w:color="auto"/>
            </w:tcBorders>
            <w:shd w:val="clear" w:color="auto" w:fill="CCECFF"/>
          </w:tcPr>
          <w:p>
            <w:pPr>
              <w:jc w:val="right"/>
              <w:ind w:right="128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13,119.3</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13,259.5</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5718175</wp:posOffset>
            </wp:positionH>
            <wp:positionV relativeFrom="paragraph">
              <wp:posOffset>-3785235</wp:posOffset>
            </wp:positionV>
            <wp:extent cx="590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-3785235</wp:posOffset>
            </wp:positionV>
            <wp:extent cx="514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-2960370</wp:posOffset>
            </wp:positionV>
            <wp:extent cx="590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-2945765</wp:posOffset>
            </wp:positionV>
            <wp:extent cx="590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-2960370</wp:posOffset>
            </wp:positionV>
            <wp:extent cx="514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-2945765</wp:posOffset>
            </wp:positionV>
            <wp:extent cx="514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-2466975</wp:posOffset>
            </wp:positionV>
            <wp:extent cx="590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-2466975</wp:posOffset>
            </wp:positionV>
            <wp:extent cx="514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-1988185</wp:posOffset>
            </wp:positionV>
            <wp:extent cx="590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-1988185</wp:posOffset>
            </wp:positionV>
            <wp:extent cx="514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-284480</wp:posOffset>
            </wp:positionV>
            <wp:extent cx="84455" cy="158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455" cy="15811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-284480</wp:posOffset>
            </wp:positionV>
            <wp:extent cx="76835"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581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-21590</wp:posOffset>
            </wp:positionV>
            <wp:extent cx="590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-6985</wp:posOffset>
            </wp:positionV>
            <wp:extent cx="590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-21590</wp:posOffset>
            </wp:positionV>
            <wp:extent cx="514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-6985</wp:posOffset>
            </wp:positionV>
            <wp:extent cx="514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unaudited condensed consolidated financial statements.</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295" w:right="319" w:bottom="1440" w:gutter="0" w:footer="0" w:header="0"/>
        </w:sectPr>
      </w:pPr>
    </w:p>
    <w:bookmarkStart w:id="5" w:name="page6"/>
    <w:bookmarkEnd w:id="5"/>
    <w:p>
      <w:pPr>
        <w:ind w:left="4420"/>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84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24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844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r>
      <w:tr>
        <w:trPr>
          <w:trHeight w:val="177"/>
        </w:trPr>
        <w:tc>
          <w:tcPr>
            <w:tcW w:w="84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78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86"/>
        </w:trPr>
        <w:tc>
          <w:tcPr>
            <w:tcW w:w="8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(139.9 )</w:t>
            </w: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(97.6 )</w:t>
            </w:r>
          </w:p>
        </w:tc>
      </w:tr>
      <w:tr>
        <w:trPr>
          <w:trHeight w:val="186"/>
        </w:trPr>
        <w:tc>
          <w:tcPr>
            <w:tcW w:w="84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86"/>
        </w:trPr>
        <w:tc>
          <w:tcPr>
            <w:tcW w:w="8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180.2</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199.2</w:t>
            </w:r>
          </w:p>
        </w:tc>
        <w:tc>
          <w:tcPr>
            <w:tcW w:w="80" w:type="dxa"/>
            <w:vAlign w:val="bottom"/>
          </w:tcPr>
          <w:p>
            <w:pPr>
              <w:spacing w:after="0"/>
              <w:rPr>
                <w:sz w:val="16"/>
                <w:szCs w:val="16"/>
                <w:color w:val="auto"/>
              </w:rPr>
            </w:pPr>
          </w:p>
        </w:tc>
      </w:tr>
      <w:tr>
        <w:trPr>
          <w:trHeight w:val="186"/>
        </w:trPr>
        <w:tc>
          <w:tcPr>
            <w:tcW w:w="84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80" w:type="dxa"/>
            <w:vAlign w:val="bottom"/>
            <w:shd w:val="clear" w:color="auto" w:fill="CCECFF"/>
          </w:tcPr>
          <w:p>
            <w:pPr>
              <w:spacing w:after="0"/>
              <w:rPr>
                <w:sz w:val="16"/>
                <w:szCs w:val="16"/>
                <w:color w:val="auto"/>
              </w:rPr>
            </w:pPr>
          </w:p>
        </w:tc>
      </w:tr>
      <w:tr>
        <w:trPr>
          <w:trHeight w:val="186"/>
        </w:trPr>
        <w:tc>
          <w:tcPr>
            <w:tcW w:w="8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Deferred income taxes</w:t>
            </w: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(53.4 )</w:t>
            </w:r>
          </w:p>
        </w:tc>
      </w:tr>
      <w:tr>
        <w:trPr>
          <w:trHeight w:val="186"/>
        </w:trPr>
        <w:tc>
          <w:tcPr>
            <w:tcW w:w="84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86"/>
        </w:trPr>
        <w:tc>
          <w:tcPr>
            <w:tcW w:w="8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780" w:type="dxa"/>
            <w:vAlign w:val="bottom"/>
          </w:tcPr>
          <w:p>
            <w:pPr>
              <w:spacing w:after="0"/>
              <w:rPr>
                <w:sz w:val="16"/>
                <w:szCs w:val="16"/>
                <w:color w:val="auto"/>
              </w:rPr>
            </w:pPr>
          </w:p>
        </w:tc>
        <w:tc>
          <w:tcPr>
            <w:tcW w:w="7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(60.5 )</w:t>
            </w:r>
          </w:p>
        </w:tc>
        <w:tc>
          <w:tcPr>
            <w:tcW w:w="4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(164.2 )</w:t>
            </w:r>
          </w:p>
        </w:tc>
      </w:tr>
      <w:tr>
        <w:trPr>
          <w:trHeight w:val="186"/>
        </w:trPr>
        <w:tc>
          <w:tcPr>
            <w:tcW w:w="84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5"/>
                <w:szCs w:val="15"/>
                <w:color w:val="auto"/>
              </w:rPr>
              <w:t>Inventories</w:t>
            </w:r>
          </w:p>
        </w:tc>
        <w:tc>
          <w:tcPr>
            <w:tcW w:w="78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63"/>
              <w:spacing w:after="0"/>
              <w:rPr>
                <w:sz w:val="20"/>
                <w:szCs w:val="20"/>
                <w:color w:val="auto"/>
              </w:rPr>
            </w:pPr>
            <w:r>
              <w:rPr>
                <w:rFonts w:ascii="Times New Roman" w:cs="Times New Roman" w:eastAsia="Times New Roman" w:hAnsi="Times New Roman"/>
                <w:sz w:val="15"/>
                <w:szCs w:val="15"/>
                <w:color w:val="auto"/>
              </w:rPr>
              <w:t>(73.7 )</w:t>
            </w:r>
          </w:p>
        </w:tc>
        <w:tc>
          <w:tcPr>
            <w:tcW w:w="48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(10.7 )</w:t>
            </w:r>
          </w:p>
        </w:tc>
      </w:tr>
      <w:tr>
        <w:trPr>
          <w:trHeight w:val="186"/>
        </w:trPr>
        <w:tc>
          <w:tcPr>
            <w:tcW w:w="8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6"/>
                <w:szCs w:val="16"/>
                <w:color w:val="auto"/>
              </w:rPr>
            </w:pPr>
          </w:p>
        </w:tc>
      </w:tr>
      <w:tr>
        <w:trPr>
          <w:trHeight w:val="186"/>
        </w:trPr>
        <w:tc>
          <w:tcPr>
            <w:tcW w:w="84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(23.9 )</w:t>
            </w:r>
          </w:p>
        </w:tc>
      </w:tr>
      <w:tr>
        <w:trPr>
          <w:trHeight w:val="186"/>
        </w:trPr>
        <w:tc>
          <w:tcPr>
            <w:tcW w:w="8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177"/>
        </w:trPr>
        <w:tc>
          <w:tcPr>
            <w:tcW w:w="84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780" w:type="dxa"/>
            <w:vAlign w:val="bottom"/>
            <w:tcBorders>
              <w:top w:val="single" w:sz="8" w:color="auto"/>
            </w:tcBorders>
            <w:shd w:val="clear" w:color="auto" w:fill="CCECFF"/>
          </w:tcPr>
          <w:p>
            <w:pPr>
              <w:spacing w:after="0"/>
              <w:rPr>
                <w:sz w:val="15"/>
                <w:szCs w:val="15"/>
                <w:color w:val="auto"/>
              </w:rPr>
            </w:pP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200" w:type="dxa"/>
            <w:vAlign w:val="bottom"/>
            <w:shd w:val="clear" w:color="auto" w:fill="CCEC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CFF"/>
          </w:tcPr>
          <w:p>
            <w:pPr>
              <w:spacing w:after="0"/>
              <w:rPr>
                <w:sz w:val="15"/>
                <w:szCs w:val="15"/>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6"/>
        </w:trPr>
        <w:tc>
          <w:tcPr>
            <w:tcW w:w="8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84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78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63"/>
              <w:spacing w:after="0"/>
              <w:rPr>
                <w:sz w:val="20"/>
                <w:szCs w:val="20"/>
                <w:color w:val="auto"/>
              </w:rPr>
            </w:pPr>
            <w:r>
              <w:rPr>
                <w:rFonts w:ascii="Times New Roman" w:cs="Times New Roman" w:eastAsia="Times New Roman" w:hAnsi="Times New Roman"/>
                <w:sz w:val="15"/>
                <w:szCs w:val="15"/>
                <w:color w:val="auto"/>
              </w:rPr>
              <w:t>(27.4 )</w:t>
            </w:r>
          </w:p>
        </w:tc>
        <w:tc>
          <w:tcPr>
            <w:tcW w:w="48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(26.4 )</w:t>
            </w:r>
          </w:p>
        </w:tc>
      </w:tr>
      <w:tr>
        <w:trPr>
          <w:trHeight w:val="186"/>
        </w:trPr>
        <w:tc>
          <w:tcPr>
            <w:tcW w:w="8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Proceeds from sale of property, plant and equipment</w:t>
            </w:r>
          </w:p>
        </w:tc>
        <w:tc>
          <w:tcPr>
            <w:tcW w:w="780" w:type="dxa"/>
            <w:vAlign w:val="bottom"/>
          </w:tcPr>
          <w:p>
            <w:pPr>
              <w:spacing w:after="0"/>
              <w:rPr>
                <w:sz w:val="16"/>
                <w:szCs w:val="16"/>
                <w:color w:val="auto"/>
              </w:rPr>
            </w:pPr>
          </w:p>
        </w:tc>
        <w:tc>
          <w:tcPr>
            <w:tcW w:w="70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6"/>
                <w:szCs w:val="16"/>
                <w:color w:val="auto"/>
              </w:rPr>
            </w:pPr>
          </w:p>
        </w:tc>
      </w:tr>
      <w:tr>
        <w:trPr>
          <w:trHeight w:val="186"/>
        </w:trPr>
        <w:tc>
          <w:tcPr>
            <w:tcW w:w="844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tcBorders>
              <w:bottom w:val="single" w:sz="8" w:color="auto"/>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00" w:type="dxa"/>
            <w:vAlign w:val="bottom"/>
            <w:tcBorders>
              <w:bottom w:val="single" w:sz="8" w:color="CCECFF"/>
            </w:tcBorders>
            <w:shd w:val="clear" w:color="auto" w:fill="CCECFF"/>
          </w:tcPr>
          <w:p>
            <w:pPr>
              <w:spacing w:after="0"/>
              <w:rPr>
                <w:sz w:val="16"/>
                <w:szCs w:val="16"/>
                <w:color w:val="auto"/>
              </w:rPr>
            </w:pPr>
          </w:p>
        </w:tc>
        <w:tc>
          <w:tcPr>
            <w:tcW w:w="480" w:type="dxa"/>
            <w:vAlign w:val="bottom"/>
            <w:tcBorders>
              <w:bottom w:val="single" w:sz="8" w:color="auto"/>
            </w:tcBorders>
            <w:shd w:val="clear" w:color="auto" w:fill="CCECFF"/>
          </w:tcPr>
          <w:p>
            <w:pPr>
              <w:spacing w:after="0"/>
              <w:rPr>
                <w:sz w:val="16"/>
                <w:szCs w:val="16"/>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7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780" w:type="dxa"/>
            <w:vAlign w:val="bottom"/>
          </w:tcPr>
          <w:p>
            <w:pPr>
              <w:spacing w:after="0"/>
              <w:rPr>
                <w:sz w:val="15"/>
                <w:szCs w:val="15"/>
                <w:color w:val="auto"/>
              </w:rPr>
            </w:pPr>
          </w:p>
        </w:tc>
        <w:tc>
          <w:tcPr>
            <w:tcW w:w="7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(16.0 )</w:t>
            </w:r>
          </w:p>
        </w:tc>
        <w:tc>
          <w:tcPr>
            <w:tcW w:w="4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(25.4 )</w:t>
            </w:r>
          </w:p>
        </w:tc>
      </w:tr>
      <w:tr>
        <w:trPr>
          <w:trHeight w:val="186"/>
        </w:trPr>
        <w:tc>
          <w:tcPr>
            <w:tcW w:w="84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86"/>
        </w:trPr>
        <w:tc>
          <w:tcPr>
            <w:tcW w:w="8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Long-term debt repaid</w:t>
            </w:r>
          </w:p>
        </w:tc>
        <w:tc>
          <w:tcPr>
            <w:tcW w:w="780" w:type="dxa"/>
            <w:vAlign w:val="bottom"/>
          </w:tcPr>
          <w:p>
            <w:pPr>
              <w:spacing w:after="0"/>
              <w:rPr>
                <w:sz w:val="16"/>
                <w:szCs w:val="16"/>
                <w:color w:val="auto"/>
              </w:rPr>
            </w:pPr>
          </w:p>
        </w:tc>
        <w:tc>
          <w:tcPr>
            <w:tcW w:w="7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(93.0 )</w:t>
            </w:r>
          </w:p>
        </w:tc>
        <w:tc>
          <w:tcPr>
            <w:tcW w:w="4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(8.0 )</w:t>
            </w:r>
          </w:p>
        </w:tc>
      </w:tr>
      <w:tr>
        <w:trPr>
          <w:trHeight w:val="186"/>
        </w:trPr>
        <w:tc>
          <w:tcPr>
            <w:tcW w:w="84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Long-term debt proceeds</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8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Dividends paid on Series A convertible preferred stock</w:t>
            </w:r>
          </w:p>
        </w:tc>
        <w:tc>
          <w:tcPr>
            <w:tcW w:w="780" w:type="dxa"/>
            <w:vAlign w:val="bottom"/>
          </w:tcPr>
          <w:p>
            <w:pPr>
              <w:spacing w:after="0"/>
              <w:rPr>
                <w:sz w:val="16"/>
                <w:szCs w:val="16"/>
                <w:color w:val="auto"/>
              </w:rPr>
            </w:pPr>
          </w:p>
        </w:tc>
        <w:tc>
          <w:tcPr>
            <w:tcW w:w="70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(14.3 )</w:t>
            </w:r>
          </w:p>
        </w:tc>
      </w:tr>
      <w:tr>
        <w:trPr>
          <w:trHeight w:val="186"/>
        </w:trPr>
        <w:tc>
          <w:tcPr>
            <w:tcW w:w="84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Proceeds from the issuance of common shares under equity-based compensation plans</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CFF"/>
          </w:tcPr>
          <w:p>
            <w:pPr>
              <w:spacing w:after="0"/>
              <w:rPr>
                <w:sz w:val="16"/>
                <w:szCs w:val="16"/>
                <w:color w:val="auto"/>
              </w:rPr>
            </w:pPr>
          </w:p>
        </w:tc>
      </w:tr>
      <w:tr>
        <w:trPr>
          <w:trHeight w:val="186"/>
        </w:trPr>
        <w:tc>
          <w:tcPr>
            <w:tcW w:w="8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Tax withholding payments for vested equity-based compensation awards</w:t>
            </w:r>
          </w:p>
        </w:tc>
        <w:tc>
          <w:tcPr>
            <w:tcW w:w="780" w:type="dxa"/>
            <w:vAlign w:val="bottom"/>
          </w:tcPr>
          <w:p>
            <w:pPr>
              <w:spacing w:after="0"/>
              <w:rPr>
                <w:sz w:val="16"/>
                <w:szCs w:val="16"/>
                <w:color w:val="auto"/>
              </w:rPr>
            </w:pPr>
          </w:p>
        </w:tc>
        <w:tc>
          <w:tcPr>
            <w:tcW w:w="7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(10.6 )</w:t>
            </w:r>
          </w:p>
        </w:tc>
        <w:tc>
          <w:tcPr>
            <w:tcW w:w="4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(24.3 )</w:t>
            </w:r>
          </w:p>
        </w:tc>
      </w:tr>
      <w:tr>
        <w:trPr>
          <w:trHeight w:val="186"/>
        </w:trPr>
        <w:tc>
          <w:tcPr>
            <w:tcW w:w="844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tcBorders>
              <w:bottom w:val="single" w:sz="8" w:color="auto"/>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tcBorders>
              <w:bottom w:val="single" w:sz="8" w:color="CCECFF"/>
            </w:tcBorders>
            <w:shd w:val="clear" w:color="auto" w:fill="CCECFF"/>
          </w:tcPr>
          <w:p>
            <w:pPr>
              <w:spacing w:after="0"/>
              <w:rPr>
                <w:sz w:val="16"/>
                <w:szCs w:val="16"/>
                <w:color w:val="auto"/>
              </w:rPr>
            </w:pPr>
          </w:p>
        </w:tc>
        <w:tc>
          <w:tcPr>
            <w:tcW w:w="480" w:type="dxa"/>
            <w:vAlign w:val="bottom"/>
            <w:tcBorders>
              <w:bottom w:val="single" w:sz="8" w:color="auto"/>
            </w:tcBorders>
            <w:shd w:val="clear" w:color="auto" w:fill="CCECFF"/>
          </w:tcPr>
          <w:p>
            <w:pPr>
              <w:spacing w:after="0"/>
              <w:rPr>
                <w:sz w:val="16"/>
                <w:szCs w:val="16"/>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7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780" w:type="dxa"/>
            <w:vAlign w:val="bottom"/>
          </w:tcPr>
          <w:p>
            <w:pPr>
              <w:spacing w:after="0"/>
              <w:rPr>
                <w:sz w:val="15"/>
                <w:szCs w:val="15"/>
                <w:color w:val="auto"/>
              </w:rPr>
            </w:pPr>
          </w:p>
        </w:tc>
        <w:tc>
          <w:tcPr>
            <w:tcW w:w="7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(17.2 )</w:t>
            </w:r>
          </w:p>
        </w:tc>
        <w:tc>
          <w:tcPr>
            <w:tcW w:w="4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(42.7 )</w:t>
            </w:r>
          </w:p>
        </w:tc>
      </w:tr>
      <w:tr>
        <w:trPr>
          <w:trHeight w:val="186"/>
        </w:trPr>
        <w:tc>
          <w:tcPr>
            <w:tcW w:w="84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78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(3.9 )</w:t>
            </w:r>
          </w:p>
        </w:tc>
      </w:tr>
      <w:tr>
        <w:trPr>
          <w:trHeight w:val="20"/>
        </w:trPr>
        <w:tc>
          <w:tcPr>
            <w:tcW w:w="8440" w:type="dxa"/>
            <w:vAlign w:val="bottom"/>
            <w:shd w:val="clear" w:color="auto" w:fill="CCEC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r>
      <w:tr>
        <w:trPr>
          <w:trHeight w:val="17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Change in cash and cash equivalents</w:t>
            </w:r>
          </w:p>
        </w:tc>
        <w:tc>
          <w:tcPr>
            <w:tcW w:w="780" w:type="dxa"/>
            <w:vAlign w:val="bottom"/>
          </w:tcPr>
          <w:p>
            <w:pPr>
              <w:spacing w:after="0"/>
              <w:rPr>
                <w:sz w:val="15"/>
                <w:szCs w:val="15"/>
                <w:color w:val="auto"/>
              </w:rPr>
            </w:pPr>
          </w:p>
        </w:tc>
        <w:tc>
          <w:tcPr>
            <w:tcW w:w="70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(45.6 )</w:t>
            </w:r>
          </w:p>
        </w:tc>
        <w:tc>
          <w:tcPr>
            <w:tcW w:w="4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(196.0 )</w:t>
            </w:r>
          </w:p>
        </w:tc>
      </w:tr>
      <w:tr>
        <w:trPr>
          <w:trHeight w:val="186"/>
        </w:trPr>
        <w:tc>
          <w:tcPr>
            <w:tcW w:w="84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Cash and cash equivalent at beginning of period</w:t>
            </w:r>
          </w:p>
        </w:tc>
        <w:tc>
          <w:tcPr>
            <w:tcW w:w="780" w:type="dxa"/>
            <w:vAlign w:val="bottom"/>
            <w:tcBorders>
              <w:bottom w:val="single" w:sz="8" w:color="auto"/>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360.3</w:t>
            </w:r>
          </w:p>
        </w:tc>
        <w:tc>
          <w:tcPr>
            <w:tcW w:w="200" w:type="dxa"/>
            <w:vAlign w:val="bottom"/>
            <w:tcBorders>
              <w:bottom w:val="single" w:sz="8" w:color="CCECFF"/>
            </w:tcBorders>
            <w:shd w:val="clear" w:color="auto" w:fill="CCECFF"/>
          </w:tcPr>
          <w:p>
            <w:pPr>
              <w:spacing w:after="0"/>
              <w:rPr>
                <w:sz w:val="16"/>
                <w:szCs w:val="16"/>
                <w:color w:val="auto"/>
              </w:rPr>
            </w:pPr>
          </w:p>
        </w:tc>
        <w:tc>
          <w:tcPr>
            <w:tcW w:w="480" w:type="dxa"/>
            <w:vAlign w:val="bottom"/>
            <w:tcBorders>
              <w:bottom w:val="single" w:sz="8" w:color="auto"/>
            </w:tcBorders>
            <w:shd w:val="clear" w:color="auto" w:fill="CCECFF"/>
          </w:tcPr>
          <w:p>
            <w:pPr>
              <w:spacing w:after="0"/>
              <w:rPr>
                <w:sz w:val="16"/>
                <w:szCs w:val="16"/>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521.9</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7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7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314.7</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325.9</w:t>
            </w:r>
          </w:p>
        </w:tc>
        <w:tc>
          <w:tcPr>
            <w:tcW w:w="80" w:type="dxa"/>
            <w:vAlign w:val="bottom"/>
          </w:tcPr>
          <w:p>
            <w:pPr>
              <w:spacing w:after="0"/>
              <w:rPr>
                <w:sz w:val="15"/>
                <w:szCs w:val="15"/>
                <w:color w:val="auto"/>
              </w:rPr>
            </w:pP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-1583055</wp:posOffset>
            </wp:positionV>
            <wp:extent cx="590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-1583055</wp:posOffset>
            </wp:positionV>
            <wp:extent cx="514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-632460</wp:posOffset>
            </wp:positionV>
            <wp:extent cx="590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-632460</wp:posOffset>
            </wp:positionV>
            <wp:extent cx="514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-389890</wp:posOffset>
            </wp:positionV>
            <wp:extent cx="590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-389890</wp:posOffset>
            </wp:positionV>
            <wp:extent cx="514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-146685</wp:posOffset>
            </wp:positionV>
            <wp:extent cx="590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-146685</wp:posOffset>
            </wp:positionV>
            <wp:extent cx="514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See notes to unaudited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295" w:right="319" w:bottom="1440" w:gutter="0" w:footer="0" w:header="0"/>
        </w:sectPr>
      </w:pPr>
    </w:p>
    <w:bookmarkStart w:id="6" w:name="page7"/>
    <w:bookmarkEnd w:id="6"/>
    <w:p>
      <w:pPr>
        <w:ind w:left="4420"/>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(Deficit)</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 In millions,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77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7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r>
      <w:tr>
        <w:trPr>
          <w:trHeight w:val="177"/>
        </w:trPr>
        <w:tc>
          <w:tcPr>
            <w:tcW w:w="77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Number of common shares outstanding:</w:t>
            </w:r>
          </w:p>
        </w:tc>
        <w:tc>
          <w:tcPr>
            <w:tcW w:w="380" w:type="dxa"/>
            <w:vAlign w:val="bottom"/>
            <w:shd w:val="clear" w:color="auto" w:fill="CCECFF"/>
          </w:tcPr>
          <w:p>
            <w:pPr>
              <w:spacing w:after="0"/>
              <w:rPr>
                <w:sz w:val="15"/>
                <w:szCs w:val="15"/>
                <w:color w:val="auto"/>
              </w:rPr>
            </w:pPr>
          </w:p>
        </w:tc>
        <w:tc>
          <w:tcPr>
            <w:tcW w:w="12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86"/>
        </w:trPr>
        <w:tc>
          <w:tcPr>
            <w:tcW w:w="7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204,567,294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200,095,232</w:t>
            </w:r>
          </w:p>
        </w:tc>
        <w:tc>
          <w:tcPr>
            <w:tcW w:w="80" w:type="dxa"/>
            <w:vAlign w:val="bottom"/>
          </w:tcPr>
          <w:p>
            <w:pPr>
              <w:spacing w:after="0"/>
              <w:rPr>
                <w:sz w:val="16"/>
                <w:szCs w:val="16"/>
                <w:color w:val="auto"/>
              </w:rPr>
            </w:pPr>
          </w:p>
        </w:tc>
      </w:tr>
      <w:tr>
        <w:trPr>
          <w:trHeight w:val="186"/>
        </w:trPr>
        <w:tc>
          <w:tcPr>
            <w:tcW w:w="77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Issuance of shares under equity-based compensation plans</w:t>
            </w:r>
          </w:p>
        </w:tc>
        <w:tc>
          <w:tcPr>
            <w:tcW w:w="3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3,716,067</w:t>
            </w:r>
          </w:p>
        </w:tc>
        <w:tc>
          <w:tcPr>
            <w:tcW w:w="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5,497,216</w:t>
            </w:r>
          </w:p>
        </w:tc>
        <w:tc>
          <w:tcPr>
            <w:tcW w:w="80" w:type="dxa"/>
            <w:vAlign w:val="bottom"/>
            <w:shd w:val="clear" w:color="auto" w:fill="CCECFF"/>
          </w:tcPr>
          <w:p>
            <w:pPr>
              <w:spacing w:after="0"/>
              <w:rPr>
                <w:sz w:val="16"/>
                <w:szCs w:val="16"/>
                <w:color w:val="auto"/>
              </w:rPr>
            </w:pPr>
          </w:p>
        </w:tc>
      </w:tr>
      <w:tr>
        <w:trPr>
          <w:trHeight w:val="186"/>
        </w:trPr>
        <w:tc>
          <w:tcPr>
            <w:tcW w:w="7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Shares surrendered under equity-based compensation plans</w:t>
            </w:r>
          </w:p>
        </w:tc>
        <w:tc>
          <w:tcPr>
            <w:tcW w:w="3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(1,231,239 )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(1,595,534 )</w:t>
            </w:r>
          </w:p>
        </w:tc>
      </w:tr>
      <w:tr>
        <w:trPr>
          <w:trHeight w:val="217"/>
        </w:trPr>
        <w:tc>
          <w:tcPr>
            <w:tcW w:w="772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end of period</w:t>
            </w:r>
          </w:p>
        </w:tc>
        <w:tc>
          <w:tcPr>
            <w:tcW w:w="380" w:type="dxa"/>
            <w:vAlign w:val="bottom"/>
            <w:tcBorders>
              <w:top w:val="single" w:sz="8" w:color="auto"/>
              <w:bottom w:val="single" w:sz="8" w:color="auto"/>
            </w:tcBorders>
            <w:shd w:val="clear" w:color="auto" w:fill="CCECFF"/>
          </w:tcPr>
          <w:p>
            <w:pPr>
              <w:spacing w:after="0"/>
              <w:rPr>
                <w:sz w:val="18"/>
                <w:szCs w:val="18"/>
                <w:color w:val="auto"/>
              </w:rPr>
            </w:pP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207,052,122</w:t>
            </w:r>
          </w:p>
        </w:tc>
        <w:tc>
          <w:tcPr>
            <w:tcW w:w="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560" w:type="dxa"/>
            <w:vAlign w:val="bottom"/>
            <w:tcBorders>
              <w:top w:val="single" w:sz="8" w:color="auto"/>
              <w:bottom w:val="single" w:sz="8" w:color="auto"/>
            </w:tcBorders>
            <w:shd w:val="clear" w:color="auto" w:fill="CCECFF"/>
          </w:tcPr>
          <w:p>
            <w:pPr>
              <w:spacing w:after="0"/>
              <w:rPr>
                <w:sz w:val="18"/>
                <w:szCs w:val="18"/>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203,996,914</w:t>
            </w:r>
          </w:p>
        </w:tc>
        <w:tc>
          <w:tcPr>
            <w:tcW w:w="80" w:type="dxa"/>
            <w:vAlign w:val="bottom"/>
            <w:tcBorders>
              <w:bottom w:val="single" w:sz="8" w:color="CCECFF"/>
            </w:tcBorders>
            <w:shd w:val="clear" w:color="auto" w:fill="CCECFF"/>
          </w:tcPr>
          <w:p>
            <w:pPr>
              <w:spacing w:after="0"/>
              <w:rPr>
                <w:sz w:val="18"/>
                <w:szCs w:val="18"/>
                <w:color w:val="auto"/>
              </w:rPr>
            </w:pPr>
          </w:p>
        </w:tc>
      </w:tr>
      <w:tr>
        <w:trPr>
          <w:trHeight w:val="160"/>
        </w:trPr>
        <w:tc>
          <w:tcPr>
            <w:tcW w:w="77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Common stock:</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772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beginning and end of period</w:t>
            </w:r>
          </w:p>
        </w:tc>
        <w:tc>
          <w:tcPr>
            <w:tcW w:w="380" w:type="dxa"/>
            <w:vAlign w:val="bottom"/>
            <w:tcBorders>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auto"/>
            </w:tcBorders>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77"/>
        </w:trPr>
        <w:tc>
          <w:tcPr>
            <w:tcW w:w="772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77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380" w:type="dxa"/>
            <w:vAlign w:val="bottom"/>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2,540.7</w:t>
            </w:r>
          </w:p>
        </w:tc>
        <w:tc>
          <w:tcPr>
            <w:tcW w:w="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60" w:type="dxa"/>
            <w:vAlign w:val="bottom"/>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2,512.9</w:t>
            </w:r>
          </w:p>
        </w:tc>
        <w:tc>
          <w:tcPr>
            <w:tcW w:w="80" w:type="dxa"/>
            <w:vAlign w:val="bottom"/>
            <w:shd w:val="clear" w:color="auto" w:fill="CCECFF"/>
          </w:tcPr>
          <w:p>
            <w:pPr>
              <w:spacing w:after="0"/>
              <w:rPr>
                <w:sz w:val="16"/>
                <w:szCs w:val="16"/>
                <w:color w:val="auto"/>
              </w:rPr>
            </w:pPr>
          </w:p>
        </w:tc>
      </w:tr>
      <w:tr>
        <w:trPr>
          <w:trHeight w:val="186"/>
        </w:trPr>
        <w:tc>
          <w:tcPr>
            <w:tcW w:w="7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Issuance of shares under equity-based compensation plans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6"/>
                <w:szCs w:val="16"/>
                <w:color w:val="auto"/>
              </w:rPr>
            </w:pPr>
          </w:p>
        </w:tc>
      </w:tr>
      <w:tr>
        <w:trPr>
          <w:trHeight w:val="186"/>
        </w:trPr>
        <w:tc>
          <w:tcPr>
            <w:tcW w:w="77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Equity-based compensation</w:t>
            </w:r>
          </w:p>
        </w:tc>
        <w:tc>
          <w:tcPr>
            <w:tcW w:w="3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80" w:type="dxa"/>
            <w:vAlign w:val="bottom"/>
            <w:shd w:val="clear" w:color="auto" w:fill="CCECFF"/>
          </w:tcPr>
          <w:p>
            <w:pPr>
              <w:spacing w:after="0"/>
              <w:rPr>
                <w:sz w:val="16"/>
                <w:szCs w:val="16"/>
                <w:color w:val="auto"/>
              </w:rPr>
            </w:pPr>
          </w:p>
        </w:tc>
      </w:tr>
      <w:tr>
        <w:trPr>
          <w:trHeight w:val="186"/>
        </w:trPr>
        <w:tc>
          <w:tcPr>
            <w:tcW w:w="7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Dividends on Series A convertible preferred stock</w:t>
            </w:r>
          </w:p>
        </w:tc>
        <w:tc>
          <w:tcPr>
            <w:tcW w:w="3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(14.3 )</w:t>
            </w:r>
          </w:p>
        </w:tc>
      </w:tr>
      <w:tr>
        <w:trPr>
          <w:trHeight w:val="177"/>
        </w:trPr>
        <w:tc>
          <w:tcPr>
            <w:tcW w:w="7720" w:type="dxa"/>
            <w:vAlign w:val="bottom"/>
            <w:tcBorders>
              <w:top w:val="single" w:sz="8" w:color="CCECFF"/>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end of period</w:t>
            </w:r>
          </w:p>
        </w:tc>
        <w:tc>
          <w:tcPr>
            <w:tcW w:w="380" w:type="dxa"/>
            <w:vAlign w:val="bottom"/>
            <w:tcBorders>
              <w:top w:val="single" w:sz="8" w:color="auto"/>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2,542.8</w:t>
            </w:r>
          </w:p>
        </w:tc>
        <w:tc>
          <w:tcPr>
            <w:tcW w:w="80" w:type="dxa"/>
            <w:vAlign w:val="bottom"/>
            <w:tcBorders>
              <w:top w:val="single" w:sz="8" w:color="CCECFF"/>
              <w:bottom w:val="single" w:sz="8" w:color="CCECFF"/>
            </w:tcBorders>
            <w:shd w:val="clear" w:color="auto" w:fill="CCECFF"/>
          </w:tcPr>
          <w:p>
            <w:pPr>
              <w:spacing w:after="0"/>
              <w:rPr>
                <w:sz w:val="15"/>
                <w:szCs w:val="15"/>
                <w:color w:val="auto"/>
              </w:rPr>
            </w:pPr>
          </w:p>
        </w:tc>
        <w:tc>
          <w:tcPr>
            <w:tcW w:w="120" w:type="dxa"/>
            <w:vAlign w:val="bottom"/>
            <w:tcBorders>
              <w:top w:val="single" w:sz="8" w:color="CCECFF"/>
              <w:bottom w:val="single" w:sz="8" w:color="CCECFF"/>
            </w:tcBorders>
            <w:shd w:val="clear" w:color="auto" w:fill="CCECFF"/>
          </w:tcPr>
          <w:p>
            <w:pPr>
              <w:spacing w:after="0"/>
              <w:rPr>
                <w:sz w:val="15"/>
                <w:szCs w:val="15"/>
                <w:color w:val="auto"/>
              </w:rPr>
            </w:pPr>
          </w:p>
        </w:tc>
        <w:tc>
          <w:tcPr>
            <w:tcW w:w="560" w:type="dxa"/>
            <w:vAlign w:val="bottom"/>
            <w:tcBorders>
              <w:top w:val="single" w:sz="8" w:color="auto"/>
              <w:bottom w:val="single" w:sz="8" w:color="auto"/>
            </w:tcBorders>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2,526.0</w:t>
            </w:r>
          </w:p>
        </w:tc>
        <w:tc>
          <w:tcPr>
            <w:tcW w:w="80" w:type="dxa"/>
            <w:vAlign w:val="bottom"/>
            <w:tcBorders>
              <w:top w:val="single" w:sz="8" w:color="CCECFF"/>
              <w:bottom w:val="single" w:sz="8" w:color="CCECFF"/>
            </w:tcBorders>
            <w:shd w:val="clear" w:color="auto" w:fill="CCECFF"/>
          </w:tcPr>
          <w:p>
            <w:pPr>
              <w:spacing w:after="0"/>
              <w:rPr>
                <w:sz w:val="15"/>
                <w:szCs w:val="15"/>
                <w:color w:val="auto"/>
              </w:rPr>
            </w:pPr>
          </w:p>
        </w:tc>
      </w:tr>
      <w:tr>
        <w:trPr>
          <w:trHeight w:val="177"/>
        </w:trPr>
        <w:tc>
          <w:tcPr>
            <w:tcW w:w="77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77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380" w:type="dxa"/>
            <w:vAlign w:val="bottom"/>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(2,215.3 )</w:t>
            </w:r>
          </w:p>
        </w:tc>
        <w:tc>
          <w:tcPr>
            <w:tcW w:w="120" w:type="dxa"/>
            <w:vAlign w:val="bottom"/>
            <w:shd w:val="clear" w:color="auto" w:fill="CCECFF"/>
          </w:tcPr>
          <w:p>
            <w:pPr>
              <w:spacing w:after="0"/>
              <w:rPr>
                <w:sz w:val="16"/>
                <w:szCs w:val="16"/>
                <w:color w:val="auto"/>
              </w:rPr>
            </w:pPr>
          </w:p>
        </w:tc>
        <w:tc>
          <w:tcPr>
            <w:tcW w:w="560" w:type="dxa"/>
            <w:vAlign w:val="bottom"/>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(1,752.7 )</w:t>
            </w:r>
          </w:p>
        </w:tc>
      </w:tr>
      <w:tr>
        <w:trPr>
          <w:trHeight w:val="186"/>
        </w:trPr>
        <w:tc>
          <w:tcPr>
            <w:tcW w:w="7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3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(139.9 )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(97.6 )</w:t>
            </w:r>
          </w:p>
        </w:tc>
      </w:tr>
      <w:tr>
        <w:trPr>
          <w:trHeight w:val="177"/>
        </w:trPr>
        <w:tc>
          <w:tcPr>
            <w:tcW w:w="7720" w:type="dxa"/>
            <w:vAlign w:val="bottom"/>
            <w:tcBorders>
              <w:top w:val="single" w:sz="8" w:color="CCECFF"/>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end of period</w:t>
            </w:r>
          </w:p>
        </w:tc>
        <w:tc>
          <w:tcPr>
            <w:tcW w:w="380" w:type="dxa"/>
            <w:vAlign w:val="bottom"/>
            <w:tcBorders>
              <w:top w:val="single" w:sz="8" w:color="auto"/>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(2,355.2</w:t>
            </w:r>
          </w:p>
        </w:tc>
        <w:tc>
          <w:tcPr>
            <w:tcW w:w="8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CCECFF"/>
              <w:bottom w:val="single" w:sz="8" w:color="CCECFF"/>
            </w:tcBorders>
            <w:shd w:val="clear" w:color="auto" w:fill="CCECFF"/>
          </w:tcPr>
          <w:p>
            <w:pPr>
              <w:spacing w:after="0"/>
              <w:rPr>
                <w:sz w:val="15"/>
                <w:szCs w:val="15"/>
                <w:color w:val="auto"/>
              </w:rPr>
            </w:pPr>
          </w:p>
        </w:tc>
        <w:tc>
          <w:tcPr>
            <w:tcW w:w="560" w:type="dxa"/>
            <w:vAlign w:val="bottom"/>
            <w:tcBorders>
              <w:top w:val="single" w:sz="8" w:color="auto"/>
              <w:bottom w:val="single" w:sz="8" w:color="auto"/>
            </w:tcBorders>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(1,850.3</w:t>
            </w:r>
          </w:p>
        </w:tc>
        <w:tc>
          <w:tcPr>
            <w:tcW w:w="8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77"/>
        </w:trPr>
        <w:tc>
          <w:tcPr>
            <w:tcW w:w="77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77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380" w:type="dxa"/>
            <w:vAlign w:val="bottom"/>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(206.4 )</w:t>
            </w:r>
          </w:p>
        </w:tc>
        <w:tc>
          <w:tcPr>
            <w:tcW w:w="120" w:type="dxa"/>
            <w:vAlign w:val="bottom"/>
            <w:shd w:val="clear" w:color="auto" w:fill="CCECFF"/>
          </w:tcPr>
          <w:p>
            <w:pPr>
              <w:spacing w:after="0"/>
              <w:rPr>
                <w:sz w:val="16"/>
                <w:szCs w:val="16"/>
                <w:color w:val="auto"/>
              </w:rPr>
            </w:pPr>
          </w:p>
        </w:tc>
        <w:tc>
          <w:tcPr>
            <w:tcW w:w="560" w:type="dxa"/>
            <w:vAlign w:val="bottom"/>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(155.9 )</w:t>
            </w:r>
          </w:p>
        </w:tc>
      </w:tr>
      <w:tr>
        <w:trPr>
          <w:trHeight w:val="186"/>
        </w:trPr>
        <w:tc>
          <w:tcPr>
            <w:tcW w:w="7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3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(38.4 )</w:t>
            </w:r>
          </w:p>
        </w:tc>
      </w:tr>
      <w:tr>
        <w:trPr>
          <w:trHeight w:val="177"/>
        </w:trPr>
        <w:tc>
          <w:tcPr>
            <w:tcW w:w="772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end of period</w:t>
            </w:r>
          </w:p>
        </w:tc>
        <w:tc>
          <w:tcPr>
            <w:tcW w:w="380" w:type="dxa"/>
            <w:vAlign w:val="bottom"/>
            <w:tcBorders>
              <w:top w:val="single" w:sz="8" w:color="auto"/>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(215.6</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top w:val="single" w:sz="8" w:color="auto"/>
              <w:bottom w:val="single" w:sz="8" w:color="auto"/>
            </w:tcBorders>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(194.3</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77"/>
        </w:trPr>
        <w:tc>
          <w:tcPr>
            <w:tcW w:w="7720" w:type="dxa"/>
            <w:vAlign w:val="bottom"/>
          </w:tcPr>
          <w:p>
            <w:pPr>
              <w:spacing w:after="0"/>
              <w:rPr>
                <w:sz w:val="20"/>
                <w:szCs w:val="20"/>
                <w:color w:val="auto"/>
              </w:rPr>
            </w:pPr>
            <w:r>
              <w:rPr>
                <w:rFonts w:ascii="Times New Roman" w:cs="Times New Roman" w:eastAsia="Times New Roman" w:hAnsi="Times New Roman"/>
                <w:sz w:val="15"/>
                <w:szCs w:val="15"/>
                <w:color w:val="auto"/>
              </w:rPr>
              <w:t>Treasury stock, at cost:</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77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380" w:type="dxa"/>
            <w:vAlign w:val="bottom"/>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(277.8 )</w:t>
            </w:r>
          </w:p>
        </w:tc>
        <w:tc>
          <w:tcPr>
            <w:tcW w:w="120" w:type="dxa"/>
            <w:vAlign w:val="bottom"/>
            <w:shd w:val="clear" w:color="auto" w:fill="CCECFF"/>
          </w:tcPr>
          <w:p>
            <w:pPr>
              <w:spacing w:after="0"/>
              <w:rPr>
                <w:sz w:val="16"/>
                <w:szCs w:val="16"/>
                <w:color w:val="auto"/>
              </w:rPr>
            </w:pPr>
          </w:p>
        </w:tc>
        <w:tc>
          <w:tcPr>
            <w:tcW w:w="560" w:type="dxa"/>
            <w:vAlign w:val="bottom"/>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(251.4 )</w:t>
            </w:r>
          </w:p>
        </w:tc>
      </w:tr>
      <w:tr>
        <w:trPr>
          <w:trHeight w:val="186"/>
        </w:trPr>
        <w:tc>
          <w:tcPr>
            <w:tcW w:w="7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shares surrendered under equity-based compensation plans</w:t>
            </w:r>
          </w:p>
        </w:tc>
        <w:tc>
          <w:tcPr>
            <w:tcW w:w="3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(24.3 )</w:t>
            </w:r>
          </w:p>
        </w:tc>
      </w:tr>
      <w:tr>
        <w:trPr>
          <w:trHeight w:val="177"/>
        </w:trPr>
        <w:tc>
          <w:tcPr>
            <w:tcW w:w="772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Balance at end of period</w:t>
            </w:r>
          </w:p>
        </w:tc>
        <w:tc>
          <w:tcPr>
            <w:tcW w:w="380" w:type="dxa"/>
            <w:vAlign w:val="bottom"/>
            <w:tcBorders>
              <w:top w:val="single" w:sz="8" w:color="auto"/>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(288.4</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top w:val="single" w:sz="8" w:color="auto"/>
              <w:bottom w:val="single" w:sz="8" w:color="auto"/>
            </w:tcBorders>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(275.7</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77"/>
        </w:trPr>
        <w:tc>
          <w:tcPr>
            <w:tcW w:w="772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(314.2 )</w:t>
            </w:r>
          </w:p>
        </w:tc>
        <w:tc>
          <w:tcPr>
            <w:tcW w:w="120" w:type="dxa"/>
            <w:vAlign w:val="bottom"/>
          </w:tcPr>
          <w:p>
            <w:pPr>
              <w:spacing w:after="0"/>
              <w:rPr>
                <w:sz w:val="15"/>
                <w:szCs w:val="15"/>
                <w:color w:val="auto"/>
              </w:rPr>
            </w:pPr>
          </w:p>
        </w:tc>
        <w:tc>
          <w:tcPr>
            <w:tcW w:w="56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8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5939155</wp:posOffset>
            </wp:positionH>
            <wp:positionV relativeFrom="paragraph">
              <wp:posOffset>-2584450</wp:posOffset>
            </wp:positionV>
            <wp:extent cx="590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-2569845</wp:posOffset>
            </wp:positionV>
            <wp:extent cx="590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-2584450</wp:posOffset>
            </wp:positionV>
            <wp:extent cx="514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-2569845</wp:posOffset>
            </wp:positionV>
            <wp:extent cx="5143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-2326640</wp:posOffset>
            </wp:positionV>
            <wp:extent cx="590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-2326640</wp:posOffset>
            </wp:positionV>
            <wp:extent cx="514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-1743075</wp:posOffset>
            </wp:positionV>
            <wp:extent cx="84455" cy="158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455" cy="15811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-1743075</wp:posOffset>
            </wp:positionV>
            <wp:extent cx="76835" cy="158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5811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-1256665</wp:posOffset>
            </wp:positionV>
            <wp:extent cx="84455" cy="158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455" cy="15811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-1256665</wp:posOffset>
            </wp:positionV>
            <wp:extent cx="76835" cy="158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58115"/>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-632460</wp:posOffset>
            </wp:positionV>
            <wp:extent cx="590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-632460</wp:posOffset>
            </wp:positionV>
            <wp:extent cx="514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-146685</wp:posOffset>
            </wp:positionV>
            <wp:extent cx="590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-146685</wp:posOffset>
            </wp:positionV>
            <wp:extent cx="514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See notes to unaudited condensed consolidated financial statements.</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295" w:right="319" w:bottom="1440" w:gutter="0" w:footer="0" w:header="0"/>
        </w:sectPr>
      </w:pPr>
    </w:p>
    <w:bookmarkStart w:id="7" w:name="page8"/>
    <w:bookmarkEnd w:id="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157" w:lineRule="exact"/>
        <w:rPr>
          <w:sz w:val="20"/>
          <w:szCs w:val="20"/>
          <w:color w:val="auto"/>
        </w:rPr>
      </w:pPr>
    </w:p>
    <w:p>
      <w:pPr>
        <w:ind w:left="7" w:right="7640" w:hanging="7"/>
        <w:spacing w:after="0" w:line="382" w:lineRule="auto"/>
        <w:tabs>
          <w:tab w:leader="none" w:pos="162"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BACKGROUND AND BASIS OF PRESENTATION Background</w:t>
      </w:r>
    </w:p>
    <w:p>
      <w:pPr>
        <w:ind w:left="7" w:right="20"/>
        <w:spacing w:after="0" w:line="253" w:lineRule="auto"/>
        <w:rPr>
          <w:sz w:val="20"/>
          <w:szCs w:val="20"/>
          <w:color w:val="auto"/>
        </w:rPr>
      </w:pPr>
      <w:r>
        <w:rPr>
          <w:rFonts w:ascii="Times New Roman" w:cs="Times New Roman" w:eastAsia="Times New Roman" w:hAnsi="Times New Roman"/>
          <w:sz w:val="15"/>
          <w:szCs w:val="15"/>
          <w:color w:val="auto"/>
        </w:rPr>
        <w:t>CommScope Holding Company, Inc., along with its direct and indirect subsidiaries (CommScope or the Company), is a global provider of infrastructure solutions for communication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a broad array of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spacing w:after="0" w:line="154" w:lineRule="exact"/>
        <w:rPr>
          <w:sz w:val="20"/>
          <w:szCs w:val="20"/>
          <w:color w:val="auto"/>
        </w:rPr>
      </w:pPr>
    </w:p>
    <w:p>
      <w:pPr>
        <w:ind w:left="7"/>
        <w:spacing w:after="0" w:line="253" w:lineRule="auto"/>
        <w:rPr>
          <w:sz w:val="20"/>
          <w:szCs w:val="20"/>
          <w:color w:val="auto"/>
        </w:rPr>
      </w:pPr>
      <w:r>
        <w:rPr>
          <w:rFonts w:ascii="Times New Roman" w:cs="Times New Roman" w:eastAsia="Times New Roman" w:hAnsi="Times New Roman"/>
          <w:sz w:val="15"/>
          <w:szCs w:val="15"/>
          <w:color w:val="auto"/>
        </w:rPr>
        <w:t>As of January 1, 2022, the Company reorganized its internal management and reporting structure to align its portfolio of products and solutions more closely with the markets it serves and bring better performance clarity with its competitive peer set. The reorganization changed the information regularly reviewed by the Company’s chief operating decision maker for purposes of allocating resources and assessing performance. As a result, the Company is now reporting financial performance based on the following operating segments: Connectivity and Cable Solutions (CCS), Outdoor Wireless Networks (OWN), Networking, Intelligent Cellular and Security Solutions (NICS), Access Network Solutions (ANS) and Home Networks (Home). These five segments represent non-aggregated reportable operating segments. Prior to this change, the Company operated and reported four operating segments: Broadband Networks (Broadband), Outdoor Wireless Networks (OWN), Venue and Campus Networks (VCN) and Home Networks (Home). All prior period amounts in these condensed consolidated financial statements have been recast to reflect these operating segment changes.</w:t>
      </w:r>
    </w:p>
    <w:p>
      <w:pPr>
        <w:spacing w:after="0" w:line="2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10" w:lineRule="exact"/>
        <w:rPr>
          <w:sz w:val="20"/>
          <w:szCs w:val="20"/>
          <w:color w:val="auto"/>
        </w:rPr>
      </w:pPr>
    </w:p>
    <w:p>
      <w:pPr>
        <w:ind w:left="7" w:right="20"/>
        <w:spacing w:after="0" w:line="261"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56" w:lineRule="exact"/>
        <w:rPr>
          <w:sz w:val="20"/>
          <w:szCs w:val="20"/>
          <w:color w:val="auto"/>
        </w:rPr>
      </w:pPr>
    </w:p>
    <w:p>
      <w:pPr>
        <w:ind w:left="7" w:right="140"/>
        <w:spacing w:after="0" w:line="252" w:lineRule="auto"/>
        <w:rPr>
          <w:sz w:val="20"/>
          <w:szCs w:val="20"/>
          <w:color w:val="auto"/>
        </w:rPr>
      </w:pPr>
      <w:r>
        <w:rPr>
          <w:rFonts w:ascii="Times New Roman" w:cs="Times New Roman" w:eastAsia="Times New Roman" w:hAnsi="Times New Roman"/>
          <w:sz w:val="15"/>
          <w:szCs w:val="15"/>
          <w:color w:val="auto"/>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2021 (the 2021 Annual Report). The significant accounting policies followed by the Company are set forth in Note 2 within the Company’s audited consolidated financial statements included in the 2021 Annual Report. There were no material changes in the Company’s significant accounting policies during the three months ended March 31, 2022.</w:t>
      </w:r>
    </w:p>
    <w:p>
      <w:pPr>
        <w:spacing w:after="0" w:line="2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Concentrations of Risk and Related Party Transactions</w:t>
      </w:r>
    </w:p>
    <w:p>
      <w:pPr>
        <w:spacing w:after="0" w:line="110" w:lineRule="exact"/>
        <w:rPr>
          <w:sz w:val="20"/>
          <w:szCs w:val="20"/>
          <w:color w:val="auto"/>
        </w:rPr>
      </w:pPr>
    </w:p>
    <w:p>
      <w:pPr>
        <w:ind w:left="7" w:right="220"/>
        <w:spacing w:after="0" w:line="280" w:lineRule="auto"/>
        <w:rPr>
          <w:sz w:val="20"/>
          <w:szCs w:val="20"/>
          <w:color w:val="auto"/>
        </w:rPr>
      </w:pPr>
      <w:r>
        <w:rPr>
          <w:rFonts w:ascii="Times New Roman" w:cs="Times New Roman" w:eastAsia="Times New Roman" w:hAnsi="Times New Roman"/>
          <w:sz w:val="15"/>
          <w:szCs w:val="15"/>
          <w:color w:val="auto"/>
        </w:rPr>
        <w:t>No direct customer accounted for 10% or more of the Company’s total net sales during the three months ended March 31, 2022 or 2021. As of March 31, 2022, no direct customer accounted for 10% or more of the Company’s accounts receivable.</w:t>
      </w:r>
    </w:p>
    <w:p>
      <w:pPr>
        <w:spacing w:after="0" w:line="131" w:lineRule="exact"/>
        <w:rPr>
          <w:sz w:val="20"/>
          <w:szCs w:val="20"/>
          <w:color w:val="auto"/>
        </w:rPr>
      </w:pPr>
    </w:p>
    <w:p>
      <w:pPr>
        <w:ind w:left="7" w:right="140"/>
        <w:spacing w:after="0" w:line="296" w:lineRule="auto"/>
        <w:rPr>
          <w:sz w:val="20"/>
          <w:szCs w:val="20"/>
          <w:color w:val="auto"/>
        </w:rPr>
      </w:pPr>
      <w:r>
        <w:rPr>
          <w:rFonts w:ascii="Times New Roman" w:cs="Times New Roman" w:eastAsia="Times New Roman" w:hAnsi="Times New Roman"/>
          <w:sz w:val="15"/>
          <w:szCs w:val="15"/>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20" w:lineRule="exact"/>
        <w:rPr>
          <w:sz w:val="20"/>
          <w:szCs w:val="20"/>
          <w:color w:val="auto"/>
        </w:rPr>
      </w:pPr>
    </w:p>
    <w:p>
      <w:pPr>
        <w:ind w:left="7" w:right="280"/>
        <w:spacing w:after="0" w:line="269" w:lineRule="auto"/>
        <w:rPr>
          <w:sz w:val="20"/>
          <w:szCs w:val="20"/>
          <w:color w:val="auto"/>
        </w:rPr>
      </w:pPr>
      <w:r>
        <w:rPr>
          <w:rFonts w:ascii="Times New Roman" w:cs="Times New Roman" w:eastAsia="Times New Roman" w:hAnsi="Times New Roman"/>
          <w:sz w:val="15"/>
          <w:szCs w:val="15"/>
          <w:color w:val="auto"/>
        </w:rPr>
        <w:t>As of March 31, 2022, funds affiliated with Carlyle Partners VII S1 Holdings, L.P. (Carlyle) owned 100% of the Series A convertible preferred stock (the Convertible Preferred Stock), which was sold to Carlyle to fund a portion of the acquisition of ARRIS International plc (ARRIS) in 2019. See Note 9 for further discussion of the Convertible Preferred Stock. Other than transactions related to the Convertible Preferred Stock, there were no material related party transactions for the three months ended March 31, 2022.</w:t>
      </w:r>
    </w:p>
    <w:p>
      <w:pPr>
        <w:spacing w:after="0" w:line="13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277495</wp:posOffset>
            </wp:positionV>
            <wp:extent cx="717677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Product Warranties</w:t>
      </w:r>
    </w:p>
    <w:p>
      <w:pPr>
        <w:spacing w:after="0" w:line="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The Company recognizes a liability for the estimated claims that may be paid under its customer warranty agreements to remedy potential deficiencies of quality or performance of the Company’s products. These product warranties extend over various periods depending upon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activity in the product warranty accrual, included in accrued and other liabilities and other noncurrent liabilities:</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41"/>
        </w:trPr>
        <w:tc>
          <w:tcPr>
            <w:tcW w:w="6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gridSpan w:val="3"/>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6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6860" w:type="dxa"/>
            <w:vAlign w:val="bottom"/>
          </w:tcPr>
          <w:p>
            <w:pPr>
              <w:spacing w:after="0"/>
              <w:rPr>
                <w:sz w:val="12"/>
                <w:szCs w:val="12"/>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r>
      <w:tr>
        <w:trPr>
          <w:trHeight w:val="177"/>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Product warranty accrual, beginning of period</w:t>
            </w:r>
          </w:p>
        </w:tc>
        <w:tc>
          <w:tcPr>
            <w:tcW w:w="920" w:type="dxa"/>
            <w:vAlign w:val="bottom"/>
            <w:shd w:val="clear" w:color="auto" w:fill="CCECFF"/>
          </w:tcPr>
          <w:p>
            <w:pPr>
              <w:jc w:val="right"/>
              <w:ind w:right="768"/>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34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80" w:type="dxa"/>
            <w:vAlign w:val="bottom"/>
            <w:shd w:val="clear" w:color="auto" w:fill="CCECFF"/>
          </w:tcPr>
          <w:p>
            <w:pPr>
              <w:spacing w:after="0"/>
              <w:rPr>
                <w:sz w:val="15"/>
                <w:szCs w:val="15"/>
                <w:color w:val="auto"/>
              </w:rPr>
            </w:pPr>
          </w:p>
        </w:tc>
      </w:tr>
      <w:tr>
        <w:trPr>
          <w:trHeight w:val="186"/>
        </w:trPr>
        <w:tc>
          <w:tcPr>
            <w:tcW w:w="6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warranty claims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tcPr>
          <w:p>
            <w:pPr>
              <w:spacing w:after="0"/>
              <w:rPr>
                <w:sz w:val="16"/>
                <w:szCs w:val="16"/>
                <w:color w:val="auto"/>
              </w:rPr>
            </w:pPr>
          </w:p>
        </w:tc>
      </w:tr>
      <w:tr>
        <w:trPr>
          <w:trHeight w:val="18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Warranty claims paid</w:t>
            </w:r>
          </w:p>
        </w:tc>
        <w:tc>
          <w:tcPr>
            <w:tcW w:w="92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5"/>
                <w:szCs w:val="15"/>
                <w:color w:val="auto"/>
              </w:rPr>
              <w:t>(6.0 )</w:t>
            </w:r>
          </w:p>
        </w:tc>
        <w:tc>
          <w:tcPr>
            <w:tcW w:w="48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(7.8 )</w:t>
            </w:r>
          </w:p>
        </w:tc>
      </w:tr>
      <w:tr>
        <w:trPr>
          <w:trHeight w:val="186"/>
        </w:trPr>
        <w:tc>
          <w:tcPr>
            <w:tcW w:w="6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exchange</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(0.2 )</w:t>
            </w:r>
          </w:p>
        </w:tc>
      </w:tr>
      <w:tr>
        <w:trPr>
          <w:trHeight w:val="217"/>
        </w:trPr>
        <w:tc>
          <w:tcPr>
            <w:tcW w:w="68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Product warranty accrual, end of period</w:t>
            </w:r>
          </w:p>
        </w:tc>
        <w:tc>
          <w:tcPr>
            <w:tcW w:w="920" w:type="dxa"/>
            <w:vAlign w:val="bottom"/>
            <w:tcBorders>
              <w:top w:val="single" w:sz="8" w:color="auto"/>
              <w:bottom w:val="single" w:sz="8" w:color="auto"/>
            </w:tcBorders>
            <w:shd w:val="clear" w:color="auto" w:fill="CCECFF"/>
          </w:tcPr>
          <w:p>
            <w:pPr>
              <w:jc w:val="right"/>
              <w:ind w:right="768"/>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66.0</w:t>
            </w:r>
          </w:p>
        </w:tc>
        <w:tc>
          <w:tcPr>
            <w:tcW w:w="340" w:type="dxa"/>
            <w:vAlign w:val="bottom"/>
            <w:tcBorders>
              <w:bottom w:val="single" w:sz="8" w:color="CCECFF"/>
            </w:tcBorders>
            <w:shd w:val="clear" w:color="auto" w:fill="CCECFF"/>
          </w:tcPr>
          <w:p>
            <w:pPr>
              <w:spacing w:after="0"/>
              <w:rPr>
                <w:sz w:val="18"/>
                <w:szCs w:val="18"/>
                <w:color w:val="auto"/>
              </w:rPr>
            </w:pPr>
          </w:p>
        </w:tc>
        <w:tc>
          <w:tcPr>
            <w:tcW w:w="480" w:type="dxa"/>
            <w:vAlign w:val="bottom"/>
            <w:tcBorders>
              <w:top w:val="single" w:sz="8" w:color="auto"/>
              <w:bottom w:val="single" w:sz="8" w:color="auto"/>
            </w:tcBorders>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8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5615305</wp:posOffset>
            </wp:positionH>
            <wp:positionV relativeFrom="paragraph">
              <wp:posOffset>-21590</wp:posOffset>
            </wp:positionV>
            <wp:extent cx="6604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-6985</wp:posOffset>
            </wp:positionV>
            <wp:extent cx="6604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6727190</wp:posOffset>
            </wp:positionH>
            <wp:positionV relativeFrom="paragraph">
              <wp:posOffset>-21590</wp:posOffset>
            </wp:positionV>
            <wp:extent cx="590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6727190</wp:posOffset>
            </wp:positionH>
            <wp:positionV relativeFrom="paragraph">
              <wp:posOffset>-6985</wp:posOffset>
            </wp:positionV>
            <wp:extent cx="590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055" cy="762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Third Party Guarantees</w:t>
      </w:r>
    </w:p>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The Company was contingently liable under open standby letters of credit issued by its banks in favor of third parties that totaled $50.0 million as of March 31, 2022. These letters of credit primarily support performance obligations of a third-party contractor. 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 material amounts recorded in the consolidated financial statements related to third-party guarantee agreements as of or for the three months ended March 31, 2022. As of March 31, 2022, these instruments reduced the available borrowings under the senior secured asset-based revolving credit facility (the Revolving Credit Facility).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Legal Proceedings</w:t>
      </w:r>
    </w:p>
    <w:p>
      <w:pPr>
        <w:spacing w:after="0" w:line="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The Company is party to certain intellectual property claims and periodically receives notices asserting that its products infringe on another party’s patents and other intellectual property rights. These claims and assertions, whether against the Company directly or against its customers, could require the Company to pay damages, incur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could be material and may vary significantly from the Company's estimates. Gain contingencies, if any, are recognized when they are realized.</w:t>
      </w:r>
    </w:p>
    <w:p>
      <w:pPr>
        <w:spacing w:after="0" w:line="14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The Company had liabilities of $19.1 million and $24.6 million as of March 31, 2022 and December 31, 2021, respectively, recorded in accrued and other liabilities and noncurrent liabilities on the Condensed Consolidated Balance Sheets related to certain intellectual property assertions. Charges related to these intellectual property assertions were not material for the three months ended March 31, 2022 or 2021. The Company paid $7.1 million during the three months ended March 31, 2022 to settle intellectual property assertions. There were no such settlements paid during the three months ended March 31, 2021.</w:t>
      </w:r>
    </w:p>
    <w:p>
      <w:pPr>
        <w:spacing w:after="0" w:line="146"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5"/>
          <w:szCs w:val="15"/>
          <w:color w:val="auto"/>
        </w:rPr>
        <w:t>The Company is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277495</wp:posOffset>
            </wp:positionV>
            <wp:extent cx="717677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the Company is subject to various federal, state, local and foreign laws and regulations governing the use, discharge, disposal and remediation of hazardous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Compliance with current laws and regulations has not had, and is not expected to have, a materially adverse effect on the Company’s financial condition or results of operations.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Asset Impairments</w:t>
      </w:r>
    </w:p>
    <w:p>
      <w:pPr>
        <w:spacing w:after="0" w:line="9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5"/>
          <w:szCs w:val="15"/>
          <w:color w:val="auto"/>
        </w:rPr>
        <w:t>Goodwill is tested for impairment annually or at other times if events have occurred or circumstances exist that indicate the carrying value of the reporting unit may exceed its fair value. The Company assessed goodwill for impairment due to a change in the composition of certain reporting units resulting from the new segment structure as of January 1, 2022. The Company performed impairment testing immediately before and after the change and determined that no goodwill impairment existed. See Note 2 for further discussion. There were no goodwill impairments identified during the three months ended March 31, 2022 or 2021.</w:t>
      </w:r>
    </w:p>
    <w:p>
      <w:pPr>
        <w:spacing w:after="0" w:line="1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there were no definite-lived intangible or other long-lived asset impairments identified during the three months ended March 31, 2022 or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98" w:lineRule="exact"/>
        <w:rPr>
          <w:sz w:val="20"/>
          <w:szCs w:val="20"/>
          <w:color w:val="auto"/>
        </w:rPr>
      </w:pPr>
    </w:p>
    <w:p>
      <w:pPr>
        <w:ind w:right="380"/>
        <w:spacing w:after="0" w:line="296" w:lineRule="auto"/>
        <w:rPr>
          <w:sz w:val="20"/>
          <w:szCs w:val="20"/>
          <w:color w:val="auto"/>
        </w:rPr>
      </w:pPr>
      <w:r>
        <w:rPr>
          <w:rFonts w:ascii="Times New Roman" w:cs="Times New Roman" w:eastAsia="Times New Roman" w:hAnsi="Times New Roman"/>
          <w:sz w:val="15"/>
          <w:szCs w:val="15"/>
          <w:color w:val="auto"/>
        </w:rPr>
        <w:t>For the three months ended March 31, 2022, the Company recognized $30.9 million of income tax expense on a pretax loss of $109.0 million. The Company’s tax expense was driven by the unfavorable impacts of U.S. anti-deferral provisions and non-creditable withholding taxes.</w:t>
      </w:r>
    </w:p>
    <w:p>
      <w:pPr>
        <w:spacing w:after="0" w:line="1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For the three months ended March 31, 2021, the Company’s effective tax rate was 23.2% and the Company recognized a tax benefit of $29.5 million on a pretax loss of $127.1 million. The Company’s tax benefit was higher than the statutory rate and was impacted favorably by decreases in prior year uncertain tax positions and adjustments related to the finalization of prior year’s tax returns, offset partially by the unfavorable impacts of earnings in foreign jurisdictions that are taxed at rates higher than the U.S. statutory rate, foreign withholding taxes and U.S. anti-deferral provisions.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Earnings (Loss) Per Share</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Basic earnings (loss) per share (EPS) is computed by dividing net income (loss), less any dividends and deemed dividends related to the Convertible Preferred Stock, by the weighted average number of common shares outstanding during the period. The numerator in diluted EPS is based on the basic EPS numerator adjusted to add back any dividends and deemed dividends related to the Convertible Preferred Stock, subject to antidilution requirements. The denominator used in diluted EPS is based on the basic EPS computation plus the effect of potentially dilutive common shares related to the Convertible Preferred Stock and equity-based compensation plans, subject to antidilution requirements.</w:t>
      </w:r>
    </w:p>
    <w:p>
      <w:pPr>
        <w:spacing w:after="0" w:line="16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5"/>
          <w:szCs w:val="15"/>
          <w:color w:val="auto"/>
        </w:rPr>
        <w:t>For the three months ended March 31, 2022 and 2021, 11.5 million and 14.7 million shares, respectively, of outstanding equity-based compensation awards were not included in the computation of diluted EPS because the effect was antidilutive or the performance conditions were not met. Of those amounts, for the three months ended March 31, 2022 and 2021, 3.6 million and 6.4 million shares, respectively, would have been considered dilutive if the Company had not been in a net loss position.</w:t>
      </w:r>
    </w:p>
    <w:p>
      <w:pPr>
        <w:spacing w:after="0" w:line="15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5"/>
          <w:szCs w:val="15"/>
          <w:color w:val="auto"/>
        </w:rPr>
        <w:t>For the three months ended March 31, 2022 and 2021, 38.4 million and 37.9 million, respectively, of as-if converted shares related to the Convertible Preferred Stock were excluded from the diluted share count because they were antidilutive; however, they may have been considered dilutive if the Company had not been in a net loss position.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basis for the EPS computations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85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858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80" w:type="dxa"/>
            <w:vAlign w:val="bottom"/>
          </w:tcPr>
          <w:p>
            <w:pPr>
              <w:spacing w:after="0"/>
              <w:rPr>
                <w:sz w:val="12"/>
                <w:szCs w:val="12"/>
                <w:color w:val="auto"/>
              </w:rPr>
            </w:pPr>
          </w:p>
        </w:tc>
      </w:tr>
      <w:tr>
        <w:trPr>
          <w:trHeight w:val="177"/>
        </w:trPr>
        <w:tc>
          <w:tcPr>
            <w:tcW w:w="85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Numerator:</w:t>
            </w:r>
          </w:p>
        </w:tc>
        <w:tc>
          <w:tcPr>
            <w:tcW w:w="74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86"/>
        </w:trPr>
        <w:tc>
          <w:tcPr>
            <w:tcW w:w="8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740" w:type="dxa"/>
            <w:vAlign w:val="bottom"/>
          </w:tcPr>
          <w:p>
            <w:pPr>
              <w:jc w:val="right"/>
              <w:ind w:right="586"/>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(139.9 )</w:t>
            </w:r>
          </w:p>
        </w:tc>
        <w:tc>
          <w:tcPr>
            <w:tcW w:w="46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(97.6 )</w:t>
            </w:r>
          </w:p>
        </w:tc>
      </w:tr>
      <w:tr>
        <w:trPr>
          <w:trHeight w:val="186"/>
        </w:trPr>
        <w:tc>
          <w:tcPr>
            <w:tcW w:w="8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Dividends on Series A convertible preferred stock</w:t>
            </w:r>
          </w:p>
        </w:tc>
        <w:tc>
          <w:tcPr>
            <w:tcW w:w="74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rPr>
              <w:t>(14.5 )</w:t>
            </w:r>
          </w:p>
        </w:tc>
        <w:tc>
          <w:tcPr>
            <w:tcW w:w="46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(14.3 )</w:t>
            </w:r>
          </w:p>
        </w:tc>
      </w:tr>
      <w:tr>
        <w:trPr>
          <w:trHeight w:val="177"/>
        </w:trPr>
        <w:tc>
          <w:tcPr>
            <w:tcW w:w="8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(154.4</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8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85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6"/>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Denominator:</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8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74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18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201.7</w:t>
            </w:r>
          </w:p>
        </w:tc>
        <w:tc>
          <w:tcPr>
            <w:tcW w:w="80" w:type="dxa"/>
            <w:vAlign w:val="bottom"/>
            <w:shd w:val="clear" w:color="auto" w:fill="CCECFF"/>
          </w:tcPr>
          <w:p>
            <w:pPr>
              <w:spacing w:after="0"/>
              <w:rPr>
                <w:sz w:val="16"/>
                <w:szCs w:val="16"/>
                <w:color w:val="auto"/>
              </w:rPr>
            </w:pPr>
          </w:p>
        </w:tc>
      </w:tr>
      <w:tr>
        <w:trPr>
          <w:trHeight w:val="186"/>
        </w:trPr>
        <w:tc>
          <w:tcPr>
            <w:tcW w:w="85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Dilutive effect of as-if converted Series A convertible preferred stock</w:t>
            </w:r>
          </w:p>
        </w:tc>
        <w:tc>
          <w:tcPr>
            <w:tcW w:w="740" w:type="dxa"/>
            <w:vAlign w:val="bottom"/>
          </w:tcPr>
          <w:p>
            <w:pPr>
              <w:spacing w:after="0"/>
              <w:rPr>
                <w:sz w:val="16"/>
                <w:szCs w:val="16"/>
                <w:color w:val="auto"/>
              </w:rPr>
            </w:pPr>
          </w:p>
        </w:tc>
        <w:tc>
          <w:tcPr>
            <w:tcW w:w="66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6"/>
                <w:szCs w:val="16"/>
                <w:color w:val="auto"/>
              </w:rPr>
            </w:pPr>
          </w:p>
        </w:tc>
        <w:tc>
          <w:tcPr>
            <w:tcW w:w="82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85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Dilutive effect of equity-based awards</w:t>
            </w:r>
          </w:p>
        </w:tc>
        <w:tc>
          <w:tcPr>
            <w:tcW w:w="74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77"/>
        </w:trPr>
        <w:tc>
          <w:tcPr>
            <w:tcW w:w="8580" w:type="dxa"/>
            <w:vAlign w:val="bottom"/>
            <w:tcBorders>
              <w:top w:val="single" w:sz="8" w:color="CCECFF"/>
            </w:tcBorders>
          </w:tcPr>
          <w:p>
            <w:pPr>
              <w:ind w:left="80"/>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7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180" w:type="dxa"/>
            <w:vAlign w:val="bottom"/>
            <w:tcBorders>
              <w:top w:val="single" w:sz="8" w:color="CCEC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201.7</w:t>
            </w:r>
          </w:p>
        </w:tc>
        <w:tc>
          <w:tcPr>
            <w:tcW w:w="80" w:type="dxa"/>
            <w:vAlign w:val="bottom"/>
            <w:tcBorders>
              <w:top w:val="single" w:sz="8" w:color="CCECFF"/>
            </w:tcBorders>
          </w:tcPr>
          <w:p>
            <w:pPr>
              <w:spacing w:after="0"/>
              <w:rPr>
                <w:sz w:val="15"/>
                <w:szCs w:val="15"/>
                <w:color w:val="auto"/>
              </w:rPr>
            </w:pPr>
          </w:p>
        </w:tc>
      </w:tr>
      <w:tr>
        <w:trPr>
          <w:trHeight w:val="20"/>
        </w:trPr>
        <w:tc>
          <w:tcPr>
            <w:tcW w:w="8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85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6"/>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Loss per share:</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8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Basic</w:t>
            </w:r>
          </w:p>
        </w:tc>
        <w:tc>
          <w:tcPr>
            <w:tcW w:w="740" w:type="dxa"/>
            <w:vAlign w:val="bottom"/>
            <w:shd w:val="clear" w:color="auto" w:fill="CCECFF"/>
          </w:tcPr>
          <w:p>
            <w:pPr>
              <w:jc w:val="right"/>
              <w:ind w:right="586"/>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rPr>
              <w:t>(0.75 )</w:t>
            </w:r>
          </w:p>
        </w:tc>
        <w:tc>
          <w:tcPr>
            <w:tcW w:w="460" w:type="dxa"/>
            <w:vAlign w:val="bottom"/>
            <w:shd w:val="clear" w:color="auto" w:fill="CCECFF"/>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(0.55 )</w:t>
            </w:r>
          </w:p>
        </w:tc>
      </w:tr>
      <w:tr>
        <w:trPr>
          <w:trHeight w:val="200"/>
        </w:trPr>
        <w:tc>
          <w:tcPr>
            <w:tcW w:w="8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Diluted</w:t>
            </w:r>
          </w:p>
        </w:tc>
        <w:tc>
          <w:tcPr>
            <w:tcW w:w="740" w:type="dxa"/>
            <w:vAlign w:val="bottom"/>
          </w:tcPr>
          <w:p>
            <w:pPr>
              <w:jc w:val="right"/>
              <w:ind w:right="586"/>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(0.75 )</w:t>
            </w:r>
          </w:p>
        </w:tc>
        <w:tc>
          <w:tcPr>
            <w:tcW w:w="46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6219190</wp:posOffset>
            </wp:positionH>
            <wp:positionV relativeFrom="paragraph">
              <wp:posOffset>-626745</wp:posOffset>
            </wp:positionV>
            <wp:extent cx="590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-626745</wp:posOffset>
            </wp:positionV>
            <wp:extent cx="514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Adopted During the Three Months Ended March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On January 1, 2022, the Company adopted ASU No. 2020-06, </w:t>
      </w:r>
      <w:r>
        <w:rPr>
          <w:rFonts w:ascii="Times New Roman" w:cs="Times New Roman" w:eastAsia="Times New Roman" w:hAnsi="Times New Roman"/>
          <w:sz w:val="15"/>
          <w:szCs w:val="15"/>
          <w:i w:val="1"/>
          <w:iCs w:val="1"/>
          <w:color w:val="auto"/>
        </w:rPr>
        <w:t>Debt—Debt with Conversion and Other Options (Subtopic 470-20) and Derivatives and Hedging—Contracts in</w:t>
      </w:r>
    </w:p>
    <w:p>
      <w:pPr>
        <w:spacing w:after="0" w:line="3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5"/>
          <w:szCs w:val="15"/>
          <w:i w:val="1"/>
          <w:iCs w:val="1"/>
          <w:color w:val="auto"/>
        </w:rPr>
        <w:t>Entity’s Own Equity (Subtopic 815-40): Accounting for Convertible Instruments and Contracts in an Entity’s Own Equity</w:t>
      </w:r>
      <w:r>
        <w:rPr>
          <w:rFonts w:ascii="Times New Roman" w:cs="Times New Roman" w:eastAsia="Times New Roman" w:hAnsi="Times New Roman"/>
          <w:sz w:val="15"/>
          <w:szCs w:val="15"/>
          <w:color w:val="auto"/>
        </w:rPr>
        <w:t>. The new guidance simplifies the accounting for convertible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instruments by reducing the number of accounting models available for convertible debt instruments and convertible preferred stock and amends the guidance for the derivatives scope exception for contracts in an entity’s own equity to reduce form-over-substance-based accounting conclusions and requires the application of the if-converted method for calculating diluted earnings per share, along with expanded disclosures. The impact of adopting this new guidance was not material to the consolidated financial statements.</w:t>
      </w:r>
    </w:p>
    <w:p>
      <w:pPr>
        <w:spacing w:after="0" w:line="33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 xml:space="preserve">On January 1, 2022, the Company early adopted ASU No. 2021-08, </w:t>
      </w:r>
      <w:r>
        <w:rPr>
          <w:rFonts w:ascii="Times New Roman" w:cs="Times New Roman" w:eastAsia="Times New Roman" w:hAnsi="Times New Roman"/>
          <w:sz w:val="15"/>
          <w:szCs w:val="15"/>
          <w:i w:val="1"/>
          <w:iCs w:val="1"/>
          <w:color w:val="auto"/>
        </w:rPr>
        <w:t>Business Combinations (Topic 805): Accounting for Contract Assets and Contract Liabilities from Contracts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with Customers. </w:t>
      </w:r>
      <w:r>
        <w:rPr>
          <w:rFonts w:ascii="Times New Roman" w:cs="Times New Roman" w:eastAsia="Times New Roman" w:hAnsi="Times New Roman"/>
          <w:sz w:val="15"/>
          <w:szCs w:val="15"/>
          <w:color w:val="auto"/>
        </w:rPr>
        <w:t>The new guidance is expected to improve the accounting for acquired revenue contracts with customers in a business combination by addressing diversity in practice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inconsistency related to recognition of an acquired contract liability, as well as payment terms which affect subsequent revenue recognized by the acquirer. According to the guidance, at the acquisition date, an acquirer should account for the related revenue contracts in accordance with Topic 606 as if the acquirer had originated the contracts. The impact of this guidance will depend on future business combinations and will be applied prospectively to business combinations occurring on or after the adoption date. The adoption of this new guidance had no impact to the consolidated financial statements as of March 31,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Issued but Not Adopted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 March 2020 and January 2021, the Financial Accounting Standards Board issued ASU No. 2020-04, </w:t>
      </w:r>
      <w:r>
        <w:rPr>
          <w:rFonts w:ascii="Times New Roman" w:cs="Times New Roman" w:eastAsia="Times New Roman" w:hAnsi="Times New Roman"/>
          <w:sz w:val="15"/>
          <w:szCs w:val="15"/>
          <w:i w:val="1"/>
          <w:iCs w:val="1"/>
          <w:color w:val="auto"/>
        </w:rPr>
        <w:t>Reference Rate Reform (Topic 848): Facilitation of the Effects of Reference</w:t>
      </w:r>
    </w:p>
    <w:p>
      <w:pPr>
        <w:spacing w:after="0" w:line="3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i w:val="1"/>
          <w:iCs w:val="1"/>
          <w:color w:val="auto"/>
        </w:rPr>
        <w:t xml:space="preserve">Rate Reform on Financial Reporting </w:t>
      </w:r>
      <w:r>
        <w:rPr>
          <w:rFonts w:ascii="Times New Roman" w:cs="Times New Roman" w:eastAsia="Times New Roman" w:hAnsi="Times New Roman"/>
          <w:sz w:val="15"/>
          <w:szCs w:val="15"/>
          <w:color w:val="auto"/>
        </w:rPr>
        <w:t>and ASU No. 2021-01</w:t>
      </w:r>
      <w:r>
        <w:rPr>
          <w:rFonts w:ascii="Times New Roman" w:cs="Times New Roman" w:eastAsia="Times New Roman" w:hAnsi="Times New Roman"/>
          <w:sz w:val="15"/>
          <w:szCs w:val="15"/>
          <w:i w:val="1"/>
          <w:iCs w:val="1"/>
          <w:color w:val="auto"/>
        </w:rPr>
        <w:t>, Reference Rate Reform (Topic 848): Scope</w:t>
      </w:r>
      <w:r>
        <w:rPr>
          <w:rFonts w:ascii="Times New Roman" w:cs="Times New Roman" w:eastAsia="Times New Roman" w:hAnsi="Times New Roman"/>
          <w:sz w:val="15"/>
          <w:szCs w:val="15"/>
          <w:color w:val="auto"/>
        </w:rPr>
        <w:t>, respectively. Together, the ASUs provide temporary optional guidance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ease the potential burden in accounting for reference rate reform. The new guidance provides optional expedients and exceptions for applying generally accepted accounting principles to transactions affected by reference rate reform if certain criteria are met. These transactions include contract modifications, hedging relationships, and sale or transfer of debt securities classified as held-to-maturity. The Company can elect to apply the amendments through December 31, 2022. As of March 31, 2022, the Company had not utilized any of the expedients discussed within this ASU; however, management continues to assess the Company's agreements to determine whether the expedients would be utilized through the remainder of 2022.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200" w:lineRule="exact"/>
        <w:rPr>
          <w:sz w:val="20"/>
          <w:szCs w:val="20"/>
          <w:color w:val="auto"/>
        </w:rPr>
      </w:pP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2. GOODWILL</w:t>
      </w:r>
    </w:p>
    <w:p>
      <w:pPr>
        <w:spacing w:after="0" w:line="11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presents the activity in goodwill by new reportable segment.</w:t>
      </w:r>
    </w:p>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247"/>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Activity</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07"/>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vMerge w:val="restart"/>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6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Accumulated Impairment</w:t>
            </w: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6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center"/>
              <w:ind w:right="31"/>
              <w:spacing w:after="0" w:line="106" w:lineRule="exact"/>
              <w:rPr>
                <w:sz w:val="20"/>
                <w:szCs w:val="20"/>
                <w:color w:val="auto"/>
              </w:rPr>
            </w:pPr>
            <w:r>
              <w:rPr>
                <w:rFonts w:ascii="Times New Roman" w:cs="Times New Roman" w:eastAsia="Times New Roman" w:hAnsi="Times New Roman"/>
                <w:sz w:val="12"/>
                <w:szCs w:val="12"/>
                <w:b w:val="1"/>
                <w:bCs w:val="1"/>
                <w:color w:val="auto"/>
                <w:w w:val="95"/>
              </w:rPr>
              <w:t>Foreign Exchange and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2"/>
          </w:tcPr>
          <w:p>
            <w:pPr>
              <w:jc w:val="center"/>
              <w:ind w:right="207"/>
              <w:spacing w:after="0" w:line="106"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3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187"/>
              <w:spacing w:after="0"/>
              <w:rPr>
                <w:sz w:val="20"/>
                <w:szCs w:val="20"/>
                <w:color w:val="auto"/>
              </w:rPr>
            </w:pPr>
            <w:r>
              <w:rPr>
                <w:rFonts w:ascii="Times New Roman" w:cs="Times New Roman" w:eastAsia="Times New Roman" w:hAnsi="Times New Roman"/>
                <w:sz w:val="12"/>
                <w:szCs w:val="12"/>
                <w:b w:val="1"/>
                <w:bCs w:val="1"/>
                <w:color w:val="auto"/>
                <w:w w:val="97"/>
              </w:rPr>
              <w:t>Impairment Losses</w:t>
            </w: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CFF"/>
          </w:tcPr>
          <w:p>
            <w:pPr>
              <w:spacing w:after="0" w:line="167" w:lineRule="exact"/>
              <w:rPr>
                <w:sz w:val="20"/>
                <w:szCs w:val="20"/>
                <w:color w:val="auto"/>
              </w:rPr>
            </w:pPr>
            <w:r>
              <w:rPr>
                <w:rFonts w:ascii="Times New Roman" w:cs="Times New Roman" w:eastAsia="Times New Roman" w:hAnsi="Times New Roman"/>
                <w:sz w:val="15"/>
                <w:szCs w:val="15"/>
                <w:color w:val="auto"/>
              </w:rPr>
              <w:t>CCS</w:t>
            </w:r>
          </w:p>
        </w:tc>
        <w:tc>
          <w:tcPr>
            <w:tcW w:w="260" w:type="dxa"/>
            <w:vAlign w:val="bottom"/>
            <w:tcBorders>
              <w:top w:val="single" w:sz="8" w:color="auto"/>
            </w:tcBorders>
            <w:shd w:val="clear" w:color="auto" w:fill="CCECFF"/>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2,307.3</w:t>
            </w:r>
          </w:p>
        </w:tc>
        <w:tc>
          <w:tcPr>
            <w:tcW w:w="1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(51.5</w:t>
            </w:r>
          </w:p>
        </w:tc>
        <w:tc>
          <w:tcPr>
            <w:tcW w:w="180" w:type="dxa"/>
            <w:vAlign w:val="bottom"/>
            <w:shd w:val="clear" w:color="auto" w:fill="CCEC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tcBorders>
            <w:shd w:val="clear" w:color="auto" w:fill="CCECFF"/>
          </w:tcPr>
          <w:p>
            <w:pPr>
              <w:jc w:val="right"/>
              <w:ind w:right="1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2,255.8</w:t>
            </w:r>
          </w:p>
        </w:tc>
        <w:tc>
          <w:tcPr>
            <w:tcW w:w="16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2,302.5</w:t>
            </w:r>
          </w:p>
        </w:tc>
        <w:tc>
          <w:tcPr>
            <w:tcW w:w="14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C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(51.5</w:t>
            </w:r>
          </w:p>
        </w:tc>
        <w:tc>
          <w:tcPr>
            <w:tcW w:w="140" w:type="dxa"/>
            <w:vAlign w:val="bottom"/>
            <w:shd w:val="clear" w:color="auto" w:fill="CCEC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tcBorders>
            <w:shd w:val="clear" w:color="auto" w:fill="CCECFF"/>
          </w:tcPr>
          <w:p>
            <w:pPr>
              <w:jc w:val="right"/>
              <w:ind w:right="1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right w:val="single" w:sz="8" w:color="CCECFF"/>
            </w:tcBorders>
            <w:shd w:val="clear" w:color="auto" w:fill="CCECFF"/>
          </w:tcPr>
          <w:p>
            <w:pPr>
              <w:jc w:val="right"/>
              <w:ind w:right="9"/>
              <w:spacing w:after="0" w:line="167" w:lineRule="exact"/>
              <w:rPr>
                <w:sz w:val="20"/>
                <w:szCs w:val="20"/>
                <w:color w:val="auto"/>
              </w:rPr>
            </w:pPr>
            <w:r>
              <w:rPr>
                <w:rFonts w:ascii="Times New Roman" w:cs="Times New Roman" w:eastAsia="Times New Roman" w:hAnsi="Times New Roman"/>
                <w:sz w:val="15"/>
                <w:szCs w:val="15"/>
                <w:color w:val="auto"/>
              </w:rPr>
              <w:t>2,251.0</w:t>
            </w:r>
          </w:p>
        </w:tc>
        <w:tc>
          <w:tcPr>
            <w:tcW w:w="0" w:type="dxa"/>
            <w:vAlign w:val="bottom"/>
          </w:tcPr>
          <w:p>
            <w:pPr>
              <w:spacing w:after="0"/>
              <w:rPr>
                <w:sz w:val="1"/>
                <w:szCs w:val="1"/>
                <w:color w:val="auto"/>
              </w:rPr>
            </w:pPr>
          </w:p>
        </w:tc>
      </w:tr>
      <w:tr>
        <w:trPr>
          <w:trHeight w:val="174"/>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OWN</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(159.5 )</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(159.5 )</w:t>
            </w:r>
          </w:p>
        </w:tc>
        <w:tc>
          <w:tcPr>
            <w:tcW w:w="32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506.0</w:t>
            </w:r>
          </w:p>
        </w:tc>
        <w:tc>
          <w:tcPr>
            <w:tcW w:w="0" w:type="dxa"/>
            <w:vAlign w:val="bottom"/>
          </w:tcPr>
          <w:p>
            <w:pPr>
              <w:spacing w:after="0"/>
              <w:rPr>
                <w:sz w:val="1"/>
                <w:szCs w:val="1"/>
                <w:color w:val="auto"/>
              </w:rPr>
            </w:pPr>
          </w:p>
        </w:tc>
      </w:tr>
      <w:tr>
        <w:trPr>
          <w:trHeight w:val="174"/>
        </w:trPr>
        <w:tc>
          <w:tcPr>
            <w:tcW w:w="10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NICS</w:t>
            </w:r>
          </w:p>
        </w:tc>
        <w:tc>
          <w:tcPr>
            <w:tcW w:w="2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653.0</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47"/>
              <w:spacing w:after="0"/>
              <w:rPr>
                <w:sz w:val="20"/>
                <w:szCs w:val="20"/>
                <w:color w:val="auto"/>
              </w:rPr>
            </w:pPr>
            <w:r>
              <w:rPr>
                <w:rFonts w:ascii="Times New Roman" w:cs="Times New Roman" w:eastAsia="Times New Roman" w:hAnsi="Times New Roman"/>
                <w:sz w:val="15"/>
                <w:szCs w:val="15"/>
                <w:color w:val="auto"/>
              </w:rPr>
              <w:t>(41.2 )</w:t>
            </w:r>
          </w:p>
        </w:tc>
        <w:tc>
          <w:tcPr>
            <w:tcW w:w="32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611.8</w:t>
            </w:r>
          </w:p>
        </w:tc>
        <w:tc>
          <w:tcPr>
            <w:tcW w:w="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651.7</w:t>
            </w: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7"/>
              <w:spacing w:after="0"/>
              <w:rPr>
                <w:sz w:val="20"/>
                <w:szCs w:val="20"/>
                <w:color w:val="auto"/>
              </w:rPr>
            </w:pPr>
            <w:r>
              <w:rPr>
                <w:rFonts w:ascii="Times New Roman" w:cs="Times New Roman" w:eastAsia="Times New Roman" w:hAnsi="Times New Roman"/>
                <w:sz w:val="15"/>
                <w:szCs w:val="15"/>
                <w:color w:val="auto"/>
              </w:rPr>
              <w:t>(41.2 )</w:t>
            </w:r>
          </w:p>
        </w:tc>
        <w:tc>
          <w:tcPr>
            <w:tcW w:w="320" w:type="dxa"/>
            <w:vAlign w:val="bottom"/>
            <w:shd w:val="clear" w:color="auto" w:fill="CCECFF"/>
          </w:tcPr>
          <w:p>
            <w:pPr>
              <w:spacing w:after="0"/>
              <w:rPr>
                <w:sz w:val="15"/>
                <w:szCs w:val="15"/>
                <w:color w:val="auto"/>
              </w:rPr>
            </w:pPr>
          </w:p>
        </w:tc>
        <w:tc>
          <w:tcPr>
            <w:tcW w:w="1060" w:type="dxa"/>
            <w:vAlign w:val="bottom"/>
            <w:tcBorders>
              <w:right w:val="single" w:sz="8" w:color="CCECFF"/>
            </w:tcBorders>
            <w:shd w:val="clear" w:color="auto" w:fill="CCECFF"/>
          </w:tcPr>
          <w:p>
            <w:pPr>
              <w:jc w:val="right"/>
              <w:ind w:right="9"/>
              <w:spacing w:after="0"/>
              <w:rPr>
                <w:sz w:val="20"/>
                <w:szCs w:val="20"/>
                <w:color w:val="auto"/>
              </w:rPr>
            </w:pPr>
            <w:r>
              <w:rPr>
                <w:rFonts w:ascii="Times New Roman" w:cs="Times New Roman" w:eastAsia="Times New Roman" w:hAnsi="Times New Roman"/>
                <w:sz w:val="15"/>
                <w:szCs w:val="15"/>
                <w:color w:val="auto"/>
              </w:rPr>
              <w:t>610.5</w:t>
            </w:r>
          </w:p>
        </w:tc>
        <w:tc>
          <w:tcPr>
            <w:tcW w:w="0" w:type="dxa"/>
            <w:vAlign w:val="bottom"/>
          </w:tcPr>
          <w:p>
            <w:pPr>
              <w:spacing w:after="0"/>
              <w:rPr>
                <w:sz w:val="1"/>
                <w:szCs w:val="1"/>
                <w:color w:val="auto"/>
              </w:rPr>
            </w:pPr>
          </w:p>
        </w:tc>
      </w:tr>
      <w:tr>
        <w:trPr>
          <w:trHeight w:val="174"/>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ANS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(142.1 )</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1,857.0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1,995.1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(142.1 )</w:t>
            </w:r>
          </w:p>
        </w:tc>
        <w:tc>
          <w:tcPr>
            <w:tcW w:w="32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1,853.0</w:t>
            </w:r>
          </w:p>
        </w:tc>
        <w:tc>
          <w:tcPr>
            <w:tcW w:w="0" w:type="dxa"/>
            <w:vAlign w:val="bottom"/>
          </w:tcPr>
          <w:p>
            <w:pPr>
              <w:spacing w:after="0"/>
              <w:rPr>
                <w:sz w:val="1"/>
                <w:szCs w:val="1"/>
                <w:color w:val="auto"/>
              </w:rPr>
            </w:pPr>
          </w:p>
        </w:tc>
      </w:tr>
      <w:tr>
        <w:trPr>
          <w:trHeight w:val="174"/>
        </w:trPr>
        <w:tc>
          <w:tcPr>
            <w:tcW w:w="10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Home</w:t>
            </w:r>
          </w:p>
        </w:tc>
        <w:tc>
          <w:tcPr>
            <w:tcW w:w="2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413.2</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47"/>
              <w:spacing w:after="0"/>
              <w:rPr>
                <w:sz w:val="20"/>
                <w:szCs w:val="20"/>
                <w:color w:val="auto"/>
              </w:rPr>
            </w:pPr>
            <w:r>
              <w:rPr>
                <w:rFonts w:ascii="Times New Roman" w:cs="Times New Roman" w:eastAsia="Times New Roman" w:hAnsi="Times New Roman"/>
                <w:sz w:val="15"/>
                <w:szCs w:val="15"/>
                <w:color w:val="auto"/>
              </w:rPr>
              <w:t>(413.2 )</w:t>
            </w:r>
          </w:p>
        </w:tc>
        <w:tc>
          <w:tcPr>
            <w:tcW w:w="32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4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413.2</w:t>
            </w: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7"/>
              <w:spacing w:after="0"/>
              <w:rPr>
                <w:sz w:val="20"/>
                <w:szCs w:val="20"/>
                <w:color w:val="auto"/>
              </w:rPr>
            </w:pPr>
            <w:r>
              <w:rPr>
                <w:rFonts w:ascii="Times New Roman" w:cs="Times New Roman" w:eastAsia="Times New Roman" w:hAnsi="Times New Roman"/>
                <w:sz w:val="15"/>
                <w:szCs w:val="15"/>
                <w:color w:val="auto"/>
              </w:rPr>
              <w:t>(413.2 )</w:t>
            </w:r>
          </w:p>
        </w:tc>
        <w:tc>
          <w:tcPr>
            <w:tcW w:w="320" w:type="dxa"/>
            <w:vAlign w:val="bottom"/>
            <w:shd w:val="clear" w:color="auto" w:fill="CCECFF"/>
          </w:tcPr>
          <w:p>
            <w:pPr>
              <w:spacing w:after="0"/>
              <w:rPr>
                <w:sz w:val="15"/>
                <w:szCs w:val="15"/>
                <w:color w:val="auto"/>
              </w:rPr>
            </w:pPr>
          </w:p>
        </w:tc>
        <w:tc>
          <w:tcPr>
            <w:tcW w:w="1060" w:type="dxa"/>
            <w:vAlign w:val="bottom"/>
            <w:tcBorders>
              <w:right w:val="single" w:sz="8" w:color="CCECFF"/>
            </w:tcBorders>
            <w:shd w:val="clear" w:color="auto" w:fill="CCEC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CCEC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260" w:type="dxa"/>
            <w:vAlign w:val="bottom"/>
          </w:tcPr>
          <w:p>
            <w:pPr>
              <w:jc w:val="right"/>
              <w:ind w:right="1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6,039.2</w:t>
            </w:r>
          </w:p>
        </w:tc>
        <w:tc>
          <w:tcPr>
            <w:tcW w:w="160" w:type="dxa"/>
            <w:vAlign w:val="bottom"/>
          </w:tcPr>
          <w:p>
            <w:pPr>
              <w:spacing w:after="0"/>
              <w:rPr>
                <w:sz w:val="14"/>
                <w:szCs w:val="14"/>
                <w:color w:val="auto"/>
              </w:rPr>
            </w:pPr>
          </w:p>
        </w:tc>
        <w:tc>
          <w:tcPr>
            <w:tcW w:w="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7"/>
              <w:spacing w:after="0" w:line="166" w:lineRule="exact"/>
              <w:rPr>
                <w:sz w:val="20"/>
                <w:szCs w:val="20"/>
                <w:color w:val="auto"/>
              </w:rPr>
            </w:pPr>
            <w:r>
              <w:rPr>
                <w:rFonts w:ascii="Times New Roman" w:cs="Times New Roman" w:eastAsia="Times New Roman" w:hAnsi="Times New Roman"/>
                <w:sz w:val="15"/>
                <w:szCs w:val="15"/>
                <w:color w:val="auto"/>
              </w:rPr>
              <w:t>(807.5 )</w:t>
            </w:r>
          </w:p>
        </w:tc>
        <w:tc>
          <w:tcPr>
            <w:tcW w:w="320" w:type="dxa"/>
            <w:vAlign w:val="bottom"/>
          </w:tcPr>
          <w:p>
            <w:pPr>
              <w:jc w:val="right"/>
              <w:ind w:right="147"/>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5,231.7</w:t>
            </w:r>
          </w:p>
        </w:tc>
        <w:tc>
          <w:tcPr>
            <w:tcW w:w="2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(11.2 )</w:t>
            </w:r>
          </w:p>
        </w:tc>
        <w:tc>
          <w:tcPr>
            <w:tcW w:w="80" w:type="dxa"/>
            <w:vAlign w:val="bottom"/>
          </w:tcPr>
          <w:p>
            <w:pPr>
              <w:spacing w:after="0"/>
              <w:rPr>
                <w:sz w:val="14"/>
                <w:szCs w:val="14"/>
                <w:color w:val="auto"/>
              </w:rPr>
            </w:pPr>
          </w:p>
        </w:tc>
        <w:tc>
          <w:tcPr>
            <w:tcW w:w="260" w:type="dxa"/>
            <w:vAlign w:val="bottom"/>
          </w:tcPr>
          <w:p>
            <w:pPr>
              <w:jc w:val="right"/>
              <w:ind w:right="1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6,028.0</w:t>
            </w:r>
          </w:p>
        </w:tc>
        <w:tc>
          <w:tcPr>
            <w:tcW w:w="28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7"/>
              <w:spacing w:after="0" w:line="166" w:lineRule="exact"/>
              <w:rPr>
                <w:sz w:val="20"/>
                <w:szCs w:val="20"/>
                <w:color w:val="auto"/>
              </w:rPr>
            </w:pPr>
            <w:r>
              <w:rPr>
                <w:rFonts w:ascii="Times New Roman" w:cs="Times New Roman" w:eastAsia="Times New Roman" w:hAnsi="Times New Roman"/>
                <w:sz w:val="15"/>
                <w:szCs w:val="15"/>
                <w:color w:val="auto"/>
              </w:rPr>
              <w:t>(807.5 )</w:t>
            </w:r>
          </w:p>
        </w:tc>
        <w:tc>
          <w:tcPr>
            <w:tcW w:w="320" w:type="dxa"/>
            <w:vAlign w:val="bottom"/>
          </w:tcPr>
          <w:p>
            <w:pPr>
              <w:jc w:val="right"/>
              <w:ind w:right="147"/>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9"/>
              <w:spacing w:after="0" w:line="166" w:lineRule="exact"/>
              <w:rPr>
                <w:sz w:val="20"/>
                <w:szCs w:val="20"/>
                <w:color w:val="auto"/>
              </w:rPr>
            </w:pPr>
            <w:r>
              <w:rPr>
                <w:rFonts w:ascii="Times New Roman" w:cs="Times New Roman" w:eastAsia="Times New Roman" w:hAnsi="Times New Roman"/>
                <w:sz w:val="15"/>
                <w:szCs w:val="15"/>
                <w:color w:val="auto"/>
              </w:rPr>
              <w:t>5,220.5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-139065</wp:posOffset>
            </wp:positionV>
            <wp:extent cx="4445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-139065</wp:posOffset>
            </wp:positionV>
            <wp:extent cx="590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-139065</wp:posOffset>
            </wp:positionV>
            <wp:extent cx="4445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-139065</wp:posOffset>
            </wp:positionV>
            <wp:extent cx="590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-139065</wp:posOffset>
            </wp:positionV>
            <wp:extent cx="368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-139065</wp:posOffset>
            </wp:positionV>
            <wp:extent cx="514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-139065</wp:posOffset>
            </wp:positionV>
            <wp:extent cx="368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830" cy="7620"/>
                    </a:xfrm>
                    <a:prstGeom prst="rect">
                      <a:avLst/>
                    </a:prstGeom>
                    <a:noFill/>
                  </pic:spPr>
                </pic:pic>
              </a:graphicData>
            </a:graphic>
          </wp:anchor>
        </w:drawing>
      </w:r>
    </w:p>
    <w:p>
      <w:pPr>
        <w:spacing w:after="0" w:line="151" w:lineRule="exact"/>
        <w:rPr>
          <w:sz w:val="20"/>
          <w:szCs w:val="20"/>
          <w:color w:val="auto"/>
        </w:rPr>
      </w:pPr>
    </w:p>
    <w:p>
      <w:pPr>
        <w:ind w:left="7" w:right="280"/>
        <w:spacing w:after="0" w:line="296" w:lineRule="auto"/>
        <w:rPr>
          <w:sz w:val="20"/>
          <w:szCs w:val="20"/>
          <w:color w:val="auto"/>
        </w:rPr>
      </w:pPr>
      <w:r>
        <w:rPr>
          <w:rFonts w:ascii="Times New Roman" w:cs="Times New Roman" w:eastAsia="Times New Roman" w:hAnsi="Times New Roman"/>
          <w:sz w:val="15"/>
          <w:szCs w:val="15"/>
          <w:color w:val="auto"/>
        </w:rPr>
        <w:t>Goodwill at December 31, 2021 reflects the reorganization of the Company's segment structure, as disclosed in Note 1, resulting in the reallocation of goodwill from the previous segments to the new segments.</w:t>
      </w:r>
    </w:p>
    <w:p>
      <w:pPr>
        <w:spacing w:after="0" w:line="120" w:lineRule="exact"/>
        <w:rPr>
          <w:sz w:val="20"/>
          <w:szCs w:val="20"/>
          <w:color w:val="auto"/>
        </w:rPr>
      </w:pPr>
    </w:p>
    <w:p>
      <w:pPr>
        <w:jc w:val="both"/>
        <w:ind w:left="7" w:right="320"/>
        <w:spacing w:after="0" w:line="280" w:lineRule="auto"/>
        <w:rPr>
          <w:sz w:val="20"/>
          <w:szCs w:val="20"/>
          <w:color w:val="auto"/>
        </w:rPr>
      </w:pPr>
      <w:r>
        <w:rPr>
          <w:rFonts w:ascii="Times New Roman" w:cs="Times New Roman" w:eastAsia="Times New Roman" w:hAnsi="Times New Roman"/>
          <w:sz w:val="15"/>
          <w:szCs w:val="15"/>
          <w:color w:val="auto"/>
        </w:rPr>
        <w:t>As a result of the new segment structure, as of January 1, 2022, the Company assessed goodwill for impairment due to changes in the composition of certain reporting units. The Company performed impairment testing immediately before the change and after the change once goodwill was reallocated and determined that no goodwill impairment existed.</w:t>
      </w:r>
    </w:p>
    <w:p>
      <w:pPr>
        <w:sectPr>
          <w:pgSz w:w="11900" w:h="16838" w:orient="portrait"/>
          <w:cols w:equalWidth="0" w:num="1">
            <w:col w:w="11267"/>
          </w:cols>
          <w:pgMar w:left="313" w:top="121" w:right="319" w:bottom="1440" w:gutter="0" w:footer="0" w:header="0"/>
        </w:sectPr>
      </w:pPr>
    </w:p>
    <w:p>
      <w:pPr>
        <w:spacing w:after="0" w:line="220" w:lineRule="exact"/>
        <w:rPr>
          <w:sz w:val="20"/>
          <w:szCs w:val="20"/>
          <w:color w:val="auto"/>
        </w:rPr>
      </w:pPr>
    </w:p>
    <w:p>
      <w:pPr>
        <w:ind w:left="7" w:right="3040" w:hanging="7"/>
        <w:spacing w:after="0" w:line="382" w:lineRule="auto"/>
        <w:tabs>
          <w:tab w:leader="none" w:pos="162"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FROM CONTRACTS WITH CUSTOMERS Disaggregated Net Sales</w:t>
      </w:r>
    </w:p>
    <w:p>
      <w:pPr>
        <w:ind w:left="7"/>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See Note 7 for the presentation of net sales by segment and geographic region.</w:t>
      </w: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Allowance for doubtful accounts,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151370" cy="118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1370" cy="118110"/>
                    </a:xfrm>
                    <a:prstGeom prst="rect">
                      <a:avLst/>
                    </a:prstGeom>
                    <a:noFill/>
                  </pic:spPr>
                </pic:pic>
              </a:graphicData>
            </a:graphic>
          </wp:anchor>
        </w:drawing>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Provision (benefit)</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51370" cy="118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1370" cy="11811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5"/>
          <w:szCs w:val="15"/>
          <w:color w:val="auto"/>
        </w:rPr>
        <w:t>Foreign exchange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1370" cy="139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1370" cy="139700"/>
                    </a:xfrm>
                    <a:prstGeom prst="rect">
                      <a:avLst/>
                    </a:prstGeom>
                    <a:noFill/>
                  </pic:spPr>
                </pic:pic>
              </a:graphicData>
            </a:graphic>
          </wp:anchor>
        </w:drawing>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Allowance for doubtful accounts, end of period</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Customer Contract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 w:type="dxa"/>
            <w:vAlign w:val="bottom"/>
          </w:tcPr>
          <w:p>
            <w:pPr>
              <w:spacing w:after="0"/>
              <w:rPr>
                <w:sz w:val="12"/>
                <w:szCs w:val="12"/>
                <w:color w:val="auto"/>
              </w:rPr>
            </w:pPr>
          </w:p>
        </w:tc>
      </w:tr>
      <w:tr>
        <w:trPr>
          <w:trHeight w:val="163"/>
        </w:trPr>
        <w:tc>
          <w:tcPr>
            <w:tcW w:w="380" w:type="dxa"/>
            <w:vAlign w:val="bottom"/>
          </w:tcPr>
          <w:p>
            <w:pPr>
              <w:jc w:val="right"/>
              <w:ind w:right="203"/>
              <w:spacing w:after="0" w:line="16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63.7</w:t>
            </w:r>
          </w:p>
        </w:tc>
        <w:tc>
          <w:tcPr>
            <w:tcW w:w="220" w:type="dxa"/>
            <w:vAlign w:val="bottom"/>
          </w:tcPr>
          <w:p>
            <w:pPr>
              <w:spacing w:after="0"/>
              <w:rPr>
                <w:sz w:val="14"/>
                <w:szCs w:val="14"/>
                <w:color w:val="auto"/>
              </w:rPr>
            </w:pPr>
          </w:p>
        </w:tc>
        <w:tc>
          <w:tcPr>
            <w:tcW w:w="380" w:type="dxa"/>
            <w:vAlign w:val="bottom"/>
          </w:tcPr>
          <w:p>
            <w:pPr>
              <w:jc w:val="right"/>
              <w:ind w:right="22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40.3</w:t>
            </w:r>
          </w:p>
        </w:tc>
        <w:tc>
          <w:tcPr>
            <w:tcW w:w="60" w:type="dxa"/>
            <w:vAlign w:val="bottom"/>
          </w:tcPr>
          <w:p>
            <w:pPr>
              <w:spacing w:after="0"/>
              <w:rPr>
                <w:sz w:val="14"/>
                <w:szCs w:val="14"/>
                <w:color w:val="auto"/>
              </w:rPr>
            </w:pPr>
          </w:p>
        </w:tc>
      </w:tr>
      <w:tr>
        <w:trPr>
          <w:trHeight w:val="186"/>
        </w:trPr>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(7.2 )</w:t>
            </w:r>
          </w:p>
        </w:tc>
      </w:tr>
      <w:tr>
        <w:trPr>
          <w:trHeight w:val="186"/>
        </w:trPr>
        <w:tc>
          <w:tcPr>
            <w:tcW w:w="3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(0.9 )</w:t>
            </w:r>
          </w:p>
        </w:tc>
        <w:tc>
          <w:tcPr>
            <w:tcW w:w="3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(0.1 )</w:t>
            </w:r>
          </w:p>
        </w:tc>
      </w:tr>
      <w:tr>
        <w:trPr>
          <w:trHeight w:val="200"/>
        </w:trPr>
        <w:tc>
          <w:tcPr>
            <w:tcW w:w="3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(0.5 )</w:t>
            </w:r>
          </w:p>
        </w:tc>
        <w:tc>
          <w:tcPr>
            <w:tcW w:w="3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(0.9 )</w:t>
            </w:r>
          </w:p>
        </w:tc>
      </w:tr>
      <w:tr>
        <w:trPr>
          <w:trHeight w:val="177"/>
        </w:trPr>
        <w:tc>
          <w:tcPr>
            <w:tcW w:w="3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64.8</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60" w:type="dxa"/>
            <w:vAlign w:val="bottom"/>
          </w:tcPr>
          <w:p>
            <w:pPr>
              <w:spacing w:after="0"/>
              <w:rPr>
                <w:sz w:val="15"/>
                <w:szCs w:val="15"/>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30" w:lineRule="exact"/>
        <w:rPr>
          <w:sz w:val="20"/>
          <w:szCs w:val="20"/>
          <w:color w:val="auto"/>
        </w:rPr>
      </w:pPr>
    </w:p>
    <w:p>
      <w:pPr>
        <w:sectPr>
          <w:pgSz w:w="11900" w:h="16838" w:orient="portrait"/>
          <w:cols w:equalWidth="0" w:num="2">
            <w:col w:w="6967" w:space="720"/>
            <w:col w:w="3580"/>
          </w:cols>
          <w:pgMar w:left="313" w:top="121" w:right="319" w:bottom="1440" w:gutter="0" w:footer="0" w:header="0"/>
          <w:type w:val="continuous"/>
        </w:sectPr>
      </w:pPr>
    </w:p>
    <w:p>
      <w:pPr>
        <w:ind w:left="7" w:right="200"/>
        <w:spacing w:after="0" w:line="296" w:lineRule="auto"/>
        <w:rPr>
          <w:sz w:val="20"/>
          <w:szCs w:val="20"/>
          <w:color w:val="auto"/>
        </w:rPr>
      </w:pPr>
      <w:r>
        <w:rPr>
          <w:rFonts w:ascii="Times New Roman" w:cs="Times New Roman" w:eastAsia="Times New Roman" w:hAnsi="Times New Roman"/>
          <w:sz w:val="15"/>
          <w:szCs w:val="15"/>
          <w:color w:val="auto"/>
        </w:rPr>
        <w:t>The following table provides the balance sheet location and amounts of contract assets, or unbilled accounts receivable, and contract liabilities, or deferred revenue, from contracts with customers as of March 31, 2022 and December 31, 2021.</w:t>
      </w:r>
    </w:p>
    <w:p>
      <w:pPr>
        <w:spacing w:after="0" w:line="392"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900" w:type="dxa"/>
            <w:vAlign w:val="bottom"/>
            <w:vMerge w:val="restart"/>
          </w:tcPr>
          <w:p>
            <w:pPr>
              <w:ind w:left="840"/>
              <w:spacing w:after="0"/>
              <w:rPr>
                <w:sz w:val="20"/>
                <w:szCs w:val="20"/>
                <w:color w:val="auto"/>
              </w:rPr>
            </w:pPr>
            <w:r>
              <w:rPr>
                <w:rFonts w:ascii="Times New Roman" w:cs="Times New Roman" w:eastAsia="Times New Roman" w:hAnsi="Times New Roman"/>
                <w:sz w:val="12"/>
                <w:szCs w:val="12"/>
                <w:b w:val="1"/>
                <w:bCs w:val="1"/>
                <w:color w:val="auto"/>
              </w:rPr>
              <w:t>Contract Balance Type</w:t>
            </w:r>
          </w:p>
        </w:tc>
        <w:tc>
          <w:tcPr>
            <w:tcW w:w="220" w:type="dxa"/>
            <w:vAlign w:val="bottom"/>
          </w:tcPr>
          <w:p>
            <w:pPr>
              <w:spacing w:after="0"/>
              <w:rPr>
                <w:sz w:val="12"/>
                <w:szCs w:val="12"/>
                <w:color w:val="auto"/>
              </w:rPr>
            </w:pPr>
          </w:p>
        </w:tc>
        <w:tc>
          <w:tcPr>
            <w:tcW w:w="4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Balance Sheet Location</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960" w:type="dxa"/>
            <w:vAlign w:val="bottom"/>
            <w:vMerge w:val="continue"/>
          </w:tcPr>
          <w:p>
            <w:pPr>
              <w:spacing w:after="0"/>
              <w:rPr>
                <w:sz w:val="13"/>
                <w:szCs w:val="13"/>
                <w:color w:val="auto"/>
              </w:rPr>
            </w:pP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90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20" w:type="dxa"/>
            <w:vAlign w:val="bottom"/>
            <w:shd w:val="clear" w:color="auto" w:fill="CCECFF"/>
          </w:tcPr>
          <w:p>
            <w:pPr>
              <w:spacing w:after="0"/>
              <w:rPr>
                <w:sz w:val="15"/>
                <w:szCs w:val="15"/>
                <w:color w:val="auto"/>
              </w:rPr>
            </w:pPr>
          </w:p>
        </w:tc>
        <w:tc>
          <w:tcPr>
            <w:tcW w:w="49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Accounts receivable, less allowance for doubtful accounts</w:t>
            </w:r>
          </w:p>
        </w:tc>
        <w:tc>
          <w:tcPr>
            <w:tcW w:w="140" w:type="dxa"/>
            <w:vAlign w:val="bottom"/>
            <w:shd w:val="clear" w:color="auto" w:fill="CCECFF"/>
          </w:tcPr>
          <w:p>
            <w:pPr>
              <w:spacing w:after="0"/>
              <w:rPr>
                <w:sz w:val="15"/>
                <w:szCs w:val="15"/>
                <w:color w:val="auto"/>
              </w:rPr>
            </w:pPr>
          </w:p>
        </w:tc>
        <w:tc>
          <w:tcPr>
            <w:tcW w:w="980" w:type="dxa"/>
            <w:vAlign w:val="bottom"/>
            <w:tcBorders>
              <w:top w:val="single" w:sz="8" w:color="auto"/>
            </w:tcBorders>
            <w:shd w:val="clear" w:color="auto" w:fill="CCECFF"/>
          </w:tcPr>
          <w:p>
            <w:pPr>
              <w:jc w:val="right"/>
              <w:ind w:right="828"/>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240" w:type="dxa"/>
            <w:vAlign w:val="bottom"/>
            <w:shd w:val="clear" w:color="auto" w:fill="CCECFF"/>
          </w:tcPr>
          <w:p>
            <w:pPr>
              <w:spacing w:after="0"/>
              <w:rPr>
                <w:sz w:val="15"/>
                <w:szCs w:val="15"/>
                <w:color w:val="auto"/>
              </w:rPr>
            </w:pPr>
          </w:p>
        </w:tc>
        <w:tc>
          <w:tcPr>
            <w:tcW w:w="200" w:type="dxa"/>
            <w:vAlign w:val="bottom"/>
            <w:tcBorders>
              <w:top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Deferred revenue - current</w:t>
            </w:r>
          </w:p>
        </w:tc>
        <w:tc>
          <w:tcPr>
            <w:tcW w:w="220" w:type="dxa"/>
            <w:vAlign w:val="bottom"/>
            <w:shd w:val="clear" w:color="auto" w:fill="CCECFF"/>
          </w:tcPr>
          <w:p>
            <w:pPr>
              <w:spacing w:after="0"/>
              <w:rPr>
                <w:sz w:val="16"/>
                <w:szCs w:val="16"/>
                <w:color w:val="auto"/>
              </w:rPr>
            </w:pPr>
          </w:p>
        </w:tc>
        <w:tc>
          <w:tcPr>
            <w:tcW w:w="4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Accrued and other liabilities</w:t>
            </w:r>
          </w:p>
        </w:tc>
        <w:tc>
          <w:tcPr>
            <w:tcW w:w="14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121.1</w:t>
            </w:r>
          </w:p>
        </w:tc>
        <w:tc>
          <w:tcPr>
            <w:tcW w:w="2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 noncurrent</w:t>
            </w:r>
          </w:p>
        </w:tc>
        <w:tc>
          <w:tcPr>
            <w:tcW w:w="22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5"/>
                <w:szCs w:val="15"/>
                <w:color w:val="auto"/>
              </w:rPr>
              <w:t>Total contract liabilities</w:t>
            </w:r>
          </w:p>
        </w:tc>
        <w:tc>
          <w:tcPr>
            <w:tcW w:w="220" w:type="dxa"/>
            <w:vAlign w:val="bottom"/>
            <w:tcBorders>
              <w:bottom w:val="single" w:sz="8" w:color="CCECFF"/>
            </w:tcBorders>
            <w:shd w:val="clear" w:color="auto" w:fill="CCECFF"/>
          </w:tcPr>
          <w:p>
            <w:pPr>
              <w:spacing w:after="0"/>
              <w:rPr>
                <w:sz w:val="18"/>
                <w:szCs w:val="18"/>
                <w:color w:val="auto"/>
              </w:rPr>
            </w:pPr>
          </w:p>
        </w:tc>
        <w:tc>
          <w:tcPr>
            <w:tcW w:w="496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ind w:right="828"/>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182.9</w:t>
            </w:r>
          </w:p>
        </w:tc>
        <w:tc>
          <w:tcPr>
            <w:tcW w:w="2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2900" w:type="dxa"/>
            <w:vAlign w:val="bottom"/>
          </w:tcPr>
          <w:p>
            <w:pPr>
              <w:spacing w:after="0"/>
              <w:rPr>
                <w:sz w:val="24"/>
                <w:szCs w:val="24"/>
                <w:color w:val="auto"/>
              </w:rPr>
            </w:pPr>
          </w:p>
        </w:tc>
        <w:tc>
          <w:tcPr>
            <w:tcW w:w="5180" w:type="dxa"/>
            <w:vAlign w:val="bottom"/>
            <w:gridSpan w:val="2"/>
          </w:tcPr>
          <w:p>
            <w:pPr>
              <w:jc w:val="right"/>
              <w:ind w:right="2307"/>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6098540</wp:posOffset>
            </wp:positionH>
            <wp:positionV relativeFrom="paragraph">
              <wp:posOffset>-662305</wp:posOffset>
            </wp:positionV>
            <wp:extent cx="4445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-647700</wp:posOffset>
            </wp:positionV>
            <wp:extent cx="4445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-662305</wp:posOffset>
            </wp:positionV>
            <wp:extent cx="3683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-647700</wp:posOffset>
            </wp:positionV>
            <wp:extent cx="3683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type w:val="continuous"/>
        </w:sectPr>
      </w:pPr>
    </w:p>
    <w:bookmarkStart w:id="12" w:name="page13"/>
    <w:bookmarkEnd w:id="1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24" w:lineRule="exact"/>
        <w:rPr>
          <w:sz w:val="20"/>
          <w:szCs w:val="20"/>
          <w:color w:val="auto"/>
        </w:rPr>
      </w:pPr>
    </w:p>
    <w:p>
      <w:pPr>
        <w:ind w:left="7" w:right="140"/>
        <w:spacing w:after="0" w:line="261" w:lineRule="auto"/>
        <w:rPr>
          <w:sz w:val="20"/>
          <w:szCs w:val="20"/>
          <w:color w:val="auto"/>
        </w:rPr>
      </w:pPr>
      <w:r>
        <w:rPr>
          <w:rFonts w:ascii="Times New Roman" w:cs="Times New Roman" w:eastAsia="Times New Roman" w:hAnsi="Times New Roman"/>
          <w:sz w:val="15"/>
          <w:szCs w:val="15"/>
          <w:color w:val="auto"/>
        </w:rPr>
        <w:t>There were no material changes to contract asset balances for the three months ended March 31, 2022 as a result of changes in estimates or impairments. The change in the contract liability balance from December 31, 2021 to March 31, 2022 was primarily due to upfront support billings to be recognized over the support term. During the three months ended March 31, 2022, the Company recognized $37.8 million of revenue related to contract liabilities recorded as of December 31, 2021.</w:t>
      </w:r>
    </w:p>
    <w:p>
      <w:pPr>
        <w:spacing w:after="0" w:line="245" w:lineRule="exact"/>
        <w:rPr>
          <w:sz w:val="20"/>
          <w:szCs w:val="20"/>
          <w:color w:val="auto"/>
        </w:rPr>
      </w:pPr>
    </w:p>
    <w:p>
      <w:pPr>
        <w:ind w:left="7" w:right="6780" w:hanging="7"/>
        <w:spacing w:after="0" w:line="414" w:lineRule="auto"/>
        <w:tabs>
          <w:tab w:leader="none" w:pos="162"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SUPPLEMENTAL FINANCIAL STATEMENT INFORMATION Inventories</w:t>
      </w:r>
    </w:p>
    <w:p>
      <w:pPr>
        <w:spacing w:after="0" w:line="190"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5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ind w:left="43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7"/>
          </w:tcPr>
          <w:p>
            <w:pPr>
              <w:jc w:val="right"/>
              <w:ind w:right="10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00" w:type="dxa"/>
            <w:vAlign w:val="bottom"/>
            <w:gridSpan w:val="2"/>
          </w:tcPr>
          <w:p>
            <w:pPr>
              <w:jc w:val="center"/>
              <w:ind w:left="545"/>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2021</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4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Raw materials</w:t>
            </w:r>
          </w:p>
        </w:tc>
        <w:tc>
          <w:tcPr>
            <w:tcW w:w="120" w:type="dxa"/>
            <w:vAlign w:val="bottom"/>
            <w:shd w:val="clear" w:color="auto" w:fill="CCECFF"/>
          </w:tcPr>
          <w:p>
            <w:pPr>
              <w:spacing w:after="0"/>
              <w:rPr>
                <w:sz w:val="15"/>
                <w:szCs w:val="15"/>
                <w:color w:val="auto"/>
              </w:rPr>
            </w:pPr>
          </w:p>
        </w:tc>
        <w:tc>
          <w:tcPr>
            <w:tcW w:w="1780" w:type="dxa"/>
            <w:vAlign w:val="bottom"/>
            <w:tcBorders>
              <w:top w:val="single" w:sz="8" w:color="auto"/>
            </w:tcBorders>
            <w:shd w:val="clear" w:color="auto" w:fill="CCECFF"/>
          </w:tcPr>
          <w:p>
            <w:pPr>
              <w:jc w:val="right"/>
              <w:ind w:right="161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513.1</w:t>
            </w:r>
          </w:p>
        </w:tc>
        <w:tc>
          <w:tcPr>
            <w:tcW w:w="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700" w:type="dxa"/>
            <w:vAlign w:val="bottom"/>
            <w:tcBorders>
              <w:top w:val="single" w:sz="8" w:color="auto"/>
            </w:tcBorders>
            <w:shd w:val="clear" w:color="auto" w:fill="CCECFF"/>
          </w:tcPr>
          <w:p>
            <w:pPr>
              <w:jc w:val="right"/>
              <w:ind w:right="55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shd w:val="clear" w:color="auto" w:fill="CCECFF"/>
          </w:tcPr>
          <w:p>
            <w:pPr>
              <w:spacing w:after="0"/>
              <w:rPr>
                <w:sz w:val="15"/>
                <w:szCs w:val="15"/>
                <w:color w:val="auto"/>
              </w:rPr>
            </w:pPr>
          </w:p>
        </w:tc>
        <w:tc>
          <w:tcPr>
            <w:tcW w:w="60" w:type="dxa"/>
            <w:vAlign w:val="bottom"/>
            <w:tcBorders>
              <w:top w:val="single" w:sz="8" w:color="auto"/>
            </w:tcBorders>
            <w:shd w:val="clear" w:color="auto" w:fill="CCECFF"/>
          </w:tcPr>
          <w:p>
            <w:pPr>
              <w:spacing w:after="0"/>
              <w:rPr>
                <w:sz w:val="15"/>
                <w:szCs w:val="15"/>
                <w:color w:val="auto"/>
              </w:rPr>
            </w:pPr>
          </w:p>
        </w:tc>
        <w:tc>
          <w:tcPr>
            <w:tcW w:w="220" w:type="dxa"/>
            <w:vAlign w:val="bottom"/>
            <w:tcBorders>
              <w:top w:val="single" w:sz="8" w:color="auto"/>
            </w:tcBorders>
            <w:shd w:val="clear" w:color="auto" w:fill="CCECFF"/>
          </w:tcPr>
          <w:p>
            <w:pPr>
              <w:spacing w:after="0"/>
              <w:rPr>
                <w:sz w:val="15"/>
                <w:szCs w:val="15"/>
                <w:color w:val="auto"/>
              </w:rPr>
            </w:pPr>
          </w:p>
        </w:tc>
        <w:tc>
          <w:tcPr>
            <w:tcW w:w="80" w:type="dxa"/>
            <w:vAlign w:val="bottom"/>
            <w:tcBorders>
              <w:top w:val="single" w:sz="8" w:color="auto"/>
            </w:tcBorders>
            <w:shd w:val="clear" w:color="auto" w:fill="CCECFF"/>
          </w:tcPr>
          <w:p>
            <w:pPr>
              <w:spacing w:after="0"/>
              <w:rPr>
                <w:sz w:val="15"/>
                <w:szCs w:val="15"/>
                <w:color w:val="auto"/>
              </w:rPr>
            </w:pPr>
          </w:p>
        </w:tc>
        <w:tc>
          <w:tcPr>
            <w:tcW w:w="180" w:type="dxa"/>
            <w:vAlign w:val="bottom"/>
            <w:tcBorders>
              <w:top w:val="single" w:sz="8" w:color="auto"/>
            </w:tcBorders>
            <w:shd w:val="clear" w:color="auto" w:fill="CCECFF"/>
          </w:tcPr>
          <w:p>
            <w:pPr>
              <w:spacing w:after="0"/>
              <w:rPr>
                <w:sz w:val="15"/>
                <w:szCs w:val="15"/>
                <w:color w:val="auto"/>
              </w:rPr>
            </w:pPr>
          </w:p>
        </w:tc>
        <w:tc>
          <w:tcPr>
            <w:tcW w:w="1200" w:type="dxa"/>
            <w:vAlign w:val="bottom"/>
            <w:tcBorders>
              <w:top w:val="single" w:sz="8" w:color="auto"/>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436.0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 in process</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178.3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Finished goods</w:t>
            </w:r>
          </w:p>
        </w:tc>
        <w:tc>
          <w:tcPr>
            <w:tcW w:w="120" w:type="dxa"/>
            <w:vAlign w:val="bottom"/>
            <w:tcBorders>
              <w:bottom w:val="single" w:sz="8" w:color="CCECFF"/>
            </w:tcBorders>
            <w:shd w:val="clear" w:color="auto" w:fill="CCECFF"/>
          </w:tcPr>
          <w:p>
            <w:pPr>
              <w:spacing w:after="0"/>
              <w:rPr>
                <w:sz w:val="16"/>
                <w:szCs w:val="16"/>
                <w:color w:val="auto"/>
              </w:rPr>
            </w:pPr>
          </w:p>
        </w:tc>
        <w:tc>
          <w:tcPr>
            <w:tcW w:w="1780" w:type="dxa"/>
            <w:vAlign w:val="bottom"/>
            <w:tcBorders>
              <w:bottom w:val="single" w:sz="8" w:color="auto"/>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789.7</w:t>
            </w:r>
          </w:p>
        </w:tc>
        <w:tc>
          <w:tcPr>
            <w:tcW w:w="4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CCECFF"/>
            </w:tcBorders>
            <w:shd w:val="clear" w:color="auto" w:fill="CCECFF"/>
          </w:tcPr>
          <w:p>
            <w:pPr>
              <w:spacing w:after="0"/>
              <w:rPr>
                <w:sz w:val="16"/>
                <w:szCs w:val="16"/>
                <w:color w:val="auto"/>
              </w:rPr>
            </w:pPr>
          </w:p>
        </w:tc>
        <w:tc>
          <w:tcPr>
            <w:tcW w:w="700" w:type="dxa"/>
            <w:vAlign w:val="bottom"/>
            <w:tcBorders>
              <w:bottom w:val="single" w:sz="8" w:color="auto"/>
            </w:tcBorders>
            <w:shd w:val="clear" w:color="auto" w:fill="CCECFF"/>
          </w:tcPr>
          <w:p>
            <w:pPr>
              <w:spacing w:after="0"/>
              <w:rPr>
                <w:sz w:val="16"/>
                <w:szCs w:val="16"/>
                <w:color w:val="auto"/>
              </w:rPr>
            </w:pPr>
          </w:p>
        </w:tc>
        <w:tc>
          <w:tcPr>
            <w:tcW w:w="380" w:type="dxa"/>
            <w:vAlign w:val="bottom"/>
            <w:tcBorders>
              <w:bottom w:val="single" w:sz="8" w:color="auto"/>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spacing w:after="0"/>
              <w:rPr>
                <w:sz w:val="16"/>
                <w:szCs w:val="16"/>
                <w:color w:val="auto"/>
              </w:rPr>
            </w:pPr>
          </w:p>
        </w:tc>
        <w:tc>
          <w:tcPr>
            <w:tcW w:w="1200" w:type="dxa"/>
            <w:vAlign w:val="bottom"/>
            <w:tcBorders>
              <w:bottom w:val="single" w:sz="8" w:color="auto"/>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821.5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900" w:type="dxa"/>
            <w:vAlign w:val="bottom"/>
            <w:gridSpan w:val="2"/>
          </w:tcPr>
          <w:p>
            <w:pPr>
              <w:jc w:val="right"/>
              <w:ind w:right="161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1,507.5</w:t>
            </w:r>
          </w:p>
        </w:tc>
        <w:tc>
          <w:tcPr>
            <w:tcW w:w="1100" w:type="dxa"/>
            <w:vAlign w:val="bottom"/>
            <w:gridSpan w:val="5"/>
          </w:tcPr>
          <w:p>
            <w:pPr>
              <w:jc w:val="right"/>
              <w:ind w:right="55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1,435.8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Accrued and Other Liabilities</w:t>
            </w: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6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tcPr>
          <w:p>
            <w:pPr>
              <w:jc w:val="right"/>
              <w:ind w:right="153"/>
              <w:spacing w:after="0"/>
              <w:rPr>
                <w:sz w:val="20"/>
                <w:szCs w:val="20"/>
                <w:color w:val="auto"/>
              </w:rPr>
            </w:pPr>
            <w:r>
              <w:rPr>
                <w:rFonts w:ascii="Times New Roman" w:cs="Times New Roman" w:eastAsia="Times New Roman" w:hAnsi="Times New Roman"/>
                <w:sz w:val="12"/>
                <w:szCs w:val="12"/>
                <w:b w:val="1"/>
                <w:bCs w:val="1"/>
                <w:color w:val="auto"/>
              </w:rPr>
              <w:t>2022</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86"/>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4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Compensation and employee benefit liabilities</w:t>
            </w:r>
          </w:p>
        </w:tc>
        <w:tc>
          <w:tcPr>
            <w:tcW w:w="120" w:type="dxa"/>
            <w:vAlign w:val="bottom"/>
            <w:shd w:val="clear" w:color="auto" w:fill="CCECFF"/>
          </w:tcPr>
          <w:p>
            <w:pPr>
              <w:spacing w:after="0"/>
              <w:rPr>
                <w:sz w:val="15"/>
                <w:szCs w:val="15"/>
                <w:color w:val="auto"/>
              </w:rPr>
            </w:pPr>
          </w:p>
        </w:tc>
        <w:tc>
          <w:tcPr>
            <w:tcW w:w="178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300" w:type="dxa"/>
            <w:vAlign w:val="bottom"/>
            <w:tcBorders>
              <w:top w:val="single" w:sz="8" w:color="auto"/>
            </w:tcBorders>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shd w:val="clear" w:color="auto" w:fill="CCECFF"/>
          </w:tcPr>
          <w:p>
            <w:pPr>
              <w:spacing w:after="0"/>
              <w:rPr>
                <w:sz w:val="15"/>
                <w:szCs w:val="15"/>
                <w:color w:val="auto"/>
              </w:rPr>
            </w:pPr>
          </w:p>
        </w:tc>
        <w:tc>
          <w:tcPr>
            <w:tcW w:w="700" w:type="dxa"/>
            <w:vAlign w:val="bottom"/>
            <w:tcBorders>
              <w:top w:val="single" w:sz="8" w:color="auto"/>
            </w:tcBorders>
            <w:shd w:val="clear" w:color="auto" w:fill="CCECFF"/>
          </w:tcPr>
          <w:p>
            <w:pPr>
              <w:spacing w:after="0"/>
              <w:rPr>
                <w:sz w:val="15"/>
                <w:szCs w:val="15"/>
                <w:color w:val="auto"/>
              </w:rPr>
            </w:pPr>
          </w:p>
        </w:tc>
        <w:tc>
          <w:tcPr>
            <w:tcW w:w="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282.5</w:t>
            </w:r>
          </w:p>
        </w:tc>
        <w:tc>
          <w:tcPr>
            <w:tcW w:w="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60" w:type="dxa"/>
            <w:vAlign w:val="bottom"/>
            <w:tcBorders>
              <w:top w:val="single" w:sz="8" w:color="auto"/>
            </w:tcBorders>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304.7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revenue</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94.6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Accrued interest</w:t>
            </w:r>
          </w:p>
        </w:tc>
        <w:tc>
          <w:tcPr>
            <w:tcW w:w="120" w:type="dxa"/>
            <w:vAlign w:val="bottom"/>
            <w:shd w:val="clear" w:color="auto" w:fill="CCECFF"/>
          </w:tcPr>
          <w:p>
            <w:pPr>
              <w:spacing w:after="0"/>
              <w:rPr>
                <w:sz w:val="16"/>
                <w:szCs w:val="16"/>
                <w:color w:val="auto"/>
              </w:rPr>
            </w:pPr>
          </w:p>
        </w:tc>
        <w:tc>
          <w:tcPr>
            <w:tcW w:w="17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0" w:type="dxa"/>
            <w:vAlign w:val="bottom"/>
            <w:tcBorders>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118.3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Product warranty accrual</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54.0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Restructuring liabilities</w:t>
            </w:r>
          </w:p>
        </w:tc>
        <w:tc>
          <w:tcPr>
            <w:tcW w:w="120" w:type="dxa"/>
            <w:vAlign w:val="bottom"/>
            <w:shd w:val="clear" w:color="auto" w:fill="CCECFF"/>
          </w:tcPr>
          <w:p>
            <w:pPr>
              <w:spacing w:after="0"/>
              <w:rPr>
                <w:sz w:val="16"/>
                <w:szCs w:val="16"/>
                <w:color w:val="auto"/>
              </w:rPr>
            </w:pPr>
          </w:p>
        </w:tc>
        <w:tc>
          <w:tcPr>
            <w:tcW w:w="17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0" w:type="dxa"/>
            <w:vAlign w:val="bottom"/>
            <w:tcBorders>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41.0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46.7</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Patent claims and litigation settlements</w:t>
            </w:r>
          </w:p>
        </w:tc>
        <w:tc>
          <w:tcPr>
            <w:tcW w:w="120" w:type="dxa"/>
            <w:vAlign w:val="bottom"/>
            <w:shd w:val="clear" w:color="auto" w:fill="CCECFF"/>
          </w:tcPr>
          <w:p>
            <w:pPr>
              <w:spacing w:after="0"/>
              <w:rPr>
                <w:sz w:val="16"/>
                <w:szCs w:val="16"/>
                <w:color w:val="auto"/>
              </w:rPr>
            </w:pPr>
          </w:p>
        </w:tc>
        <w:tc>
          <w:tcPr>
            <w:tcW w:w="17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0" w:type="dxa"/>
            <w:vAlign w:val="bottom"/>
            <w:tcBorders>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17.0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304.6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313.5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5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917.3</w:t>
            </w:r>
          </w:p>
        </w:tc>
        <w:tc>
          <w:tcPr>
            <w:tcW w:w="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right w:val="single" w:sz="8" w:color="CCECFF"/>
            </w:tcBorders>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989.8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5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Lease Information</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vMerge w:val="restart"/>
          </w:tcPr>
          <w:p>
            <w:pPr>
              <w:jc w:val="center"/>
              <w:ind w:left="433"/>
              <w:spacing w:after="0"/>
              <w:rPr>
                <w:sz w:val="20"/>
                <w:szCs w:val="20"/>
                <w:color w:val="auto"/>
              </w:rPr>
            </w:pPr>
            <w:r>
              <w:rPr>
                <w:rFonts w:ascii="Times New Roman" w:cs="Times New Roman" w:eastAsia="Times New Roman" w:hAnsi="Times New Roman"/>
                <w:sz w:val="12"/>
                <w:szCs w:val="12"/>
                <w:b w:val="1"/>
                <w:bCs w:val="1"/>
                <w:color w:val="auto"/>
              </w:rPr>
              <w:t>Balance Sheet Location</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4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Right of use assets</w:t>
            </w:r>
          </w:p>
        </w:tc>
        <w:tc>
          <w:tcPr>
            <w:tcW w:w="1900" w:type="dxa"/>
            <w:vAlign w:val="bottom"/>
            <w:tcBorders>
              <w:top w:val="single" w:sz="8" w:color="auto"/>
            </w:tcBorders>
            <w:gridSpan w:val="2"/>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Other noncurrent assets</w:t>
            </w:r>
          </w:p>
        </w:tc>
        <w:tc>
          <w:tcPr>
            <w:tcW w:w="500" w:type="dxa"/>
            <w:vAlign w:val="bottom"/>
            <w:tcBorders>
              <w:top w:val="single" w:sz="8" w:color="auto"/>
            </w:tcBorders>
            <w:shd w:val="clear" w:color="auto" w:fill="CCECFF"/>
          </w:tcPr>
          <w:p>
            <w:pPr>
              <w:spacing w:after="0"/>
              <w:rPr>
                <w:sz w:val="15"/>
                <w:szCs w:val="15"/>
                <w:color w:val="auto"/>
              </w:rPr>
            </w:pPr>
          </w:p>
        </w:tc>
        <w:tc>
          <w:tcPr>
            <w:tcW w:w="120" w:type="dxa"/>
            <w:vAlign w:val="bottom"/>
            <w:tcBorders>
              <w:top w:val="single" w:sz="8" w:color="auto"/>
            </w:tcBorders>
            <w:gridSpan w:val="2"/>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tcBorders>
              <w:top w:val="single" w:sz="8" w:color="auto"/>
            </w:tcBorders>
            <w:gridSpan w:val="2"/>
            <w:shd w:val="clear" w:color="auto" w:fill="CCECFF"/>
          </w:tcPr>
          <w:p>
            <w:pPr>
              <w:jc w:val="right"/>
              <w:ind w:right="61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300" w:type="dxa"/>
            <w:vAlign w:val="bottom"/>
            <w:gridSpan w:val="2"/>
            <w:shd w:val="clear" w:color="auto" w:fill="CCECFF"/>
          </w:tcPr>
          <w:p>
            <w:pPr>
              <w:spacing w:after="0"/>
              <w:rPr>
                <w:sz w:val="15"/>
                <w:szCs w:val="15"/>
                <w:color w:val="auto"/>
              </w:rPr>
            </w:pPr>
          </w:p>
        </w:tc>
        <w:tc>
          <w:tcPr>
            <w:tcW w:w="180" w:type="dxa"/>
            <w:vAlign w:val="bottom"/>
            <w:tcBorders>
              <w:top w:val="single" w:sz="8" w:color="auto"/>
            </w:tcBorders>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162.5</w:t>
            </w:r>
          </w:p>
        </w:tc>
        <w:tc>
          <w:tcPr>
            <w:tcW w:w="80" w:type="dxa"/>
            <w:vAlign w:val="bottom"/>
            <w:tcBorders>
              <w:right w:val="single" w:sz="8" w:color="CCECFF"/>
            </w:tcBorders>
            <w:shd w:val="clear" w:color="auto" w:fill="CCEC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90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5"/>
          </w:tcPr>
          <w:p>
            <w:pPr>
              <w:spacing w:after="0"/>
              <w:rPr>
                <w:sz w:val="16"/>
                <w:szCs w:val="16"/>
                <w:color w:val="auto"/>
              </w:rPr>
            </w:pPr>
          </w:p>
        </w:tc>
        <w:tc>
          <w:tcPr>
            <w:tcW w:w="440" w:type="dxa"/>
            <w:vAlign w:val="bottom"/>
            <w:gridSpan w:val="2"/>
          </w:tcPr>
          <w:p>
            <w:pPr>
              <w:spacing w:after="0"/>
              <w:rPr>
                <w:sz w:val="16"/>
                <w:szCs w:val="16"/>
                <w:color w:val="auto"/>
              </w:rPr>
            </w:pPr>
          </w:p>
        </w:tc>
        <w:tc>
          <w:tcPr>
            <w:tcW w:w="480" w:type="dxa"/>
            <w:vAlign w:val="bottom"/>
            <w:gridSpan w:val="3"/>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Lease liabilities - current</w:t>
            </w:r>
          </w:p>
        </w:tc>
        <w:tc>
          <w:tcPr>
            <w:tcW w:w="1900" w:type="dxa"/>
            <w:vAlign w:val="bottom"/>
            <w:gridSpan w:val="2"/>
            <w:shd w:val="clear" w:color="auto" w:fill="CCECFF"/>
          </w:tcPr>
          <w:p>
            <w:pPr>
              <w:ind w:left="40"/>
              <w:spacing w:after="0"/>
              <w:rPr>
                <w:sz w:val="20"/>
                <w:szCs w:val="20"/>
                <w:color w:val="auto"/>
              </w:rPr>
            </w:pPr>
            <w:r>
              <w:rPr>
                <w:rFonts w:ascii="Times New Roman" w:cs="Times New Roman" w:eastAsia="Times New Roman" w:hAnsi="Times New Roman"/>
                <w:sz w:val="15"/>
                <w:szCs w:val="15"/>
                <w:color w:val="auto"/>
              </w:rPr>
              <w:t>Accrued and other liabilities</w:t>
            </w:r>
          </w:p>
        </w:tc>
        <w:tc>
          <w:tcPr>
            <w:tcW w:w="500" w:type="dxa"/>
            <w:vAlign w:val="bottom"/>
            <w:shd w:val="clear" w:color="auto" w:fill="CCECFF"/>
          </w:tcPr>
          <w:p>
            <w:pPr>
              <w:spacing w:after="0"/>
              <w:rPr>
                <w:sz w:val="16"/>
                <w:szCs w:val="16"/>
                <w:color w:val="auto"/>
              </w:rPr>
            </w:pPr>
          </w:p>
        </w:tc>
        <w:tc>
          <w:tcPr>
            <w:tcW w:w="1100" w:type="dxa"/>
            <w:vAlign w:val="bottom"/>
            <w:gridSpan w:val="5"/>
            <w:shd w:val="clear" w:color="auto" w:fill="CCECFF"/>
          </w:tcPr>
          <w:p>
            <w:pPr>
              <w:jc w:val="right"/>
              <w:ind w:right="61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480" w:type="dxa"/>
            <w:vAlign w:val="bottom"/>
            <w:gridSpan w:val="3"/>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46.7</w:t>
            </w:r>
          </w:p>
        </w:tc>
        <w:tc>
          <w:tcPr>
            <w:tcW w:w="80" w:type="dxa"/>
            <w:vAlign w:val="bottom"/>
            <w:tcBorders>
              <w:right w:val="single" w:sz="8" w:color="CCECFF"/>
            </w:tcBorders>
            <w:shd w:val="clear" w:color="auto" w:fill="CCEC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 liabilities - noncurrent</w:t>
            </w: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140.8</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Total lease liabilities</w:t>
            </w:r>
          </w:p>
        </w:tc>
        <w:tc>
          <w:tcPr>
            <w:tcW w:w="12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gridSpan w:val="3"/>
            <w:shd w:val="clear" w:color="auto" w:fill="CCECFF"/>
          </w:tcPr>
          <w:p>
            <w:pPr>
              <w:spacing w:after="0"/>
              <w:rPr>
                <w:sz w:val="18"/>
                <w:szCs w:val="18"/>
                <w:color w:val="auto"/>
              </w:rPr>
            </w:pPr>
          </w:p>
        </w:tc>
        <w:tc>
          <w:tcPr>
            <w:tcW w:w="760" w:type="dxa"/>
            <w:vAlign w:val="bottom"/>
            <w:tcBorders>
              <w:bottom w:val="single" w:sz="8" w:color="auto"/>
            </w:tcBorders>
            <w:gridSpan w:val="2"/>
            <w:shd w:val="clear" w:color="auto" w:fill="CCECFF"/>
          </w:tcPr>
          <w:p>
            <w:pPr>
              <w:jc w:val="right"/>
              <w:ind w:right="61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178.0</w:t>
            </w:r>
          </w:p>
        </w:tc>
        <w:tc>
          <w:tcPr>
            <w:tcW w:w="300" w:type="dxa"/>
            <w:vAlign w:val="bottom"/>
            <w:tcBorders>
              <w:bottom w:val="single" w:sz="8" w:color="CCECFF"/>
            </w:tcBorders>
            <w:gridSpan w:val="2"/>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80" w:type="dxa"/>
            <w:vAlign w:val="bottom"/>
            <w:tcBorders>
              <w:bottom w:val="single" w:sz="8" w:color="CCECFF"/>
              <w:right w:val="single" w:sz="8" w:color="CCECFF"/>
            </w:tcBorders>
            <w:shd w:val="clear" w:color="auto" w:fill="CCEC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900" w:type="dxa"/>
            <w:vAlign w:val="bottom"/>
            <w:gridSpan w:val="2"/>
          </w:tcPr>
          <w:p>
            <w:pPr>
              <w:jc w:val="right"/>
              <w:ind w:right="1193"/>
              <w:spacing w:after="0"/>
              <w:rPr>
                <w:sz w:val="20"/>
                <w:szCs w:val="20"/>
                <w:color w:val="auto"/>
              </w:rPr>
            </w:pPr>
            <w:r>
              <w:rPr>
                <w:rFonts w:ascii="Times New Roman" w:cs="Times New Roman" w:eastAsia="Times New Roman" w:hAnsi="Times New Roman"/>
                <w:sz w:val="15"/>
                <w:szCs w:val="15"/>
                <w:color w:val="auto"/>
              </w:rPr>
              <w:t>12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-3755390</wp:posOffset>
            </wp:positionV>
            <wp:extent cx="444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6753860</wp:posOffset>
            </wp:positionH>
            <wp:positionV relativeFrom="paragraph">
              <wp:posOffset>-3755390</wp:posOffset>
            </wp:positionV>
            <wp:extent cx="3683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-1965960</wp:posOffset>
            </wp:positionV>
            <wp:extent cx="4445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-1951355</wp:posOffset>
            </wp:positionV>
            <wp:extent cx="444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6753860</wp:posOffset>
            </wp:positionH>
            <wp:positionV relativeFrom="paragraph">
              <wp:posOffset>-1965960</wp:posOffset>
            </wp:positionV>
            <wp:extent cx="3683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6753860</wp:posOffset>
            </wp:positionH>
            <wp:positionV relativeFrom="paragraph">
              <wp:posOffset>-1951355</wp:posOffset>
            </wp:positionV>
            <wp:extent cx="3683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-654685</wp:posOffset>
            </wp:positionV>
            <wp:extent cx="590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-640080</wp:posOffset>
            </wp:positionV>
            <wp:extent cx="590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6731635</wp:posOffset>
            </wp:positionH>
            <wp:positionV relativeFrom="paragraph">
              <wp:posOffset>-654685</wp:posOffset>
            </wp:positionV>
            <wp:extent cx="590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6731635</wp:posOffset>
            </wp:positionH>
            <wp:positionV relativeFrom="paragraph">
              <wp:posOffset>-640080</wp:posOffset>
            </wp:positionV>
            <wp:extent cx="5905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Accumulated Other Comprehensive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changes in accumulated other comprehensive loss (AOCL), net of tax: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gridSpan w:val="3"/>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2022</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r>
      <w:tr>
        <w:trPr>
          <w:trHeight w:val="157"/>
        </w:trPr>
        <w:tc>
          <w:tcPr>
            <w:tcW w:w="1760" w:type="dxa"/>
            <w:vAlign w:val="bottom"/>
            <w:tcBorders>
              <w:bottom w:val="single" w:sz="8" w:color="auto"/>
            </w:tcBorders>
            <w:gridSpan w:val="2"/>
            <w:shd w:val="clear" w:color="auto" w:fill="CCECFF"/>
          </w:tcPr>
          <w:p>
            <w:pPr>
              <w:spacing w:after="0" w:line="143"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5840" w:type="dxa"/>
            <w:vAlign w:val="bottom"/>
            <w:tcBorders>
              <w:bottom w:val="single" w:sz="8" w:color="CCECFF"/>
            </w:tcBorders>
            <w:gridSpan w:val="2"/>
            <w:shd w:val="clear" w:color="auto" w:fill="CCECFF"/>
          </w:tcPr>
          <w:p>
            <w:pPr>
              <w:spacing w:after="0"/>
              <w:rPr>
                <w:sz w:val="13"/>
                <w:szCs w:val="13"/>
                <w:color w:val="auto"/>
              </w:rPr>
            </w:pPr>
          </w:p>
        </w:tc>
        <w:tc>
          <w:tcPr>
            <w:tcW w:w="110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560" w:type="dxa"/>
            <w:vAlign w:val="bottom"/>
            <w:tcBorders>
              <w:bottom w:val="single" w:sz="8" w:color="CCECFF"/>
            </w:tcBorders>
            <w:shd w:val="clear" w:color="auto" w:fill="CCECFF"/>
          </w:tcPr>
          <w:p>
            <w:pPr>
              <w:spacing w:after="0"/>
              <w:rPr>
                <w:sz w:val="13"/>
                <w:szCs w:val="13"/>
                <w:color w:val="auto"/>
              </w:rPr>
            </w:pPr>
          </w:p>
        </w:tc>
        <w:tc>
          <w:tcPr>
            <w:tcW w:w="1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r>
      <w:tr>
        <w:trPr>
          <w:trHeight w:val="186"/>
        </w:trPr>
        <w:tc>
          <w:tcPr>
            <w:tcW w:w="76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1100" w:type="dxa"/>
            <w:vAlign w:val="bottom"/>
          </w:tcPr>
          <w:p>
            <w:pPr>
              <w:jc w:val="right"/>
              <w:ind w:right="92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(165.8 )</w:t>
            </w:r>
          </w:p>
        </w:tc>
        <w:tc>
          <w:tcPr>
            <w:tcW w:w="56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(80.5 )</w:t>
            </w:r>
          </w:p>
        </w:tc>
      </w:tr>
      <w:tr>
        <w:trPr>
          <w:trHeight w:val="186"/>
        </w:trPr>
        <w:tc>
          <w:tcPr>
            <w:tcW w:w="760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110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rPr>
              <w:t>(16.7 )</w:t>
            </w:r>
          </w:p>
        </w:tc>
        <w:tc>
          <w:tcPr>
            <w:tcW w:w="5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(51.9 )</w:t>
            </w:r>
          </w:p>
        </w:tc>
      </w:tr>
      <w:tr>
        <w:trPr>
          <w:trHeight w:val="186"/>
        </w:trPr>
        <w:tc>
          <w:tcPr>
            <w:tcW w:w="76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Amounts reclassified from AOCL</w:t>
            </w:r>
          </w:p>
        </w:tc>
        <w:tc>
          <w:tcPr>
            <w:tcW w:w="1100" w:type="dxa"/>
            <w:vAlign w:val="bottom"/>
          </w:tcPr>
          <w:p>
            <w:pPr>
              <w:spacing w:after="0"/>
              <w:rPr>
                <w:sz w:val="16"/>
                <w:szCs w:val="16"/>
                <w:color w:val="auto"/>
              </w:rPr>
            </w:pPr>
          </w:p>
        </w:tc>
        <w:tc>
          <w:tcPr>
            <w:tcW w:w="820" w:type="dxa"/>
            <w:vAlign w:val="bottom"/>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6"/>
                <w:szCs w:val="16"/>
                <w:color w:val="auto"/>
              </w:rPr>
            </w:pPr>
          </w:p>
        </w:tc>
      </w:tr>
      <w:tr>
        <w:trPr>
          <w:trHeight w:val="177"/>
        </w:trPr>
        <w:tc>
          <w:tcPr>
            <w:tcW w:w="7600" w:type="dxa"/>
            <w:vAlign w:val="bottom"/>
            <w:tcBorders>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5"/>
                <w:szCs w:val="15"/>
                <w:color w:val="auto"/>
              </w:rPr>
              <w:t>Balance at end of period</w:t>
            </w:r>
          </w:p>
        </w:tc>
        <w:tc>
          <w:tcPr>
            <w:tcW w:w="1100" w:type="dxa"/>
            <w:vAlign w:val="bottom"/>
            <w:tcBorders>
              <w:top w:val="single" w:sz="8" w:color="auto"/>
              <w:bottom w:val="single" w:sz="8" w:color="auto"/>
            </w:tcBorders>
            <w:shd w:val="clear" w:color="auto" w:fill="CCECFF"/>
          </w:tcPr>
          <w:p>
            <w:pPr>
              <w:jc w:val="right"/>
              <w:ind w:right="92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(182.5</w:t>
            </w:r>
          </w:p>
        </w:tc>
        <w:tc>
          <w:tcPr>
            <w:tcW w:w="240" w:type="dxa"/>
            <w:vAlign w:val="bottom"/>
            <w:tcBorders>
              <w:bottom w:val="single" w:sz="8" w:color="CCECFF"/>
            </w:tcBorders>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C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(131.8</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77"/>
        </w:trPr>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780" w:type="dxa"/>
            <w:vAlign w:val="bottom"/>
            <w:tcBorders>
              <w:bottom w:val="single" w:sz="8" w:color="auto"/>
            </w:tcBorders>
            <w:gridSpan w:val="3"/>
            <w:shd w:val="clear" w:color="auto" w:fill="CCECFF"/>
          </w:tcPr>
          <w:p>
            <w:pPr>
              <w:spacing w:after="0" w:line="151" w:lineRule="exact"/>
              <w:rPr>
                <w:sz w:val="20"/>
                <w:szCs w:val="20"/>
                <w:color w:val="auto"/>
              </w:rPr>
            </w:pPr>
            <w:r>
              <w:rPr>
                <w:rFonts w:ascii="Times New Roman" w:cs="Times New Roman" w:eastAsia="Times New Roman" w:hAnsi="Times New Roman"/>
                <w:sz w:val="15"/>
                <w:szCs w:val="15"/>
                <w:color w:val="auto"/>
              </w:rPr>
              <w:t>Defined benefit plan activity</w:t>
            </w:r>
          </w:p>
        </w:tc>
        <w:tc>
          <w:tcPr>
            <w:tcW w:w="5820" w:type="dxa"/>
            <w:vAlign w:val="bottom"/>
            <w:tcBorders>
              <w:bottom w:val="single" w:sz="8" w:color="CCECFF"/>
            </w:tcBorders>
            <w:shd w:val="clear" w:color="auto" w:fill="CCECFF"/>
          </w:tcPr>
          <w:p>
            <w:pPr>
              <w:spacing w:after="0"/>
              <w:rPr>
                <w:sz w:val="14"/>
                <w:szCs w:val="14"/>
                <w:color w:val="auto"/>
              </w:rPr>
            </w:pPr>
          </w:p>
        </w:tc>
        <w:tc>
          <w:tcPr>
            <w:tcW w:w="1100" w:type="dxa"/>
            <w:vAlign w:val="bottom"/>
            <w:tcBorders>
              <w:bottom w:val="single" w:sz="8" w:color="CCECFF"/>
            </w:tcBorders>
            <w:shd w:val="clear" w:color="auto" w:fill="CCECFF"/>
          </w:tcPr>
          <w:p>
            <w:pPr>
              <w:spacing w:after="0"/>
              <w:rPr>
                <w:sz w:val="14"/>
                <w:szCs w:val="14"/>
                <w:color w:val="auto"/>
              </w:rPr>
            </w:pPr>
          </w:p>
        </w:tc>
        <w:tc>
          <w:tcPr>
            <w:tcW w:w="5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CCECFF"/>
            </w:tcBorders>
            <w:shd w:val="clear" w:color="auto" w:fill="CCECFF"/>
          </w:tcPr>
          <w:p>
            <w:pPr>
              <w:spacing w:after="0"/>
              <w:rPr>
                <w:sz w:val="14"/>
                <w:szCs w:val="14"/>
                <w:color w:val="auto"/>
              </w:rPr>
            </w:pPr>
          </w:p>
        </w:tc>
        <w:tc>
          <w:tcPr>
            <w:tcW w:w="110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r>
      <w:tr>
        <w:trPr>
          <w:trHeight w:val="186"/>
        </w:trPr>
        <w:tc>
          <w:tcPr>
            <w:tcW w:w="76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1100" w:type="dxa"/>
            <w:vAlign w:val="bottom"/>
          </w:tcPr>
          <w:p>
            <w:pPr>
              <w:jc w:val="right"/>
              <w:ind w:right="92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(13.4 )</w:t>
            </w:r>
          </w:p>
        </w:tc>
        <w:tc>
          <w:tcPr>
            <w:tcW w:w="56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(36.4 )</w:t>
            </w:r>
          </w:p>
        </w:tc>
      </w:tr>
      <w:tr>
        <w:trPr>
          <w:trHeight w:val="186"/>
        </w:trPr>
        <w:tc>
          <w:tcPr>
            <w:tcW w:w="760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110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rPr>
              <w:t>(1.6 )</w:t>
            </w:r>
          </w:p>
        </w:tc>
        <w:tc>
          <w:tcPr>
            <w:tcW w:w="5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76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Amounts reclassified from AOCL</w:t>
            </w: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6"/>
                <w:szCs w:val="16"/>
                <w:color w:val="auto"/>
              </w:rPr>
            </w:pPr>
          </w:p>
        </w:tc>
      </w:tr>
      <w:tr>
        <w:trPr>
          <w:trHeight w:val="177"/>
        </w:trPr>
        <w:tc>
          <w:tcPr>
            <w:tcW w:w="7600" w:type="dxa"/>
            <w:vAlign w:val="bottom"/>
            <w:tcBorders>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5"/>
                <w:szCs w:val="15"/>
                <w:color w:val="auto"/>
              </w:rPr>
              <w:t>Balance at end of period</w:t>
            </w:r>
          </w:p>
        </w:tc>
        <w:tc>
          <w:tcPr>
            <w:tcW w:w="1100" w:type="dxa"/>
            <w:vAlign w:val="bottom"/>
            <w:tcBorders>
              <w:bottom w:val="single" w:sz="8" w:color="auto"/>
            </w:tcBorders>
            <w:shd w:val="clear" w:color="auto" w:fill="CCECFF"/>
          </w:tcPr>
          <w:p>
            <w:pPr>
              <w:jc w:val="right"/>
              <w:ind w:right="92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240" w:type="dxa"/>
            <w:vAlign w:val="bottom"/>
            <w:tcBorders>
              <w:bottom w:val="single" w:sz="8" w:color="CCECFF"/>
            </w:tcBorders>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C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77"/>
        </w:trPr>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00" w:type="dxa"/>
            <w:vAlign w:val="bottom"/>
            <w:tcBorders>
              <w:bottom w:val="single" w:sz="8" w:color="auto"/>
            </w:tcBorders>
            <w:shd w:val="clear" w:color="auto" w:fill="CCECFF"/>
          </w:tcPr>
          <w:p>
            <w:pPr>
              <w:spacing w:after="0" w:line="151" w:lineRule="exact"/>
              <w:rPr>
                <w:sz w:val="20"/>
                <w:szCs w:val="20"/>
                <w:color w:val="auto"/>
              </w:rPr>
            </w:pPr>
            <w:r>
              <w:rPr>
                <w:rFonts w:ascii="Times New Roman" w:cs="Times New Roman" w:eastAsia="Times New Roman" w:hAnsi="Times New Roman"/>
                <w:sz w:val="15"/>
                <w:szCs w:val="15"/>
                <w:color w:val="auto"/>
              </w:rPr>
              <w:t>Hedging instruments</w:t>
            </w:r>
          </w:p>
        </w:tc>
        <w:tc>
          <w:tcPr>
            <w:tcW w:w="6300" w:type="dxa"/>
            <w:vAlign w:val="bottom"/>
            <w:tcBorders>
              <w:bottom w:val="single" w:sz="8" w:color="CCECFF"/>
            </w:tcBorders>
            <w:gridSpan w:val="3"/>
            <w:shd w:val="clear" w:color="auto" w:fill="CCECFF"/>
          </w:tcPr>
          <w:p>
            <w:pPr>
              <w:spacing w:after="0"/>
              <w:rPr>
                <w:sz w:val="14"/>
                <w:szCs w:val="14"/>
                <w:color w:val="auto"/>
              </w:rPr>
            </w:pPr>
          </w:p>
        </w:tc>
        <w:tc>
          <w:tcPr>
            <w:tcW w:w="1100" w:type="dxa"/>
            <w:vAlign w:val="bottom"/>
            <w:tcBorders>
              <w:bottom w:val="single" w:sz="8" w:color="CCECFF"/>
            </w:tcBorders>
            <w:shd w:val="clear" w:color="auto" w:fill="CCECFF"/>
          </w:tcPr>
          <w:p>
            <w:pPr>
              <w:spacing w:after="0"/>
              <w:rPr>
                <w:sz w:val="14"/>
                <w:szCs w:val="14"/>
                <w:color w:val="auto"/>
              </w:rPr>
            </w:pPr>
          </w:p>
        </w:tc>
        <w:tc>
          <w:tcPr>
            <w:tcW w:w="5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CCECFF"/>
            </w:tcBorders>
            <w:shd w:val="clear" w:color="auto" w:fill="CCECFF"/>
          </w:tcPr>
          <w:p>
            <w:pPr>
              <w:spacing w:after="0"/>
              <w:rPr>
                <w:sz w:val="14"/>
                <w:szCs w:val="14"/>
                <w:color w:val="auto"/>
              </w:rPr>
            </w:pPr>
          </w:p>
        </w:tc>
        <w:tc>
          <w:tcPr>
            <w:tcW w:w="110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r>
      <w:tr>
        <w:trPr>
          <w:trHeight w:val="186"/>
        </w:trPr>
        <w:tc>
          <w:tcPr>
            <w:tcW w:w="76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1100" w:type="dxa"/>
            <w:vAlign w:val="bottom"/>
          </w:tcPr>
          <w:p>
            <w:pPr>
              <w:jc w:val="right"/>
              <w:ind w:right="92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(27.2 )</w:t>
            </w:r>
          </w:p>
        </w:tc>
        <w:tc>
          <w:tcPr>
            <w:tcW w:w="56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(39.0 )</w:t>
            </w:r>
          </w:p>
        </w:tc>
      </w:tr>
      <w:tr>
        <w:trPr>
          <w:trHeight w:val="186"/>
        </w:trPr>
        <w:tc>
          <w:tcPr>
            <w:tcW w:w="7600" w:type="dxa"/>
            <w:vAlign w:val="bottom"/>
            <w:tcBorders>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100" w:type="dxa"/>
            <w:vAlign w:val="bottom"/>
            <w:tcBorders>
              <w:bottom w:val="single" w:sz="8" w:color="auto"/>
            </w:tcBorders>
            <w:shd w:val="clear" w:color="auto" w:fill="CCECFF"/>
          </w:tcPr>
          <w:p>
            <w:pPr>
              <w:spacing w:after="0"/>
              <w:rPr>
                <w:sz w:val="16"/>
                <w:szCs w:val="16"/>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4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auto"/>
            </w:tcBorders>
            <w:shd w:val="clear" w:color="auto" w:fill="CCECFF"/>
          </w:tcPr>
          <w:p>
            <w:pPr>
              <w:spacing w:after="0"/>
              <w:rPr>
                <w:sz w:val="16"/>
                <w:szCs w:val="16"/>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77"/>
        </w:trPr>
        <w:tc>
          <w:tcPr>
            <w:tcW w:w="76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Balance at end of period</w:t>
            </w:r>
          </w:p>
        </w:tc>
        <w:tc>
          <w:tcPr>
            <w:tcW w:w="1100" w:type="dxa"/>
            <w:vAlign w:val="bottom"/>
          </w:tcPr>
          <w:p>
            <w:pPr>
              <w:jc w:val="right"/>
              <w:ind w:right="92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(18.4 )</w:t>
            </w:r>
          </w:p>
        </w:tc>
        <w:tc>
          <w:tcPr>
            <w:tcW w:w="56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(26.4 )</w:t>
            </w:r>
          </w:p>
        </w:tc>
      </w:tr>
      <w:tr>
        <w:trPr>
          <w:trHeight w:val="217"/>
        </w:trPr>
        <w:tc>
          <w:tcPr>
            <w:tcW w:w="7600" w:type="dxa"/>
            <w:vAlign w:val="bottom"/>
            <w:tcBorders>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AOCL at end of period</w:t>
            </w:r>
          </w:p>
        </w:tc>
        <w:tc>
          <w:tcPr>
            <w:tcW w:w="1100" w:type="dxa"/>
            <w:vAlign w:val="bottom"/>
            <w:tcBorders>
              <w:top w:val="single" w:sz="8" w:color="auto"/>
              <w:bottom w:val="single" w:sz="8" w:color="auto"/>
            </w:tcBorders>
            <w:shd w:val="clear" w:color="auto" w:fill="CCECFF"/>
          </w:tcPr>
          <w:p>
            <w:pPr>
              <w:jc w:val="right"/>
              <w:ind w:right="92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(215.6</w:t>
            </w:r>
          </w:p>
        </w:tc>
        <w:tc>
          <w:tcPr>
            <w:tcW w:w="240" w:type="dxa"/>
            <w:vAlign w:val="bottom"/>
            <w:tcBorders>
              <w:bottom w:val="single" w:sz="8" w:color="CCECFF"/>
            </w:tcBorders>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C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(194.3</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-1472565</wp:posOffset>
            </wp:positionV>
            <wp:extent cx="590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-1472565</wp:posOffset>
            </wp:positionV>
            <wp:extent cx="514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-750570</wp:posOffset>
            </wp:positionV>
            <wp:extent cx="590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-750570</wp:posOffset>
            </wp:positionV>
            <wp:extent cx="5143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-271780</wp:posOffset>
            </wp:positionV>
            <wp:extent cx="590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-271780</wp:posOffset>
            </wp:positionV>
            <wp:extent cx="5143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-21590</wp:posOffset>
            </wp:positionV>
            <wp:extent cx="590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-6985</wp:posOffset>
            </wp:positionV>
            <wp:extent cx="590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-21590</wp:posOffset>
            </wp:positionV>
            <wp:extent cx="514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-6985</wp:posOffset>
            </wp:positionV>
            <wp:extent cx="5143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51"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5"/>
          <w:szCs w:val="15"/>
          <w:color w:val="auto"/>
        </w:rPr>
        <w:t>Amounts reclassified from net AOCL related to foreign currency translation and defined benefit plans are recorded in other income, net in the Condensed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1"/>
        </w:trPr>
        <w:tc>
          <w:tcPr>
            <w:tcW w:w="1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36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r>
      <w:tr>
        <w:trPr>
          <w:trHeight w:val="142"/>
        </w:trPr>
        <w:tc>
          <w:tcPr>
            <w:tcW w:w="1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2022</w:t>
            </w:r>
          </w:p>
        </w:tc>
        <w:tc>
          <w:tcPr>
            <w:tcW w:w="6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2"/>
                <w:szCs w:val="12"/>
                <w:b w:val="1"/>
                <w:bCs w:val="1"/>
                <w:color w:val="auto"/>
              </w:rPr>
              <w:t>2021</w:t>
            </w:r>
          </w:p>
        </w:tc>
        <w:tc>
          <w:tcPr>
            <w:tcW w:w="1120" w:type="dxa"/>
            <w:vAlign w:val="bottom"/>
          </w:tcPr>
          <w:p>
            <w:pPr>
              <w:spacing w:after="0"/>
              <w:rPr>
                <w:sz w:val="12"/>
                <w:szCs w:val="12"/>
                <w:color w:val="auto"/>
              </w:rPr>
            </w:pPr>
          </w:p>
        </w:tc>
      </w:tr>
      <w:tr>
        <w:trPr>
          <w:trHeight w:val="177"/>
        </w:trPr>
        <w:tc>
          <w:tcPr>
            <w:tcW w:w="1120" w:type="dxa"/>
            <w:vAlign w:val="bottom"/>
          </w:tcPr>
          <w:p>
            <w:pPr>
              <w:spacing w:after="0"/>
              <w:rPr>
                <w:sz w:val="15"/>
                <w:szCs w:val="15"/>
                <w:color w:val="auto"/>
              </w:rPr>
            </w:pPr>
          </w:p>
        </w:tc>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1620" w:type="dxa"/>
            <w:vAlign w:val="bottom"/>
            <w:shd w:val="clear" w:color="auto" w:fill="CCECFF"/>
          </w:tcPr>
          <w:p>
            <w:pPr>
              <w:spacing w:after="0"/>
              <w:rPr>
                <w:sz w:val="15"/>
                <w:szCs w:val="15"/>
                <w:color w:val="auto"/>
              </w:rPr>
            </w:pPr>
          </w:p>
        </w:tc>
        <w:tc>
          <w:tcPr>
            <w:tcW w:w="128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1360" w:type="dxa"/>
            <w:vAlign w:val="bottom"/>
            <w:tcBorders>
              <w:right w:val="single" w:sz="8" w:color="CCECFF"/>
            </w:tcBorders>
            <w:shd w:val="clear" w:color="auto" w:fill="CCECFF"/>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taxes, net of refunds</w:t>
            </w:r>
          </w:p>
        </w:tc>
        <w:tc>
          <w:tcPr>
            <w:tcW w:w="2900" w:type="dxa"/>
            <w:vAlign w:val="bottom"/>
            <w:gridSpan w:val="2"/>
          </w:tcPr>
          <w:p>
            <w:pPr>
              <w:jc w:val="right"/>
              <w:ind w:right="1138"/>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18.1</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2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5"/>
                <w:szCs w:val="15"/>
                <w:color w:val="auto"/>
              </w:rPr>
              <w:t>Interest</w:t>
            </w:r>
          </w:p>
        </w:tc>
        <w:tc>
          <w:tcPr>
            <w:tcW w:w="1620" w:type="dxa"/>
            <w:vAlign w:val="bottom"/>
            <w:shd w:val="clear" w:color="auto" w:fill="CCECFF"/>
          </w:tcPr>
          <w:p>
            <w:pPr>
              <w:spacing w:after="0"/>
              <w:rPr>
                <w:sz w:val="16"/>
                <w:szCs w:val="16"/>
                <w:color w:val="auto"/>
              </w:rPr>
            </w:pPr>
          </w:p>
        </w:tc>
        <w:tc>
          <w:tcPr>
            <w:tcW w:w="128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191.7</w:t>
            </w:r>
          </w:p>
        </w:tc>
        <w:tc>
          <w:tcPr>
            <w:tcW w:w="34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13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5"/>
                <w:szCs w:val="15"/>
                <w:color w:val="auto"/>
              </w:rPr>
              <w:t>195.4</w:t>
            </w:r>
          </w:p>
        </w:tc>
        <w:tc>
          <w:tcPr>
            <w:tcW w:w="1120" w:type="dxa"/>
            <w:vAlign w:val="bottom"/>
          </w:tcPr>
          <w:p>
            <w:pPr>
              <w:spacing w:after="0"/>
              <w:rPr>
                <w:sz w:val="16"/>
                <w:szCs w:val="16"/>
                <w:color w:val="auto"/>
              </w:rPr>
            </w:pPr>
          </w:p>
        </w:tc>
      </w:tr>
      <w:tr>
        <w:trPr>
          <w:trHeight w:val="730"/>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13</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6"/>
        </w:trPr>
        <w:tc>
          <w:tcPr>
            <w:tcW w:w="11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 FINANCING</w:t>
      </w:r>
    </w:p>
    <w:p>
      <w:pPr>
        <w:spacing w:after="0" w:line="347"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132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1"/>
        </w:trPr>
        <w:tc>
          <w:tcPr>
            <w:tcW w:w="5840" w:type="dxa"/>
            <w:vAlign w:val="bottom"/>
          </w:tcPr>
          <w:p>
            <w:pPr>
              <w:spacing w:after="0"/>
              <w:rPr>
                <w:sz w:val="13"/>
                <w:szCs w:val="13"/>
                <w:color w:val="auto"/>
              </w:rPr>
            </w:pPr>
          </w:p>
        </w:tc>
        <w:tc>
          <w:tcPr>
            <w:tcW w:w="1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3"/>
                <w:szCs w:val="13"/>
                <w:color w:val="auto"/>
              </w:rPr>
            </w:pPr>
          </w:p>
        </w:tc>
      </w:tr>
      <w:tr>
        <w:trPr>
          <w:trHeight w:val="177"/>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7.125% senior notes due July 2028</w:t>
            </w:r>
          </w:p>
        </w:tc>
        <w:tc>
          <w:tcPr>
            <w:tcW w:w="1320" w:type="dxa"/>
            <w:vAlign w:val="bottom"/>
            <w:shd w:val="clear" w:color="auto" w:fill="CCECFF"/>
          </w:tcPr>
          <w:p>
            <w:pPr>
              <w:jc w:val="right"/>
              <w:ind w:right="1169"/>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100" w:type="dxa"/>
            <w:vAlign w:val="bottom"/>
            <w:shd w:val="clear" w:color="auto" w:fill="CCECFF"/>
          </w:tcPr>
          <w:p>
            <w:pPr>
              <w:spacing w:after="0"/>
              <w:rPr>
                <w:sz w:val="15"/>
                <w:szCs w:val="15"/>
                <w:color w:val="auto"/>
              </w:rPr>
            </w:pP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5.00% senior notes due March 2027</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00" w:type="dxa"/>
            <w:vAlign w:val="bottom"/>
          </w:tcPr>
          <w:p>
            <w:pPr>
              <w:spacing w:after="0"/>
              <w:rPr>
                <w:sz w:val="16"/>
                <w:szCs w:val="16"/>
                <w:color w:val="auto"/>
              </w:rPr>
            </w:pPr>
          </w:p>
        </w:tc>
      </w:tr>
      <w:tr>
        <w:trPr>
          <w:trHeight w:val="186"/>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8.25% senior notes due March 2027</w:t>
            </w:r>
          </w:p>
        </w:tc>
        <w:tc>
          <w:tcPr>
            <w:tcW w:w="132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shd w:val="clear" w:color="auto" w:fill="CCECFF"/>
          </w:tcPr>
          <w:p>
            <w:pPr>
              <w:spacing w:after="0"/>
              <w:rPr>
                <w:sz w:val="16"/>
                <w:szCs w:val="16"/>
                <w:color w:val="auto"/>
              </w:rPr>
            </w:pP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6.00% senior notes due June 2025</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1,300.0</w:t>
            </w:r>
          </w:p>
        </w:tc>
        <w:tc>
          <w:tcPr>
            <w:tcW w:w="100" w:type="dxa"/>
            <w:vAlign w:val="bottom"/>
          </w:tcPr>
          <w:p>
            <w:pPr>
              <w:spacing w:after="0"/>
              <w:rPr>
                <w:sz w:val="16"/>
                <w:szCs w:val="16"/>
                <w:color w:val="auto"/>
              </w:rPr>
            </w:pPr>
          </w:p>
        </w:tc>
      </w:tr>
      <w:tr>
        <w:trPr>
          <w:trHeight w:val="186"/>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4.75% senior secured notes due September 2029</w:t>
            </w:r>
          </w:p>
        </w:tc>
        <w:tc>
          <w:tcPr>
            <w:tcW w:w="132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1,250.0</w:t>
            </w:r>
          </w:p>
        </w:tc>
        <w:tc>
          <w:tcPr>
            <w:tcW w:w="2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1,250.0</w:t>
            </w:r>
          </w:p>
        </w:tc>
        <w:tc>
          <w:tcPr>
            <w:tcW w:w="100" w:type="dxa"/>
            <w:vAlign w:val="bottom"/>
            <w:shd w:val="clear" w:color="auto" w:fill="CCECFF"/>
          </w:tcPr>
          <w:p>
            <w:pPr>
              <w:spacing w:after="0"/>
              <w:rPr>
                <w:sz w:val="16"/>
                <w:szCs w:val="16"/>
                <w:color w:val="auto"/>
              </w:rPr>
            </w:pP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6.00% senior secured notes due March 2026</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00" w:type="dxa"/>
            <w:vAlign w:val="bottom"/>
          </w:tcPr>
          <w:p>
            <w:pPr>
              <w:spacing w:after="0"/>
              <w:rPr>
                <w:sz w:val="16"/>
                <w:szCs w:val="16"/>
                <w:color w:val="auto"/>
              </w:rPr>
            </w:pPr>
          </w:p>
        </w:tc>
      </w:tr>
      <w:tr>
        <w:trPr>
          <w:trHeight w:val="186"/>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Senior secured term loan due April 2026</w:t>
            </w:r>
          </w:p>
        </w:tc>
        <w:tc>
          <w:tcPr>
            <w:tcW w:w="132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3,120.0</w:t>
            </w:r>
          </w:p>
        </w:tc>
        <w:tc>
          <w:tcPr>
            <w:tcW w:w="2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3,128.0</w:t>
            </w:r>
          </w:p>
        </w:tc>
        <w:tc>
          <w:tcPr>
            <w:tcW w:w="100" w:type="dxa"/>
            <w:vAlign w:val="bottom"/>
            <w:shd w:val="clear" w:color="auto" w:fill="CCECFF"/>
          </w:tcPr>
          <w:p>
            <w:pPr>
              <w:spacing w:after="0"/>
              <w:rPr>
                <w:sz w:val="16"/>
                <w:szCs w:val="16"/>
                <w:color w:val="auto"/>
              </w:rPr>
            </w:pP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revolving credit facility</w:t>
            </w:r>
          </w:p>
        </w:tc>
        <w:tc>
          <w:tcPr>
            <w:tcW w:w="132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77"/>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Total principal amount of debt</w:t>
            </w:r>
          </w:p>
        </w:tc>
        <w:tc>
          <w:tcPr>
            <w:tcW w:w="1320" w:type="dxa"/>
            <w:vAlign w:val="bottom"/>
            <w:tcBorders>
              <w:top w:val="single" w:sz="8" w:color="auto"/>
            </w:tcBorders>
            <w:shd w:val="clear" w:color="auto" w:fill="CCECFF"/>
          </w:tcPr>
          <w:p>
            <w:pPr>
              <w:jc w:val="right"/>
              <w:ind w:right="1169"/>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9,620.0</w:t>
            </w:r>
          </w:p>
        </w:tc>
        <w:tc>
          <w:tcPr>
            <w:tcW w:w="260" w:type="dxa"/>
            <w:vAlign w:val="bottom"/>
            <w:shd w:val="clear" w:color="auto" w:fill="CCECFF"/>
          </w:tcPr>
          <w:p>
            <w:pPr>
              <w:spacing w:after="0"/>
              <w:rPr>
                <w:sz w:val="15"/>
                <w:szCs w:val="15"/>
                <w:color w:val="auto"/>
              </w:rPr>
            </w:pPr>
          </w:p>
        </w:tc>
        <w:tc>
          <w:tcPr>
            <w:tcW w:w="340" w:type="dxa"/>
            <w:vAlign w:val="bottom"/>
            <w:tcBorders>
              <w:top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9,628.0</w:t>
            </w:r>
          </w:p>
        </w:tc>
        <w:tc>
          <w:tcPr>
            <w:tcW w:w="100" w:type="dxa"/>
            <w:vAlign w:val="bottom"/>
            <w:shd w:val="clear" w:color="auto" w:fill="CCECFF"/>
          </w:tcPr>
          <w:p>
            <w:pPr>
              <w:spacing w:after="0"/>
              <w:rPr>
                <w:sz w:val="15"/>
                <w:szCs w:val="15"/>
                <w:color w:val="auto"/>
              </w:rPr>
            </w:pP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Less: Original issue discount, net of amortization</w:t>
            </w:r>
          </w:p>
        </w:tc>
        <w:tc>
          <w:tcPr>
            <w:tcW w:w="13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(19.2 )</w:t>
            </w:r>
          </w:p>
        </w:tc>
        <w:tc>
          <w:tcPr>
            <w:tcW w:w="340" w:type="dxa"/>
            <w:vAlign w:val="bottom"/>
          </w:tcPr>
          <w:p>
            <w:pPr>
              <w:spacing w:after="0"/>
              <w:rPr>
                <w:sz w:val="16"/>
                <w:szCs w:val="16"/>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(20.3 )</w:t>
            </w:r>
          </w:p>
        </w:tc>
      </w:tr>
      <w:tr>
        <w:trPr>
          <w:trHeight w:val="186"/>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Less: Debt issuance costs, net of amortization</w:t>
            </w:r>
          </w:p>
        </w:tc>
        <w:tc>
          <w:tcPr>
            <w:tcW w:w="132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(92.5 )</w:t>
            </w:r>
          </w:p>
        </w:tc>
        <w:tc>
          <w:tcPr>
            <w:tcW w:w="340" w:type="dxa"/>
            <w:vAlign w:val="bottom"/>
            <w:shd w:val="clear" w:color="auto" w:fill="CCECFF"/>
          </w:tcPr>
          <w:p>
            <w:pPr>
              <w:spacing w:after="0"/>
              <w:rPr>
                <w:sz w:val="16"/>
                <w:szCs w:val="16"/>
                <w:color w:val="auto"/>
              </w:rPr>
            </w:pPr>
          </w:p>
        </w:tc>
        <w:tc>
          <w:tcPr>
            <w:tcW w:w="1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5"/>
                <w:szCs w:val="15"/>
                <w:color w:val="auto"/>
              </w:rPr>
              <w:t>(97.2 )</w:t>
            </w: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Less: Current portion</w:t>
            </w:r>
          </w:p>
        </w:tc>
        <w:tc>
          <w:tcPr>
            <w:tcW w:w="13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(32.0 )</w:t>
            </w:r>
          </w:p>
        </w:tc>
        <w:tc>
          <w:tcPr>
            <w:tcW w:w="340" w:type="dxa"/>
            <w:vAlign w:val="bottom"/>
          </w:tcPr>
          <w:p>
            <w:pPr>
              <w:spacing w:after="0"/>
              <w:rPr>
                <w:sz w:val="16"/>
                <w:szCs w:val="16"/>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(32.0 )</w:t>
            </w:r>
          </w:p>
        </w:tc>
      </w:tr>
      <w:tr>
        <w:trPr>
          <w:trHeight w:val="217"/>
        </w:trPr>
        <w:tc>
          <w:tcPr>
            <w:tcW w:w="58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Total long-term debt</w:t>
            </w:r>
          </w:p>
        </w:tc>
        <w:tc>
          <w:tcPr>
            <w:tcW w:w="1320" w:type="dxa"/>
            <w:vAlign w:val="bottom"/>
            <w:tcBorders>
              <w:top w:val="single" w:sz="8" w:color="auto"/>
              <w:bottom w:val="single" w:sz="8" w:color="auto"/>
            </w:tcBorders>
            <w:shd w:val="clear" w:color="auto" w:fill="CCECFF"/>
          </w:tcPr>
          <w:p>
            <w:pPr>
              <w:jc w:val="right"/>
              <w:ind w:right="1169"/>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9,476.3</w:t>
            </w:r>
          </w:p>
        </w:tc>
        <w:tc>
          <w:tcPr>
            <w:tcW w:w="26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top w:val="single" w:sz="8" w:color="auto"/>
              <w:bottom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9,478.5</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-21590</wp:posOffset>
            </wp:positionV>
            <wp:extent cx="590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-6985</wp:posOffset>
            </wp:positionV>
            <wp:extent cx="590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-21590</wp:posOffset>
            </wp:positionV>
            <wp:extent cx="590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-6985</wp:posOffset>
            </wp:positionV>
            <wp:extent cx="590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055" cy="762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Note 7 in the Notes to Consolidated Financial Statements in the 2021 Annual Report for additional information on the terms and conditions of the Company’s debt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Senior Secured Credit Facilities</w:t>
      </w:r>
    </w:p>
    <w:p>
      <w:pPr>
        <w:spacing w:after="0" w:line="9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5"/>
          <w:szCs w:val="15"/>
          <w:color w:val="auto"/>
        </w:rPr>
        <w:t>During the three months ended March 31, 2022, the Company borrowed and repaid $85.0 million under the Revolving Credit Facility. As of March 31, 2022, the Company had no outstanding borrowings under the Revolving Credit Facility and had availability of $715.6 million, after giving effect to borrowing base limitations and outstanding letters of credit.</w:t>
      </w:r>
    </w:p>
    <w:p>
      <w:pPr>
        <w:spacing w:after="0" w:line="13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5"/>
          <w:szCs w:val="15"/>
          <w:color w:val="auto"/>
        </w:rPr>
        <w:t>During the three months ended March 31, 2022, the Company made quarterly scheduled amortization payments totaling $8.0 million on the senior secured term loan due in 2026 (the 2026 Term Loan). The current portion of long-term debt reflects $32.0 million of repayments due under the 2026 Term Loan.</w:t>
      </w:r>
    </w:p>
    <w:p>
      <w:pPr>
        <w:spacing w:after="0" w:line="120" w:lineRule="exact"/>
        <w:rPr>
          <w:sz w:val="20"/>
          <w:szCs w:val="20"/>
          <w:color w:val="auto"/>
        </w:rPr>
      </w:pPr>
    </w:p>
    <w:p>
      <w:pPr>
        <w:jc w:val="both"/>
        <w:ind w:right="340"/>
        <w:spacing w:after="0" w:line="280" w:lineRule="auto"/>
        <w:rPr>
          <w:sz w:val="20"/>
          <w:szCs w:val="20"/>
          <w:color w:val="auto"/>
        </w:rPr>
      </w:pPr>
      <w:r>
        <w:rPr>
          <w:rFonts w:ascii="Times New Roman" w:cs="Times New Roman" w:eastAsia="Times New Roman" w:hAnsi="Times New Roman"/>
          <w:sz w:val="15"/>
          <w:szCs w:val="15"/>
          <w:color w:val="auto"/>
        </w:rPr>
        <w:t>The Company did not reflect any portion of the 2026 Term Loan as a current portion of long-term debt as of March 31, 2022 related to the potentially required excess cash flow payment because the amount that may be payable in 2023, if any, cannot currently be reliably estimated. There is no excess cash flow payment required in 2022 related to 2021.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Matters</w:t>
      </w:r>
    </w:p>
    <w:p>
      <w:pPr>
        <w:spacing w:after="0" w:line="98"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5"/>
          <w:szCs w:val="15"/>
          <w:color w:val="auto"/>
        </w:rPr>
        <w:t>The Company’s non-guarantor subsidiaries held $2,986 million, or 23%, of total assets and $1,075 million, or 9%, of total liabilities as of March 31, 2022 and accounted for $670 million, or 30% of net sales for the three months ended March 31, 2022. As of December 31, 2021, the non-guarantor subsidiaries held $3,143 million, or 24%, of total assets and $1,077 million, or 9%, of total liabilities. For the three months ended March 31, 2021, the non-guarantor subsidiaries accounted for $618 million, or 30% of net sales. All amounts presented exclude intercompany balances.</w:t>
      </w:r>
    </w:p>
    <w:p>
      <w:pPr>
        <w:spacing w:after="0" w:line="146"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5"/>
          <w:szCs w:val="15"/>
          <w:color w:val="auto"/>
        </w:rPr>
        <w:t>The weighted average effective interest rate on outstanding borrowings, including the impact of the interest rate swap, and the amortization of debt issuance costs and original issue discount, was 5.77% and 5.74% as of March 31, 2022 and December 31, 2021, respectively.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FAIR VALUE MEASUREMENTS</w:t>
      </w:r>
    </w:p>
    <w:p>
      <w:pPr>
        <w:spacing w:after="0" w:line="11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The Company’s financial instruments consist primarily of cash and cash equivalents, trade receivables, trade payables, debt instruments, interest rate derivatives and foreign currency contracts. For cash and cash equivalents, trade receivables and trade payables, the carrying amounts of these financial instruments as of March 31, 2022 and December 31, 2021 were considered representative of their fair values due to their short terms to maturity. The fair values of the Company’s debt instruments, interest rate derivatives and foreign currency contracts were based on indicative quotes.</w:t>
      </w:r>
    </w:p>
    <w:p>
      <w:pPr>
        <w:spacing w:after="0" w:line="146"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5"/>
          <w:szCs w:val="15"/>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31"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5"/>
          <w:szCs w:val="15"/>
          <w:color w:val="auto"/>
        </w:rPr>
        <w:t>The carrying amounts, estimated fair values and valuation input levels of the Company’s debt instruments, interest rate derivatives and foreign currency contracts as of March 31, 2022 and December 31, 2021,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right"/>
              <w:ind w:right="664"/>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226"/>
              <w:spacing w:after="0" w:line="12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166"/>
              <w:spacing w:after="0" w:line="12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Valuation</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0" w:type="dxa"/>
            <w:vAlign w:val="bottom"/>
          </w:tcPr>
          <w:p>
            <w:pPr>
              <w:spacing w:after="0"/>
              <w:rPr>
                <w:sz w:val="1"/>
                <w:szCs w:val="1"/>
                <w:color w:val="auto"/>
              </w:rPr>
            </w:pPr>
          </w:p>
        </w:tc>
      </w:tr>
      <w:tr>
        <w:trPr>
          <w:trHeight w:val="177"/>
        </w:trPr>
        <w:tc>
          <w:tcPr>
            <w:tcW w:w="53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Assets:</w:t>
            </w:r>
          </w:p>
        </w:tc>
        <w:tc>
          <w:tcPr>
            <w:tcW w:w="20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Foreign currency contracts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20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7.125% senior notes due 2028</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619.5</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690.4</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5.00% senior notes due 2027</w:t>
            </w:r>
          </w:p>
        </w:tc>
        <w:tc>
          <w:tcPr>
            <w:tcW w:w="20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2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651.3</w:t>
            </w:r>
          </w:p>
        </w:tc>
        <w:tc>
          <w:tcPr>
            <w:tcW w:w="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705.0</w:t>
            </w:r>
          </w:p>
        </w:tc>
        <w:tc>
          <w:tcPr>
            <w:tcW w:w="220" w:type="dxa"/>
            <w:vAlign w:val="bottom"/>
            <w:shd w:val="clear" w:color="auto" w:fill="CCECFF"/>
          </w:tcPr>
          <w:p>
            <w:pPr>
              <w:spacing w:after="0"/>
              <w:rPr>
                <w:sz w:val="16"/>
                <w:szCs w:val="16"/>
                <w:color w:val="auto"/>
              </w:rPr>
            </w:pP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8.25% senior notes due 2027</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1,023.8</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6.00% senior notes due 2025</w:t>
            </w:r>
          </w:p>
        </w:tc>
        <w:tc>
          <w:tcPr>
            <w:tcW w:w="20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1,300.0</w:t>
            </w:r>
          </w:p>
        </w:tc>
        <w:tc>
          <w:tcPr>
            <w:tcW w:w="2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1,241.5</w:t>
            </w:r>
          </w:p>
        </w:tc>
        <w:tc>
          <w:tcPr>
            <w:tcW w:w="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1,300.0</w:t>
            </w: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1,300.0</w:t>
            </w:r>
          </w:p>
        </w:tc>
        <w:tc>
          <w:tcPr>
            <w:tcW w:w="220" w:type="dxa"/>
            <w:vAlign w:val="bottom"/>
            <w:shd w:val="clear" w:color="auto" w:fill="CCECFF"/>
          </w:tcPr>
          <w:p>
            <w:pPr>
              <w:spacing w:after="0"/>
              <w:rPr>
                <w:sz w:val="16"/>
                <w:szCs w:val="16"/>
                <w:color w:val="auto"/>
              </w:rPr>
            </w:pP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4.75% senior secured notes due 2029</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1,240.3</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6.00% senior secured notes due 2026</w:t>
            </w:r>
          </w:p>
        </w:tc>
        <w:tc>
          <w:tcPr>
            <w:tcW w:w="20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2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1,513.6</w:t>
            </w:r>
          </w:p>
        </w:tc>
        <w:tc>
          <w:tcPr>
            <w:tcW w:w="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1,554.4</w:t>
            </w:r>
          </w:p>
        </w:tc>
        <w:tc>
          <w:tcPr>
            <w:tcW w:w="220" w:type="dxa"/>
            <w:vAlign w:val="bottom"/>
            <w:shd w:val="clear" w:color="auto" w:fill="CCECFF"/>
          </w:tcPr>
          <w:p>
            <w:pPr>
              <w:spacing w:after="0"/>
              <w:rPr>
                <w:sz w:val="16"/>
                <w:szCs w:val="16"/>
                <w:color w:val="auto"/>
              </w:rPr>
            </w:pP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Senior secured term loan due 2026</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3,038.1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3,128.0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3,092.8</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186"/>
        </w:trPr>
        <w:tc>
          <w:tcPr>
            <w:tcW w:w="53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5"/>
                <w:szCs w:val="15"/>
                <w:color w:val="auto"/>
              </w:rPr>
              <w:t>Foreign currency contracts</w:t>
            </w:r>
          </w:p>
        </w:tc>
        <w:tc>
          <w:tcPr>
            <w:tcW w:w="20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20" w:type="dxa"/>
            <w:vAlign w:val="bottom"/>
            <w:shd w:val="clear" w:color="auto" w:fill="CCECFF"/>
          </w:tcPr>
          <w:p>
            <w:pPr>
              <w:spacing w:after="0"/>
              <w:rPr>
                <w:sz w:val="16"/>
                <w:szCs w:val="16"/>
                <w:color w:val="auto"/>
              </w:rPr>
            </w:pP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r>
        <w:trPr>
          <w:trHeight w:val="200"/>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Interest rate swap contracts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560"/>
        <w:spacing w:after="0" w:line="269" w:lineRule="auto"/>
        <w:rPr>
          <w:sz w:val="20"/>
          <w:szCs w:val="20"/>
          <w:color w:val="auto"/>
        </w:rPr>
      </w:pPr>
      <w:r>
        <w:rPr>
          <w:rFonts w:ascii="Times New Roman" w:cs="Times New Roman" w:eastAsia="Times New Roman" w:hAnsi="Times New Roman"/>
          <w:sz w:val="15"/>
          <w:szCs w:val="15"/>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SEGMENTS AND GEOGRAPHIC INFORMATION</w:t>
      </w:r>
    </w:p>
    <w:p>
      <w:pPr>
        <w:spacing w:after="0" w:line="11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5"/>
          <w:szCs w:val="15"/>
          <w:color w:val="auto"/>
        </w:rPr>
        <w:t>As of January 1, 2022, the Company reorganized its internal management and reporting structure to align its portfolio of products and solutions more closely with the markets it serves and bring better performance clarity with its competitive peer set. The reorganization changed the information regularly reviewed by the Company’s chief operating decision maker for purposes of allocating resources and assessing performance. As a result, the Company is now reporting financial performance based on the following operating segments: CCS, OWN, NICS, ANS and Home. All prior period amounts below have been recast to reflect these operating segment changes.</w:t>
      </w:r>
    </w:p>
    <w:p>
      <w:pPr>
        <w:spacing w:after="0" w:line="14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5"/>
          <w:szCs w:val="15"/>
          <w:color w:val="auto"/>
        </w:rPr>
        <w:t>The Connectivity and Cable Solutions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spacing w:after="0" w:line="151" w:lineRule="exact"/>
        <w:rPr>
          <w:sz w:val="20"/>
          <w:szCs w:val="20"/>
          <w:color w:val="auto"/>
        </w:rPr>
      </w:pPr>
    </w:p>
    <w:p>
      <w:pPr>
        <w:ind w:right="700"/>
        <w:spacing w:after="0" w:line="296" w:lineRule="auto"/>
        <w:rPr>
          <w:sz w:val="20"/>
          <w:szCs w:val="20"/>
          <w:color w:val="auto"/>
        </w:rPr>
      </w:pPr>
      <w:r>
        <w:rPr>
          <w:rFonts w:ascii="Times New Roman" w:cs="Times New Roman" w:eastAsia="Times New Roman" w:hAnsi="Times New Roman"/>
          <w:sz w:val="15"/>
          <w:szCs w:val="15"/>
          <w:color w:val="auto"/>
        </w:rPr>
        <w:t>The Outdoor Wireless Networks (OWN) segment focuses on the macro and metro cell markets. The segment includes base station antennas, RF filters, tower connectivity, microwave antennas, metro cell products, cabinets, steel, accessories and Comsearch.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4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The Networking, Intelligent Cellular and Security Solutions (NICS) segment provides wireless networks for enterprises and service providers. Product offerings include indoor and outdoor Wi-Fi and LTE access points, access and aggregation switches; an Internet of Things suite, on-premises and cloud-based control and management systems; and software and software-as-a-service applications addressing security, location, reporting and analytics.</w:t>
      </w:r>
    </w:p>
    <w:p>
      <w:pPr>
        <w:spacing w:after="0" w:line="13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 The portfolio also includes a full suite of global services that offer technical support, professional services and system integration to enable solutions sales of the Company’s end-to-end product portfolio.</w:t>
      </w:r>
    </w:p>
    <w:p>
      <w:pPr>
        <w:spacing w:after="0" w:line="13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5"/>
          <w:szCs w:val="15"/>
          <w:color w:val="auto"/>
        </w:rPr>
        <w:t>The Home Networks (Home) segment includes subscriber-based solutions that support broadband and video applications. The broadband offerings in the Home segment include devices that provide residential connectivity to a service provider’s network, such as digital subscriber line and cable modems and telephony and data gateways which incorporate routing and Wi-Fi functionality. Video offerings include set top boxes that support cable, satellite and IP television content delivery and include products such as digital video recorders, high definition set top boxes and hybrid set top devices.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summary financial information by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jc w:val="center"/>
              <w:ind w:left="61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120" w:type="dxa"/>
            <w:vAlign w:val="bottom"/>
          </w:tcPr>
          <w:p>
            <w:pPr>
              <w:spacing w:after="0"/>
              <w:rPr>
                <w:sz w:val="12"/>
                <w:szCs w:val="12"/>
                <w:color w:val="auto"/>
              </w:rPr>
            </w:pPr>
          </w:p>
        </w:tc>
      </w:tr>
      <w:tr>
        <w:trPr>
          <w:trHeight w:val="161"/>
        </w:trPr>
        <w:tc>
          <w:tcPr>
            <w:tcW w:w="11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440" w:type="dxa"/>
            <w:vAlign w:val="bottom"/>
            <w:gridSpan w:val="2"/>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jc w:val="right"/>
              <w:ind w:right="92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120" w:type="dxa"/>
            <w:vAlign w:val="bottom"/>
          </w:tcPr>
          <w:p>
            <w:pPr>
              <w:spacing w:after="0"/>
              <w:rPr>
                <w:sz w:val="13"/>
                <w:szCs w:val="13"/>
                <w:color w:val="auto"/>
              </w:rPr>
            </w:pPr>
          </w:p>
        </w:tc>
      </w:tr>
      <w:tr>
        <w:trPr>
          <w:trHeight w:val="177"/>
        </w:trPr>
        <w:tc>
          <w:tcPr>
            <w:tcW w:w="1120" w:type="dxa"/>
            <w:vAlign w:val="bottom"/>
          </w:tcPr>
          <w:p>
            <w:pPr>
              <w:spacing w:after="0"/>
              <w:rPr>
                <w:sz w:val="15"/>
                <w:szCs w:val="15"/>
                <w:color w:val="auto"/>
              </w:rPr>
            </w:pPr>
          </w:p>
        </w:tc>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Identifiable segment-related assets:</w:t>
            </w:r>
          </w:p>
        </w:tc>
        <w:tc>
          <w:tcPr>
            <w:tcW w:w="980" w:type="dxa"/>
            <w:vAlign w:val="bottom"/>
            <w:shd w:val="clear" w:color="auto" w:fill="CCECFF"/>
          </w:tcPr>
          <w:p>
            <w:pPr>
              <w:spacing w:after="0"/>
              <w:rPr>
                <w:sz w:val="15"/>
                <w:szCs w:val="15"/>
                <w:color w:val="auto"/>
              </w:rPr>
            </w:pPr>
          </w:p>
        </w:tc>
        <w:tc>
          <w:tcPr>
            <w:tcW w:w="1460" w:type="dxa"/>
            <w:vAlign w:val="bottom"/>
            <w:tcBorders>
              <w:top w:val="single" w:sz="8" w:color="auto"/>
            </w:tcBorders>
            <w:shd w:val="clear" w:color="auto" w:fill="CCECFF"/>
          </w:tcPr>
          <w:p>
            <w:pPr>
              <w:spacing w:after="0"/>
              <w:rPr>
                <w:sz w:val="15"/>
                <w:szCs w:val="15"/>
                <w:color w:val="auto"/>
              </w:rPr>
            </w:pPr>
          </w:p>
        </w:tc>
        <w:tc>
          <w:tcPr>
            <w:tcW w:w="680" w:type="dxa"/>
            <w:vAlign w:val="bottom"/>
            <w:tcBorders>
              <w:top w:val="single" w:sz="8" w:color="auto"/>
            </w:tcBorders>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80" w:type="dxa"/>
            <w:vAlign w:val="bottom"/>
            <w:tcBorders>
              <w:top w:val="single" w:sz="8" w:color="auto"/>
            </w:tcBorders>
            <w:shd w:val="clear" w:color="auto" w:fill="CCECFF"/>
          </w:tcPr>
          <w:p>
            <w:pPr>
              <w:spacing w:after="0"/>
              <w:rPr>
                <w:sz w:val="15"/>
                <w:szCs w:val="15"/>
                <w:color w:val="auto"/>
              </w:rPr>
            </w:pPr>
          </w:p>
        </w:tc>
        <w:tc>
          <w:tcPr>
            <w:tcW w:w="1800" w:type="dxa"/>
            <w:vAlign w:val="bottom"/>
            <w:tcBorders>
              <w:top w:val="single" w:sz="8" w:color="auto"/>
              <w:right w:val="single" w:sz="8" w:color="CCECFF"/>
            </w:tcBorders>
            <w:shd w:val="clear" w:color="auto" w:fill="CCECFF"/>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CCS</w:t>
            </w:r>
          </w:p>
        </w:tc>
        <w:tc>
          <w:tcPr>
            <w:tcW w:w="2440" w:type="dxa"/>
            <w:vAlign w:val="bottom"/>
            <w:gridSpan w:val="2"/>
          </w:tcPr>
          <w:p>
            <w:pPr>
              <w:jc w:val="center"/>
              <w:ind w:right="33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4,402.1</w:t>
            </w:r>
          </w:p>
        </w:tc>
        <w:tc>
          <w:tcPr>
            <w:tcW w:w="64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4,377.2</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4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5"/>
                <w:szCs w:val="15"/>
                <w:color w:val="auto"/>
              </w:rPr>
              <w:t>OWN</w:t>
            </w:r>
          </w:p>
        </w:tc>
        <w:tc>
          <w:tcPr>
            <w:tcW w:w="980" w:type="dxa"/>
            <w:vAlign w:val="bottom"/>
            <w:shd w:val="clear" w:color="auto" w:fill="CCECFF"/>
          </w:tcPr>
          <w:p>
            <w:pPr>
              <w:spacing w:after="0"/>
              <w:rPr>
                <w:sz w:val="16"/>
                <w:szCs w:val="16"/>
                <w:color w:val="auto"/>
              </w:rPr>
            </w:pPr>
          </w:p>
        </w:tc>
        <w:tc>
          <w:tcPr>
            <w:tcW w:w="1460" w:type="dxa"/>
            <w:vAlign w:val="bottom"/>
            <w:shd w:val="clear" w:color="auto" w:fill="CCECFF"/>
          </w:tcPr>
          <w:p>
            <w:pPr>
              <w:spacing w:after="0"/>
              <w:rPr>
                <w:sz w:val="16"/>
                <w:szCs w:val="16"/>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1,393.8</w:t>
            </w:r>
          </w:p>
        </w:tc>
        <w:tc>
          <w:tcPr>
            <w:tcW w:w="26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800" w:type="dxa"/>
            <w:vAlign w:val="bottom"/>
            <w:tcBorders>
              <w:right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5"/>
                <w:szCs w:val="15"/>
                <w:color w:val="auto"/>
              </w:rPr>
              <w:t>1,386.5</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NICS</w:t>
            </w: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1,323.9</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1,397.0</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4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5"/>
                <w:szCs w:val="15"/>
                <w:color w:val="auto"/>
              </w:rPr>
              <w:t>ANS</w:t>
            </w:r>
          </w:p>
        </w:tc>
        <w:tc>
          <w:tcPr>
            <w:tcW w:w="980" w:type="dxa"/>
            <w:vAlign w:val="bottom"/>
            <w:shd w:val="clear" w:color="auto" w:fill="CCECFF"/>
          </w:tcPr>
          <w:p>
            <w:pPr>
              <w:spacing w:after="0"/>
              <w:rPr>
                <w:sz w:val="16"/>
                <w:szCs w:val="16"/>
                <w:color w:val="auto"/>
              </w:rPr>
            </w:pPr>
          </w:p>
        </w:tc>
        <w:tc>
          <w:tcPr>
            <w:tcW w:w="1460" w:type="dxa"/>
            <w:vAlign w:val="bottom"/>
            <w:shd w:val="clear" w:color="auto" w:fill="CCECFF"/>
          </w:tcPr>
          <w:p>
            <w:pPr>
              <w:spacing w:after="0"/>
              <w:rPr>
                <w:sz w:val="16"/>
                <w:szCs w:val="16"/>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3,792.1</w:t>
            </w:r>
          </w:p>
        </w:tc>
        <w:tc>
          <w:tcPr>
            <w:tcW w:w="26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800" w:type="dxa"/>
            <w:vAlign w:val="bottom"/>
            <w:tcBorders>
              <w:right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5"/>
                <w:szCs w:val="15"/>
                <w:color w:val="auto"/>
              </w:rPr>
              <w:t>3,831.9</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Home</w:t>
            </w:r>
          </w:p>
        </w:tc>
        <w:tc>
          <w:tcPr>
            <w:tcW w:w="9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1,477.6</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1,479.5</w:t>
            </w:r>
          </w:p>
        </w:tc>
        <w:tc>
          <w:tcPr>
            <w:tcW w:w="1120" w:type="dxa"/>
            <w:vAlign w:val="bottom"/>
          </w:tcPr>
          <w:p>
            <w:pPr>
              <w:spacing w:after="0"/>
              <w:rPr>
                <w:sz w:val="16"/>
                <w:szCs w:val="16"/>
                <w:color w:val="auto"/>
              </w:rPr>
            </w:pPr>
          </w:p>
        </w:tc>
      </w:tr>
      <w:tr>
        <w:trPr>
          <w:trHeight w:val="177"/>
        </w:trPr>
        <w:tc>
          <w:tcPr>
            <w:tcW w:w="1120" w:type="dxa"/>
            <w:vAlign w:val="bottom"/>
          </w:tcPr>
          <w:p>
            <w:pPr>
              <w:spacing w:after="0"/>
              <w:rPr>
                <w:sz w:val="15"/>
                <w:szCs w:val="15"/>
                <w:color w:val="auto"/>
              </w:rPr>
            </w:pPr>
          </w:p>
        </w:tc>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Total identifiable segment-related assets</w:t>
            </w:r>
          </w:p>
        </w:tc>
        <w:tc>
          <w:tcPr>
            <w:tcW w:w="98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12,389.5</w:t>
            </w:r>
          </w:p>
        </w:tc>
        <w:tc>
          <w:tcPr>
            <w:tcW w:w="2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00" w:type="dxa"/>
            <w:vAlign w:val="bottom"/>
            <w:tcBorders>
              <w:right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5"/>
                <w:szCs w:val="15"/>
                <w:color w:val="auto"/>
              </w:rPr>
              <w:t>12,472.1</w:t>
            </w:r>
          </w:p>
        </w:tc>
        <w:tc>
          <w:tcPr>
            <w:tcW w:w="1120" w:type="dxa"/>
            <w:vAlign w:val="bottom"/>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Reconciliation to total assets:</w:t>
            </w: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4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80" w:type="dxa"/>
            <w:vAlign w:val="bottom"/>
            <w:shd w:val="clear" w:color="auto" w:fill="CCECFF"/>
          </w:tcPr>
          <w:p>
            <w:pPr>
              <w:spacing w:after="0"/>
              <w:rPr>
                <w:sz w:val="16"/>
                <w:szCs w:val="16"/>
                <w:color w:val="auto"/>
              </w:rPr>
            </w:pPr>
          </w:p>
        </w:tc>
        <w:tc>
          <w:tcPr>
            <w:tcW w:w="1460" w:type="dxa"/>
            <w:vAlign w:val="bottom"/>
            <w:shd w:val="clear" w:color="auto" w:fill="CCECFF"/>
          </w:tcPr>
          <w:p>
            <w:pPr>
              <w:spacing w:after="0"/>
              <w:rPr>
                <w:sz w:val="16"/>
                <w:szCs w:val="16"/>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314.7</w:t>
            </w:r>
          </w:p>
        </w:tc>
        <w:tc>
          <w:tcPr>
            <w:tcW w:w="26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800" w:type="dxa"/>
            <w:vAlign w:val="bottom"/>
            <w:tcBorders>
              <w:right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5"/>
                <w:szCs w:val="15"/>
                <w:color w:val="auto"/>
              </w:rPr>
              <w:t>360.3</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income tax assets</w:t>
            </w:r>
          </w:p>
        </w:tc>
        <w:tc>
          <w:tcPr>
            <w:tcW w:w="9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415.1</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427.1</w:t>
            </w:r>
          </w:p>
        </w:tc>
        <w:tc>
          <w:tcPr>
            <w:tcW w:w="1120" w:type="dxa"/>
            <w:vAlign w:val="bottom"/>
          </w:tcPr>
          <w:p>
            <w:pPr>
              <w:spacing w:after="0"/>
              <w:rPr>
                <w:sz w:val="16"/>
                <w:szCs w:val="16"/>
                <w:color w:val="auto"/>
              </w:rPr>
            </w:pPr>
          </w:p>
        </w:tc>
      </w:tr>
      <w:tr>
        <w:trPr>
          <w:trHeight w:val="217"/>
        </w:trPr>
        <w:tc>
          <w:tcPr>
            <w:tcW w:w="1120" w:type="dxa"/>
            <w:vAlign w:val="bottom"/>
          </w:tcPr>
          <w:p>
            <w:pPr>
              <w:spacing w:after="0"/>
              <w:rPr>
                <w:sz w:val="18"/>
                <w:szCs w:val="18"/>
                <w:color w:val="auto"/>
              </w:rPr>
            </w:pPr>
          </w:p>
        </w:tc>
        <w:tc>
          <w:tcPr>
            <w:tcW w:w="3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980" w:type="dxa"/>
            <w:vAlign w:val="bottom"/>
            <w:tcBorders>
              <w:bottom w:val="single" w:sz="8" w:color="CCECFF"/>
            </w:tcBorders>
            <w:shd w:val="clear" w:color="auto" w:fill="CCECFF"/>
          </w:tcPr>
          <w:p>
            <w:pPr>
              <w:spacing w:after="0"/>
              <w:rPr>
                <w:sz w:val="18"/>
                <w:szCs w:val="18"/>
                <w:color w:val="auto"/>
              </w:rPr>
            </w:pPr>
          </w:p>
        </w:tc>
        <w:tc>
          <w:tcPr>
            <w:tcW w:w="1460" w:type="dxa"/>
            <w:vAlign w:val="bottom"/>
            <w:tcBorders>
              <w:bottom w:val="single" w:sz="8" w:color="auto"/>
            </w:tcBorders>
            <w:shd w:val="clear" w:color="auto" w:fill="CCECFF"/>
          </w:tcPr>
          <w:p>
            <w:pPr>
              <w:jc w:val="center"/>
              <w:ind w:right="131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13,119.3</w:t>
            </w:r>
          </w:p>
        </w:tc>
        <w:tc>
          <w:tcPr>
            <w:tcW w:w="2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bottom w:val="single" w:sz="8" w:color="auto"/>
              <w:right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5"/>
                <w:szCs w:val="15"/>
                <w:color w:val="auto"/>
              </w:rPr>
              <w:t>13,259.5</w:t>
            </w:r>
          </w:p>
        </w:tc>
        <w:tc>
          <w:tcPr>
            <w:tcW w:w="1120" w:type="dxa"/>
            <w:vAlign w:val="bottom"/>
          </w:tcPr>
          <w:p>
            <w:pPr>
              <w:spacing w:after="0"/>
              <w:rPr>
                <w:sz w:val="18"/>
                <w:szCs w:val="18"/>
                <w:color w:val="auto"/>
              </w:rPr>
            </w:pPr>
          </w:p>
        </w:tc>
      </w:tr>
      <w:tr>
        <w:trPr>
          <w:trHeight w:val="520"/>
        </w:trPr>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40" w:type="dxa"/>
            <w:vAlign w:val="bottom"/>
            <w:gridSpan w:val="2"/>
          </w:tcPr>
          <w:p>
            <w:pPr>
              <w:jc w:val="center"/>
              <w:ind w:right="290"/>
              <w:spacing w:after="0"/>
              <w:rPr>
                <w:sz w:val="20"/>
                <w:szCs w:val="20"/>
                <w:color w:val="auto"/>
              </w:rPr>
            </w:pPr>
            <w:r>
              <w:rPr>
                <w:rFonts w:ascii="Times New Roman" w:cs="Times New Roman" w:eastAsia="Times New Roman" w:hAnsi="Times New Roman"/>
                <w:sz w:val="15"/>
                <w:szCs w:val="15"/>
                <w:color w:val="auto"/>
              </w:rPr>
              <w:t>16</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4"/>
        </w:trPr>
        <w:tc>
          <w:tcPr>
            <w:tcW w:w="11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-662305</wp:posOffset>
            </wp:positionV>
            <wp:extent cx="3683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-647700</wp:posOffset>
            </wp:positionV>
            <wp:extent cx="3683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-662305</wp:posOffset>
            </wp:positionV>
            <wp:extent cx="3683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-647700</wp:posOffset>
            </wp:positionV>
            <wp:extent cx="3683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4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5"/>
          <w:szCs w:val="15"/>
          <w:color w:val="auto"/>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net sales, adjusted EBITDA, depreciation expense and additions to property, plant and equipment by reportable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gridSpan w:val="3"/>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sales:</w:t>
            </w:r>
          </w:p>
        </w:tc>
        <w:tc>
          <w:tcPr>
            <w:tcW w:w="300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CCS</w:t>
            </w:r>
          </w:p>
        </w:tc>
        <w:tc>
          <w:tcPr>
            <w:tcW w:w="4100" w:type="dxa"/>
            <w:vAlign w:val="bottom"/>
            <w:gridSpan w:val="2"/>
          </w:tcPr>
          <w:p>
            <w:pPr>
              <w:jc w:val="right"/>
              <w:ind w:right="94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838.0</w:t>
            </w:r>
          </w:p>
        </w:tc>
        <w:tc>
          <w:tcPr>
            <w:tcW w:w="440" w:type="dxa"/>
            <w:vAlign w:val="bottom"/>
          </w:tcPr>
          <w:p>
            <w:pPr>
              <w:spacing w:after="0"/>
              <w:rPr>
                <w:sz w:val="16"/>
                <w:szCs w:val="16"/>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OWN</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390.1</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324.2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NICS</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188.0</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ANS</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316.8</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Home</w:t>
            </w:r>
          </w:p>
        </w:tc>
        <w:tc>
          <w:tcPr>
            <w:tcW w:w="30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495.7</w:t>
            </w:r>
          </w:p>
        </w:tc>
        <w:tc>
          <w:tcPr>
            <w:tcW w:w="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Consolidated net sales</w:t>
            </w:r>
          </w:p>
        </w:tc>
        <w:tc>
          <w:tcPr>
            <w:tcW w:w="3000" w:type="dxa"/>
            <w:vAlign w:val="bottom"/>
            <w:tcBorders>
              <w:bottom w:val="single" w:sz="8" w:color="CCECFF"/>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ind w:right="948"/>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2,228.6</w:t>
            </w:r>
          </w:p>
        </w:tc>
        <w:tc>
          <w:tcPr>
            <w:tcW w:w="440" w:type="dxa"/>
            <w:vAlign w:val="bottom"/>
            <w:tcBorders>
              <w:bottom w:val="single" w:sz="8" w:color="CCECFF"/>
            </w:tcBorders>
            <w:shd w:val="clear" w:color="auto" w:fill="CCECFF"/>
          </w:tcPr>
          <w:p>
            <w:pPr>
              <w:spacing w:after="0"/>
              <w:rPr>
                <w:sz w:val="18"/>
                <w:szCs w:val="18"/>
                <w:color w:val="auto"/>
              </w:rPr>
            </w:pPr>
          </w:p>
        </w:tc>
        <w:tc>
          <w:tcPr>
            <w:tcW w:w="440" w:type="dxa"/>
            <w:vAlign w:val="bottom"/>
            <w:tcBorders>
              <w:bottom w:val="single" w:sz="8" w:color="auto"/>
            </w:tcBorders>
            <w:shd w:val="clear" w:color="auto" w:fill="CCEC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2,072.0</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Segment adjusted EBITDA:</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CCS</w:t>
            </w:r>
          </w:p>
        </w:tc>
        <w:tc>
          <w:tcPr>
            <w:tcW w:w="4100" w:type="dxa"/>
            <w:vAlign w:val="bottom"/>
            <w:gridSpan w:val="2"/>
          </w:tcPr>
          <w:p>
            <w:pPr>
              <w:jc w:val="right"/>
              <w:ind w:right="94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440" w:type="dxa"/>
            <w:vAlign w:val="bottom"/>
          </w:tcPr>
          <w:p>
            <w:pPr>
              <w:spacing w:after="0"/>
              <w:rPr>
                <w:sz w:val="16"/>
                <w:szCs w:val="16"/>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OWN</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NICS</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(13.8 )</w:t>
            </w:r>
          </w:p>
        </w:tc>
        <w:tc>
          <w:tcPr>
            <w:tcW w:w="4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(17.4 )</w:t>
            </w: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ANS</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Home</w:t>
            </w:r>
          </w:p>
        </w:tc>
        <w:tc>
          <w:tcPr>
            <w:tcW w:w="30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5"/>
                <w:szCs w:val="15"/>
                <w:color w:val="auto"/>
              </w:rPr>
              <w:t>Total segment adjusted EBITDA</w:t>
            </w:r>
          </w:p>
        </w:tc>
        <w:tc>
          <w:tcPr>
            <w:tcW w:w="300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253.3</w:t>
            </w:r>
          </w:p>
        </w:tc>
        <w:tc>
          <w:tcPr>
            <w:tcW w:w="44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289.7</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(140.7 )</w:t>
            </w:r>
          </w:p>
        </w:tc>
        <w:tc>
          <w:tcPr>
            <w:tcW w:w="4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(154.7 )</w:t>
            </w: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Restructuring costs, net</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5"/>
                <w:szCs w:val="15"/>
                <w:color w:val="auto"/>
              </w:rPr>
              <w:t>(12.1 )</w:t>
            </w:r>
          </w:p>
        </w:tc>
        <w:tc>
          <w:tcPr>
            <w:tcW w:w="4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(44.4 )</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(16.5 )</w:t>
            </w:r>
          </w:p>
        </w:tc>
        <w:tc>
          <w:tcPr>
            <w:tcW w:w="4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(23.5 )</w:t>
            </w: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Transaction, transformation and integration costs</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5"/>
                <w:szCs w:val="15"/>
                <w:color w:val="auto"/>
              </w:rPr>
              <w:t>(15.6 )</w:t>
            </w:r>
          </w:p>
        </w:tc>
        <w:tc>
          <w:tcPr>
            <w:tcW w:w="4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(15.7 )</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Acquisition accounting adjustments</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(2.0 )</w:t>
            </w:r>
          </w:p>
        </w:tc>
        <w:tc>
          <w:tcPr>
            <w:tcW w:w="4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(3.3 )</w:t>
            </w: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Patent claims and litigation settlements</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5"/>
                <w:szCs w:val="15"/>
                <w:color w:val="auto"/>
              </w:rPr>
              <w:t>(1.2 )</w:t>
            </w:r>
          </w:p>
        </w:tc>
        <w:tc>
          <w:tcPr>
            <w:tcW w:w="4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(1.5 )</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Reserve for Russian accounts receivable</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(5.4 )</w:t>
            </w:r>
          </w:p>
        </w:tc>
        <w:tc>
          <w:tcPr>
            <w:tcW w:w="4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Depreciation</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5"/>
                <w:szCs w:val="15"/>
                <w:color w:val="auto"/>
              </w:rPr>
              <w:t>(33.0 )</w:t>
            </w:r>
          </w:p>
        </w:tc>
        <w:tc>
          <w:tcPr>
            <w:tcW w:w="4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(37.7 )</w:t>
            </w:r>
          </w:p>
        </w:tc>
        <w:tc>
          <w:tcPr>
            <w:tcW w:w="0" w:type="dxa"/>
            <w:vAlign w:val="bottom"/>
          </w:tcPr>
          <w:p>
            <w:pPr>
              <w:spacing w:after="0"/>
              <w:rPr>
                <w:sz w:val="1"/>
                <w:szCs w:val="1"/>
                <w:color w:val="auto"/>
              </w:rPr>
            </w:pPr>
          </w:p>
        </w:tc>
      </w:tr>
      <w:tr>
        <w:trPr>
          <w:trHeight w:val="177"/>
        </w:trPr>
        <w:tc>
          <w:tcPr>
            <w:tcW w:w="452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5"/>
                <w:szCs w:val="15"/>
                <w:color w:val="auto"/>
              </w:rPr>
              <w:t>Consolidated operating income</w:t>
            </w:r>
          </w:p>
        </w:tc>
        <w:tc>
          <w:tcPr>
            <w:tcW w:w="3000" w:type="dxa"/>
            <w:vAlign w:val="bottom"/>
            <w:tcBorders>
              <w:top w:val="single" w:sz="8" w:color="CCECFF"/>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48"/>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440" w:type="dxa"/>
            <w:vAlign w:val="bottom"/>
            <w:tcBorders>
              <w:top w:val="single" w:sz="8" w:color="CCEC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Borders>
              <w:top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20" w:type="dxa"/>
            <w:vAlign w:val="bottom"/>
            <w:shd w:val="clear" w:color="auto" w:fill="CCECFF"/>
          </w:tcPr>
          <w:p>
            <w:pPr>
              <w:spacing w:after="0"/>
              <w:rPr>
                <w:sz w:val="13"/>
                <w:szCs w:val="13"/>
                <w:color w:val="auto"/>
              </w:rPr>
            </w:pPr>
          </w:p>
        </w:tc>
        <w:tc>
          <w:tcPr>
            <w:tcW w:w="300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expense:</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CCS</w:t>
            </w:r>
          </w:p>
        </w:tc>
        <w:tc>
          <w:tcPr>
            <w:tcW w:w="4100" w:type="dxa"/>
            <w:vAlign w:val="bottom"/>
            <w:gridSpan w:val="2"/>
            <w:shd w:val="clear" w:color="auto" w:fill="CCECFF"/>
          </w:tcPr>
          <w:p>
            <w:pPr>
              <w:jc w:val="right"/>
              <w:ind w:right="94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OWN</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NICS</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ANS</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Home</w:t>
            </w:r>
          </w:p>
        </w:tc>
        <w:tc>
          <w:tcPr>
            <w:tcW w:w="300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auto"/>
            </w:tcBorders>
            <w:shd w:val="clear" w:color="auto" w:fill="CCECFF"/>
          </w:tcPr>
          <w:p>
            <w:pPr>
              <w:spacing w:after="0"/>
              <w:rPr>
                <w:sz w:val="16"/>
                <w:szCs w:val="16"/>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40" w:type="dxa"/>
            <w:vAlign w:val="bottom"/>
            <w:tcBorders>
              <w:bottom w:val="single" w:sz="8" w:color="CCECFF"/>
            </w:tcBorders>
            <w:shd w:val="clear" w:color="auto" w:fill="CCECFF"/>
          </w:tcPr>
          <w:p>
            <w:pPr>
              <w:spacing w:after="0"/>
              <w:rPr>
                <w:sz w:val="16"/>
                <w:szCs w:val="16"/>
                <w:color w:val="auto"/>
              </w:rPr>
            </w:pPr>
          </w:p>
        </w:tc>
        <w:tc>
          <w:tcPr>
            <w:tcW w:w="440" w:type="dxa"/>
            <w:vAlign w:val="bottom"/>
            <w:tcBorders>
              <w:bottom w:val="single" w:sz="8" w:color="auto"/>
            </w:tcBorders>
            <w:shd w:val="clear" w:color="auto" w:fill="CCECFF"/>
          </w:tcPr>
          <w:p>
            <w:pPr>
              <w:spacing w:after="0"/>
              <w:rPr>
                <w:sz w:val="16"/>
                <w:szCs w:val="16"/>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Consolidated depreciation expense</w:t>
            </w:r>
          </w:p>
        </w:tc>
        <w:tc>
          <w:tcPr>
            <w:tcW w:w="4100" w:type="dxa"/>
            <w:vAlign w:val="bottom"/>
            <w:gridSpan w:val="2"/>
          </w:tcPr>
          <w:p>
            <w:pPr>
              <w:jc w:val="right"/>
              <w:ind w:right="94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440" w:type="dxa"/>
            <w:vAlign w:val="bottom"/>
          </w:tcPr>
          <w:p>
            <w:pPr>
              <w:spacing w:after="0"/>
              <w:rPr>
                <w:sz w:val="15"/>
                <w:szCs w:val="15"/>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20" w:type="dxa"/>
            <w:vAlign w:val="bottom"/>
            <w:shd w:val="clear" w:color="auto" w:fill="CCECFF"/>
          </w:tcPr>
          <w:p>
            <w:pPr>
              <w:spacing w:after="0"/>
              <w:rPr>
                <w:sz w:val="13"/>
                <w:szCs w:val="13"/>
                <w:color w:val="auto"/>
              </w:rPr>
            </w:pPr>
          </w:p>
        </w:tc>
        <w:tc>
          <w:tcPr>
            <w:tcW w:w="300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CCS</w:t>
            </w:r>
          </w:p>
        </w:tc>
        <w:tc>
          <w:tcPr>
            <w:tcW w:w="4100" w:type="dxa"/>
            <w:vAlign w:val="bottom"/>
            <w:gridSpan w:val="2"/>
            <w:shd w:val="clear" w:color="auto" w:fill="CCECFF"/>
          </w:tcPr>
          <w:p>
            <w:pPr>
              <w:jc w:val="right"/>
              <w:ind w:right="94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OWN</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NICS</w:t>
            </w:r>
          </w:p>
        </w:tc>
        <w:tc>
          <w:tcPr>
            <w:tcW w:w="300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ANS</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Home</w:t>
            </w:r>
          </w:p>
        </w:tc>
        <w:tc>
          <w:tcPr>
            <w:tcW w:w="300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auto"/>
            </w:tcBorders>
            <w:shd w:val="clear" w:color="auto" w:fill="CCECFF"/>
          </w:tcPr>
          <w:p>
            <w:pPr>
              <w:spacing w:after="0"/>
              <w:rPr>
                <w:sz w:val="16"/>
                <w:szCs w:val="16"/>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440" w:type="dxa"/>
            <w:vAlign w:val="bottom"/>
            <w:tcBorders>
              <w:bottom w:val="single" w:sz="8" w:color="CCECFF"/>
            </w:tcBorders>
            <w:shd w:val="clear" w:color="auto" w:fill="CCECFF"/>
          </w:tcPr>
          <w:p>
            <w:pPr>
              <w:spacing w:after="0"/>
              <w:rPr>
                <w:sz w:val="16"/>
                <w:szCs w:val="16"/>
                <w:color w:val="auto"/>
              </w:rPr>
            </w:pPr>
          </w:p>
        </w:tc>
        <w:tc>
          <w:tcPr>
            <w:tcW w:w="440" w:type="dxa"/>
            <w:vAlign w:val="bottom"/>
            <w:tcBorders>
              <w:bottom w:val="single" w:sz="8" w:color="auto"/>
            </w:tcBorders>
            <w:shd w:val="clear" w:color="auto" w:fill="CCECFF"/>
          </w:tcPr>
          <w:p>
            <w:pPr>
              <w:spacing w:after="0"/>
              <w:rPr>
                <w:sz w:val="16"/>
                <w:szCs w:val="16"/>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additions to property, plant and equipment</w:t>
            </w:r>
          </w:p>
        </w:tc>
        <w:tc>
          <w:tcPr>
            <w:tcW w:w="4100" w:type="dxa"/>
            <w:vAlign w:val="bottom"/>
            <w:gridSpan w:val="2"/>
          </w:tcPr>
          <w:p>
            <w:pPr>
              <w:jc w:val="right"/>
              <w:ind w:right="94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440" w:type="dxa"/>
            <w:vAlign w:val="bottom"/>
          </w:tcPr>
          <w:p>
            <w:pPr>
              <w:spacing w:after="0"/>
              <w:rPr>
                <w:sz w:val="15"/>
                <w:szCs w:val="15"/>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0" w:type="dxa"/>
            <w:vAlign w:val="bottom"/>
            <w:vMerge w:val="restart"/>
          </w:tcPr>
          <w:p>
            <w:pPr>
              <w:jc w:val="right"/>
              <w:ind w:right="1743"/>
              <w:spacing w:after="0"/>
              <w:rPr>
                <w:sz w:val="20"/>
                <w:szCs w:val="20"/>
                <w:color w:val="auto"/>
              </w:rPr>
            </w:pPr>
            <w:r>
              <w:rPr>
                <w:rFonts w:ascii="Times New Roman" w:cs="Times New Roman" w:eastAsia="Times New Roman" w:hAnsi="Times New Roman"/>
                <w:sz w:val="15"/>
                <w:szCs w:val="15"/>
                <w:color w:val="auto"/>
              </w:rPr>
              <w:t>17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5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5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-4653915</wp:posOffset>
            </wp:positionV>
            <wp:extent cx="590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-4639310</wp:posOffset>
            </wp:positionV>
            <wp:extent cx="590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-4653915</wp:posOffset>
            </wp:positionV>
            <wp:extent cx="5143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-4639310</wp:posOffset>
            </wp:positionV>
            <wp:extent cx="514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-2739390</wp:posOffset>
            </wp:positionV>
            <wp:extent cx="590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-2739390</wp:posOffset>
            </wp:positionV>
            <wp:extent cx="5143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-1767205</wp:posOffset>
            </wp:positionV>
            <wp:extent cx="590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-1767205</wp:posOffset>
            </wp:positionV>
            <wp:extent cx="5143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-795020</wp:posOffset>
            </wp:positionV>
            <wp:extent cx="590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-795020</wp:posOffset>
            </wp:positionV>
            <wp:extent cx="514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47"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5"/>
          <w:szCs w:val="15"/>
          <w:color w:val="auto"/>
        </w:rPr>
        <w:t>Sales to customers located outside of the U.S. comprised 39.6% of total net sales for the three months ended March 31, 2022 compared to 42.5% of total net sales for the three months ended March 31, 2021. The following table presents net sales by reportable segment, disaggregated based on geographic region: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4"/>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Three Months Ended March 31, 2022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
        </w:trPr>
        <w:tc>
          <w:tcPr>
            <w:tcW w:w="3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04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CCS</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2"/>
                <w:szCs w:val="12"/>
                <w:b w:val="1"/>
                <w:bCs w:val="1"/>
                <w:color w:val="auto"/>
              </w:rPr>
              <w:t>OWN</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2"/>
                <w:szCs w:val="12"/>
                <w:b w:val="1"/>
                <w:bCs w:val="1"/>
                <w:color w:val="auto"/>
              </w:rPr>
              <w:t>NICS</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2"/>
                <w:szCs w:val="12"/>
                <w:b w:val="1"/>
                <w:bCs w:val="1"/>
                <w:color w:val="auto"/>
              </w:rPr>
              <w:t>ANS</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2"/>
                <w:szCs w:val="12"/>
                <w:b w:val="1"/>
                <w:bCs w:val="1"/>
                <w:color w:val="auto"/>
              </w:rPr>
              <w:t>Home</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2"/>
                <w:szCs w:val="12"/>
                <w:color w:val="auto"/>
              </w:rPr>
            </w:pPr>
          </w:p>
        </w:tc>
      </w:tr>
      <w:tr>
        <w:trPr>
          <w:trHeight w:val="177"/>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Geographic Region:</w:t>
            </w:r>
          </w:p>
        </w:tc>
        <w:tc>
          <w:tcPr>
            <w:tcW w:w="80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r>
        <w:trPr>
          <w:trHeight w:val="186"/>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800" w:type="dxa"/>
            <w:vAlign w:val="bottom"/>
          </w:tcPr>
          <w:p>
            <w:pPr>
              <w:jc w:val="right"/>
              <w:ind w:right="628"/>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542.4</w:t>
            </w:r>
          </w:p>
        </w:tc>
        <w:tc>
          <w:tcPr>
            <w:tcW w:w="46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270.9</w:t>
            </w:r>
          </w:p>
        </w:tc>
        <w:tc>
          <w:tcPr>
            <w:tcW w:w="3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192.2</w:t>
            </w:r>
          </w:p>
        </w:tc>
        <w:tc>
          <w:tcPr>
            <w:tcW w:w="420" w:type="dxa"/>
            <w:vAlign w:val="bottom"/>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44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1,347.1</w:t>
            </w:r>
          </w:p>
        </w:tc>
        <w:tc>
          <w:tcPr>
            <w:tcW w:w="60" w:type="dxa"/>
            <w:vAlign w:val="bottom"/>
          </w:tcPr>
          <w:p>
            <w:pPr>
              <w:spacing w:after="0"/>
              <w:rPr>
                <w:sz w:val="16"/>
                <w:szCs w:val="16"/>
                <w:color w:val="auto"/>
              </w:rPr>
            </w:pPr>
          </w:p>
        </w:tc>
      </w:tr>
      <w:tr>
        <w:trPr>
          <w:trHeight w:val="186"/>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Europe, Middle East and Africa</w:t>
            </w: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61.2</w:t>
            </w:r>
          </w:p>
        </w:tc>
        <w:tc>
          <w:tcPr>
            <w:tcW w:w="1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1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406.4</w:t>
            </w:r>
          </w:p>
        </w:tc>
        <w:tc>
          <w:tcPr>
            <w:tcW w:w="60" w:type="dxa"/>
            <w:vAlign w:val="bottom"/>
            <w:shd w:val="clear" w:color="auto" w:fill="CCECFF"/>
          </w:tcPr>
          <w:p>
            <w:pPr>
              <w:spacing w:after="0"/>
              <w:rPr>
                <w:sz w:val="16"/>
                <w:szCs w:val="16"/>
                <w:color w:val="auto"/>
              </w:rPr>
            </w:pPr>
          </w:p>
        </w:tc>
      </w:tr>
      <w:tr>
        <w:trPr>
          <w:trHeight w:val="186"/>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Asia Pacific</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203.4</w:t>
            </w:r>
          </w:p>
        </w:tc>
        <w:tc>
          <w:tcPr>
            <w:tcW w:w="60" w:type="dxa"/>
            <w:vAlign w:val="bottom"/>
          </w:tcPr>
          <w:p>
            <w:pPr>
              <w:spacing w:after="0"/>
              <w:rPr>
                <w:sz w:val="16"/>
                <w:szCs w:val="16"/>
                <w:color w:val="auto"/>
              </w:rPr>
            </w:pPr>
          </w:p>
        </w:tc>
      </w:tr>
      <w:tr>
        <w:trPr>
          <w:trHeight w:val="186"/>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Caribbean and Latin America</w:t>
            </w: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1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1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162.3</w:t>
            </w:r>
          </w:p>
        </w:tc>
        <w:tc>
          <w:tcPr>
            <w:tcW w:w="60" w:type="dxa"/>
            <w:vAlign w:val="bottom"/>
            <w:shd w:val="clear" w:color="auto" w:fill="CCECFF"/>
          </w:tcPr>
          <w:p>
            <w:pPr>
              <w:spacing w:after="0"/>
              <w:rPr>
                <w:sz w:val="16"/>
                <w:szCs w:val="16"/>
                <w:color w:val="auto"/>
              </w:rPr>
            </w:pPr>
          </w:p>
        </w:tc>
      </w:tr>
      <w:tr>
        <w:trPr>
          <w:trHeight w:val="186"/>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Canada</w:t>
            </w: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60" w:type="dxa"/>
            <w:vAlign w:val="bottom"/>
          </w:tcPr>
          <w:p>
            <w:pPr>
              <w:spacing w:after="0"/>
              <w:rPr>
                <w:sz w:val="16"/>
                <w:szCs w:val="16"/>
                <w:color w:val="auto"/>
              </w:rPr>
            </w:pPr>
          </w:p>
        </w:tc>
      </w:tr>
      <w:tr>
        <w:trPr>
          <w:trHeight w:val="217"/>
        </w:trPr>
        <w:tc>
          <w:tcPr>
            <w:tcW w:w="30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Consolidated net sales</w:t>
            </w:r>
          </w:p>
        </w:tc>
        <w:tc>
          <w:tcPr>
            <w:tcW w:w="800" w:type="dxa"/>
            <w:vAlign w:val="bottom"/>
            <w:tcBorders>
              <w:bottom w:val="single" w:sz="8" w:color="auto"/>
            </w:tcBorders>
            <w:shd w:val="clear" w:color="auto" w:fill="CCECFF"/>
          </w:tcPr>
          <w:p>
            <w:pPr>
              <w:jc w:val="right"/>
              <w:ind w:right="628"/>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838.0</w:t>
            </w:r>
          </w:p>
        </w:tc>
        <w:tc>
          <w:tcPr>
            <w:tcW w:w="1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390.1</w:t>
            </w:r>
          </w:p>
        </w:tc>
        <w:tc>
          <w:tcPr>
            <w:tcW w:w="2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188.0</w:t>
            </w:r>
          </w:p>
        </w:tc>
        <w:tc>
          <w:tcPr>
            <w:tcW w:w="1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316.8</w:t>
            </w:r>
          </w:p>
        </w:tc>
        <w:tc>
          <w:tcPr>
            <w:tcW w:w="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495.7</w:t>
            </w:r>
          </w:p>
        </w:tc>
        <w:tc>
          <w:tcPr>
            <w:tcW w:w="1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2,228.6</w:t>
            </w:r>
          </w:p>
        </w:tc>
        <w:tc>
          <w:tcPr>
            <w:tcW w:w="60" w:type="dxa"/>
            <w:vAlign w:val="bottom"/>
            <w:tcBorders>
              <w:bottom w:val="single" w:sz="8" w:color="CCECFF"/>
            </w:tcBorders>
            <w:shd w:val="clear" w:color="auto" w:fill="CCECFF"/>
          </w:tcPr>
          <w:p>
            <w:pPr>
              <w:spacing w:after="0"/>
              <w:rPr>
                <w:sz w:val="18"/>
                <w:szCs w:val="18"/>
                <w:color w:val="auto"/>
              </w:rPr>
            </w:pPr>
          </w:p>
        </w:tc>
      </w:tr>
      <w:tr>
        <w:trPr>
          <w:trHeight w:val="324"/>
        </w:trPr>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Three Months Ended March 31, 2021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
        </w:trPr>
        <w:tc>
          <w:tcPr>
            <w:tcW w:w="3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04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CCS</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2"/>
                <w:szCs w:val="12"/>
                <w:b w:val="1"/>
                <w:bCs w:val="1"/>
                <w:color w:val="auto"/>
              </w:rPr>
              <w:t>OWN</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2"/>
                <w:szCs w:val="12"/>
                <w:b w:val="1"/>
                <w:bCs w:val="1"/>
                <w:color w:val="auto"/>
              </w:rPr>
              <w:t>NICS</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2"/>
                <w:szCs w:val="12"/>
                <w:b w:val="1"/>
                <w:bCs w:val="1"/>
                <w:color w:val="auto"/>
              </w:rPr>
              <w:t>ANS</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2"/>
                <w:szCs w:val="12"/>
                <w:b w:val="1"/>
                <w:bCs w:val="1"/>
                <w:color w:val="auto"/>
              </w:rPr>
              <w:t>Home</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2"/>
                <w:szCs w:val="12"/>
                <w:color w:val="auto"/>
              </w:rPr>
            </w:pPr>
          </w:p>
        </w:tc>
      </w:tr>
      <w:tr>
        <w:trPr>
          <w:trHeight w:val="177"/>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Geographic Region:</w:t>
            </w:r>
          </w:p>
        </w:tc>
        <w:tc>
          <w:tcPr>
            <w:tcW w:w="80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r>
        <w:trPr>
          <w:trHeight w:val="186"/>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800" w:type="dxa"/>
            <w:vAlign w:val="bottom"/>
          </w:tcPr>
          <w:p>
            <w:pPr>
              <w:jc w:val="right"/>
              <w:ind w:right="628"/>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402.6</w:t>
            </w:r>
          </w:p>
        </w:tc>
        <w:tc>
          <w:tcPr>
            <w:tcW w:w="46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190.4</w:t>
            </w:r>
          </w:p>
        </w:tc>
        <w:tc>
          <w:tcPr>
            <w:tcW w:w="3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249.7</w:t>
            </w:r>
          </w:p>
        </w:tc>
        <w:tc>
          <w:tcPr>
            <w:tcW w:w="420" w:type="dxa"/>
            <w:vAlign w:val="bottom"/>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250.8</w:t>
            </w:r>
          </w:p>
        </w:tc>
        <w:tc>
          <w:tcPr>
            <w:tcW w:w="44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1,191.9</w:t>
            </w:r>
          </w:p>
        </w:tc>
        <w:tc>
          <w:tcPr>
            <w:tcW w:w="60" w:type="dxa"/>
            <w:vAlign w:val="bottom"/>
          </w:tcPr>
          <w:p>
            <w:pPr>
              <w:spacing w:after="0"/>
              <w:rPr>
                <w:sz w:val="16"/>
                <w:szCs w:val="16"/>
                <w:color w:val="auto"/>
              </w:rPr>
            </w:pPr>
          </w:p>
        </w:tc>
      </w:tr>
      <w:tr>
        <w:trPr>
          <w:trHeight w:val="186"/>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Europe, Middle East and Africa</w:t>
            </w: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121.7</w:t>
            </w: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1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385.7</w:t>
            </w:r>
          </w:p>
        </w:tc>
        <w:tc>
          <w:tcPr>
            <w:tcW w:w="60" w:type="dxa"/>
            <w:vAlign w:val="bottom"/>
            <w:shd w:val="clear" w:color="auto" w:fill="CCECFF"/>
          </w:tcPr>
          <w:p>
            <w:pPr>
              <w:spacing w:after="0"/>
              <w:rPr>
                <w:sz w:val="16"/>
                <w:szCs w:val="16"/>
                <w:color w:val="auto"/>
              </w:rPr>
            </w:pPr>
          </w:p>
        </w:tc>
      </w:tr>
      <w:tr>
        <w:trPr>
          <w:trHeight w:val="186"/>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Asia Pacific</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105.3</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225.4</w:t>
            </w:r>
          </w:p>
        </w:tc>
        <w:tc>
          <w:tcPr>
            <w:tcW w:w="60" w:type="dxa"/>
            <w:vAlign w:val="bottom"/>
          </w:tcPr>
          <w:p>
            <w:pPr>
              <w:spacing w:after="0"/>
              <w:rPr>
                <w:sz w:val="16"/>
                <w:szCs w:val="16"/>
                <w:color w:val="auto"/>
              </w:rPr>
            </w:pPr>
          </w:p>
        </w:tc>
      </w:tr>
      <w:tr>
        <w:trPr>
          <w:trHeight w:val="186"/>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Caribbean and Latin America</w:t>
            </w: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1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192.1</w:t>
            </w:r>
          </w:p>
        </w:tc>
        <w:tc>
          <w:tcPr>
            <w:tcW w:w="60" w:type="dxa"/>
            <w:vAlign w:val="bottom"/>
            <w:shd w:val="clear" w:color="auto" w:fill="CCECFF"/>
          </w:tcPr>
          <w:p>
            <w:pPr>
              <w:spacing w:after="0"/>
              <w:rPr>
                <w:sz w:val="16"/>
                <w:szCs w:val="16"/>
                <w:color w:val="auto"/>
              </w:rPr>
            </w:pPr>
          </w:p>
        </w:tc>
      </w:tr>
      <w:tr>
        <w:trPr>
          <w:trHeight w:val="186"/>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Canada</w:t>
            </w: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60" w:type="dxa"/>
            <w:vAlign w:val="bottom"/>
          </w:tcPr>
          <w:p>
            <w:pPr>
              <w:spacing w:after="0"/>
              <w:rPr>
                <w:sz w:val="16"/>
                <w:szCs w:val="16"/>
                <w:color w:val="auto"/>
              </w:rPr>
            </w:pPr>
          </w:p>
        </w:tc>
      </w:tr>
      <w:tr>
        <w:trPr>
          <w:trHeight w:val="217"/>
        </w:trPr>
        <w:tc>
          <w:tcPr>
            <w:tcW w:w="30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Consolidated net sales</w:t>
            </w:r>
          </w:p>
        </w:tc>
        <w:tc>
          <w:tcPr>
            <w:tcW w:w="800" w:type="dxa"/>
            <w:vAlign w:val="bottom"/>
            <w:tcBorders>
              <w:bottom w:val="single" w:sz="8" w:color="auto"/>
            </w:tcBorders>
            <w:shd w:val="clear" w:color="auto" w:fill="CCECFF"/>
          </w:tcPr>
          <w:p>
            <w:pPr>
              <w:jc w:val="right"/>
              <w:ind w:right="628"/>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676.9</w:t>
            </w:r>
          </w:p>
        </w:tc>
        <w:tc>
          <w:tcPr>
            <w:tcW w:w="1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324.2</w:t>
            </w:r>
          </w:p>
        </w:tc>
        <w:tc>
          <w:tcPr>
            <w:tcW w:w="2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191.2</w:t>
            </w:r>
          </w:p>
        </w:tc>
        <w:tc>
          <w:tcPr>
            <w:tcW w:w="1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378.7</w:t>
            </w:r>
          </w:p>
        </w:tc>
        <w:tc>
          <w:tcPr>
            <w:tcW w:w="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501.0</w:t>
            </w:r>
          </w:p>
        </w:tc>
        <w:tc>
          <w:tcPr>
            <w:tcW w:w="1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2,072.0</w:t>
            </w:r>
          </w:p>
        </w:tc>
        <w:tc>
          <w:tcPr>
            <w:tcW w:w="6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-2177415</wp:posOffset>
            </wp:positionV>
            <wp:extent cx="69850" cy="13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50" cy="135890"/>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-2177415</wp:posOffset>
            </wp:positionV>
            <wp:extent cx="69850" cy="135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850" cy="135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-2177415</wp:posOffset>
            </wp:positionV>
            <wp:extent cx="62230" cy="135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-2177415</wp:posOffset>
            </wp:positionV>
            <wp:extent cx="62230" cy="135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-2177415</wp:posOffset>
            </wp:positionV>
            <wp:extent cx="62230" cy="135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-2177415</wp:posOffset>
            </wp:positionV>
            <wp:extent cx="62230" cy="13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-1221740</wp:posOffset>
            </wp:positionV>
            <wp:extent cx="4445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-1207135</wp:posOffset>
            </wp:positionV>
            <wp:extent cx="444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-1221740</wp:posOffset>
            </wp:positionV>
            <wp:extent cx="444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-1207135</wp:posOffset>
            </wp:positionV>
            <wp:extent cx="444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-1221740</wp:posOffset>
            </wp:positionV>
            <wp:extent cx="3683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-1207135</wp:posOffset>
            </wp:positionV>
            <wp:extent cx="3683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-1221740</wp:posOffset>
            </wp:positionV>
            <wp:extent cx="3683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-1207135</wp:posOffset>
            </wp:positionV>
            <wp:extent cx="368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-1221740</wp:posOffset>
            </wp:positionV>
            <wp:extent cx="3683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-1207135</wp:posOffset>
            </wp:positionV>
            <wp:extent cx="368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-1221740</wp:posOffset>
            </wp:positionV>
            <wp:extent cx="3683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-1207135</wp:posOffset>
            </wp:positionV>
            <wp:extent cx="3683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-976630</wp:posOffset>
            </wp:positionV>
            <wp:extent cx="69850" cy="135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850" cy="135890"/>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-976630</wp:posOffset>
            </wp:positionV>
            <wp:extent cx="69850" cy="135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850" cy="135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-976630</wp:posOffset>
            </wp:positionV>
            <wp:extent cx="62230" cy="135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-976630</wp:posOffset>
            </wp:positionV>
            <wp:extent cx="62230" cy="135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-976630</wp:posOffset>
            </wp:positionV>
            <wp:extent cx="62230" cy="13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-976630</wp:posOffset>
            </wp:positionV>
            <wp:extent cx="62230" cy="135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230" cy="135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-21590</wp:posOffset>
            </wp:positionV>
            <wp:extent cx="444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-6985</wp:posOffset>
            </wp:positionV>
            <wp:extent cx="444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-21590</wp:posOffset>
            </wp:positionV>
            <wp:extent cx="4445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-6985</wp:posOffset>
            </wp:positionV>
            <wp:extent cx="4445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-21590</wp:posOffset>
            </wp:positionV>
            <wp:extent cx="3683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-6985</wp:posOffset>
            </wp:positionV>
            <wp:extent cx="3683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-21590</wp:posOffset>
            </wp:positionV>
            <wp:extent cx="368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-6985</wp:posOffset>
            </wp:positionV>
            <wp:extent cx="368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-21590</wp:posOffset>
            </wp:positionV>
            <wp:extent cx="368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-6985</wp:posOffset>
            </wp:positionV>
            <wp:extent cx="3683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-21590</wp:posOffset>
            </wp:positionV>
            <wp:extent cx="368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-6985</wp:posOffset>
            </wp:positionV>
            <wp:extent cx="368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30" cy="762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RESTRUCTURING COSTS, NET</w:t>
      </w:r>
    </w:p>
    <w:p>
      <w:pPr>
        <w:spacing w:after="0" w:line="9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5"/>
          <w:szCs w:val="15"/>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13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5"/>
          <w:szCs w:val="15"/>
          <w:color w:val="auto"/>
        </w:rPr>
        <w:t>In addition to the employee-related costs, the Company also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net pretax restructuring activity included in restructuring costs, net on the Condensed Consolidated Statements of Operations, by segment,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40" w:type="dxa"/>
            <w:vAlign w:val="bottom"/>
            <w:gridSpan w:val="5"/>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1"/>
        </w:trPr>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28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r>
      <w:tr>
        <w:trPr>
          <w:trHeight w:val="142"/>
        </w:trPr>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8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2021</w:t>
            </w:r>
          </w:p>
        </w:tc>
        <w:tc>
          <w:tcPr>
            <w:tcW w:w="58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1120" w:type="dxa"/>
            <w:vAlign w:val="bottom"/>
          </w:tcPr>
          <w:p>
            <w:pPr>
              <w:spacing w:after="0"/>
              <w:rPr>
                <w:sz w:val="15"/>
                <w:szCs w:val="15"/>
                <w:color w:val="auto"/>
              </w:rPr>
            </w:pPr>
          </w:p>
        </w:tc>
        <w:tc>
          <w:tcPr>
            <w:tcW w:w="39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CCS</w:t>
            </w:r>
          </w:p>
        </w:tc>
        <w:tc>
          <w:tcPr>
            <w:tcW w:w="740" w:type="dxa"/>
            <w:vAlign w:val="bottom"/>
            <w:shd w:val="clear" w:color="auto" w:fill="CCECFF"/>
          </w:tcPr>
          <w:p>
            <w:pPr>
              <w:jc w:val="right"/>
              <w:ind w:right="589"/>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CFF"/>
          </w:tcPr>
          <w:p>
            <w:pPr>
              <w:spacing w:after="0"/>
              <w:rPr>
                <w:sz w:val="15"/>
                <w:szCs w:val="15"/>
                <w:color w:val="auto"/>
              </w:rPr>
            </w:pPr>
          </w:p>
        </w:tc>
        <w:tc>
          <w:tcPr>
            <w:tcW w:w="500" w:type="dxa"/>
            <w:vAlign w:val="bottom"/>
            <w:shd w:val="clear" w:color="auto" w:fill="CCECFF"/>
          </w:tcPr>
          <w:p>
            <w:pPr>
              <w:jc w:val="center"/>
              <w:ind w:left="186"/>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480" w:type="dxa"/>
            <w:vAlign w:val="bottom"/>
            <w:gridSpan w:val="2"/>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1940" w:type="dxa"/>
            <w:vAlign w:val="bottom"/>
            <w:tcBorders>
              <w:right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16.7</w:t>
            </w:r>
          </w:p>
        </w:tc>
        <w:tc>
          <w:tcPr>
            <w:tcW w:w="1120" w:type="dxa"/>
            <w:vAlign w:val="bottom"/>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OWN</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jc w:val="center"/>
              <w:ind w:left="186"/>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5.8</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9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NICS</w:t>
            </w:r>
          </w:p>
        </w:tc>
        <w:tc>
          <w:tcPr>
            <w:tcW w:w="7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500" w:type="dxa"/>
            <w:vAlign w:val="bottom"/>
            <w:shd w:val="clear" w:color="auto" w:fill="CCECFF"/>
          </w:tcPr>
          <w:p>
            <w:pPr>
              <w:jc w:val="center"/>
              <w:ind w:left="186"/>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1940" w:type="dxa"/>
            <w:vAlign w:val="bottom"/>
            <w:tcBorders>
              <w:right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11.2</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jc w:val="center"/>
              <w:ind w:left="186"/>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4.8</w:t>
            </w:r>
          </w:p>
        </w:tc>
        <w:tc>
          <w:tcPr>
            <w:tcW w:w="112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9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Home</w:t>
            </w:r>
          </w:p>
        </w:tc>
        <w:tc>
          <w:tcPr>
            <w:tcW w:w="740" w:type="dxa"/>
            <w:vAlign w:val="bottom"/>
            <w:tcBorders>
              <w:bottom w:val="single" w:sz="8" w:color="auto"/>
            </w:tcBorders>
            <w:shd w:val="clear" w:color="auto" w:fill="CCECFF"/>
          </w:tcPr>
          <w:p>
            <w:pPr>
              <w:spacing w:after="0"/>
              <w:rPr>
                <w:sz w:val="16"/>
                <w:szCs w:val="16"/>
                <w:color w:val="auto"/>
              </w:rPr>
            </w:pPr>
          </w:p>
        </w:tc>
        <w:tc>
          <w:tcPr>
            <w:tcW w:w="1140" w:type="dxa"/>
            <w:vAlign w:val="bottom"/>
            <w:tcBorders>
              <w:bottom w:val="single" w:sz="8" w:color="auto"/>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jc w:val="center"/>
              <w:ind w:left="186"/>
              <w:spacing w:after="0"/>
              <w:rPr>
                <w:sz w:val="20"/>
                <w:szCs w:val="20"/>
                <w:color w:val="auto"/>
              </w:rPr>
            </w:pPr>
            <w:r>
              <w:rPr>
                <w:rFonts w:ascii="Times New Roman" w:cs="Times New Roman" w:eastAsia="Times New Roman" w:hAnsi="Times New Roman"/>
                <w:sz w:val="15"/>
                <w:szCs w:val="15"/>
                <w:color w:val="auto"/>
              </w:rPr>
              <w:t>0.8</w:t>
            </w:r>
          </w:p>
        </w:tc>
        <w:tc>
          <w:tcPr>
            <w:tcW w:w="2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spacing w:after="0"/>
              <w:rPr>
                <w:sz w:val="16"/>
                <w:szCs w:val="16"/>
                <w:color w:val="auto"/>
              </w:rPr>
            </w:pPr>
          </w:p>
        </w:tc>
        <w:tc>
          <w:tcPr>
            <w:tcW w:w="420" w:type="dxa"/>
            <w:vAlign w:val="bottom"/>
            <w:tcBorders>
              <w:bottom w:val="single" w:sz="8" w:color="auto"/>
            </w:tcBorders>
            <w:shd w:val="clear" w:color="auto" w:fill="CCECFF"/>
          </w:tcPr>
          <w:p>
            <w:pPr>
              <w:spacing w:after="0"/>
              <w:rPr>
                <w:sz w:val="16"/>
                <w:szCs w:val="16"/>
                <w:color w:val="auto"/>
              </w:rPr>
            </w:pPr>
          </w:p>
        </w:tc>
        <w:tc>
          <w:tcPr>
            <w:tcW w:w="1940" w:type="dxa"/>
            <w:vAlign w:val="bottom"/>
            <w:tcBorders>
              <w:bottom w:val="single" w:sz="8" w:color="auto"/>
              <w:right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5.9</w:t>
            </w:r>
          </w:p>
        </w:tc>
        <w:tc>
          <w:tcPr>
            <w:tcW w:w="1120" w:type="dxa"/>
            <w:vAlign w:val="bottom"/>
          </w:tcPr>
          <w:p>
            <w:pPr>
              <w:spacing w:after="0"/>
              <w:rPr>
                <w:sz w:val="16"/>
                <w:szCs w:val="16"/>
                <w:color w:val="auto"/>
              </w:rPr>
            </w:pPr>
          </w:p>
        </w:tc>
      </w:tr>
      <w:tr>
        <w:trPr>
          <w:trHeight w:val="177"/>
        </w:trPr>
        <w:tc>
          <w:tcPr>
            <w:tcW w:w="1120" w:type="dxa"/>
            <w:vAlign w:val="bottom"/>
          </w:tcPr>
          <w:p>
            <w:pPr>
              <w:spacing w:after="0"/>
              <w:rPr>
                <w:sz w:val="15"/>
                <w:szCs w:val="15"/>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bottom w:val="single" w:sz="8" w:color="auto"/>
            </w:tcBorders>
            <w:gridSpan w:val="2"/>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1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44.4</w:t>
            </w:r>
          </w:p>
        </w:tc>
        <w:tc>
          <w:tcPr>
            <w:tcW w:w="1120" w:type="dxa"/>
            <w:vAlign w:val="bottom"/>
          </w:tcPr>
          <w:p>
            <w:pPr>
              <w:spacing w:after="0"/>
              <w:rPr>
                <w:sz w:val="15"/>
                <w:szCs w:val="15"/>
                <w:color w:val="auto"/>
              </w:rPr>
            </w:pPr>
          </w:p>
        </w:tc>
      </w:tr>
      <w:tr>
        <w:trPr>
          <w:trHeight w:val="20"/>
        </w:trPr>
        <w:tc>
          <w:tcPr>
            <w:tcW w:w="16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6"/>
        </w:trPr>
        <w:tc>
          <w:tcPr>
            <w:tcW w:w="6960" w:type="dxa"/>
            <w:vAlign w:val="bottom"/>
            <w:gridSpan w:val="5"/>
          </w:tcPr>
          <w:p>
            <w:pPr>
              <w:jc w:val="right"/>
              <w:ind w:right="128"/>
              <w:spacing w:after="0"/>
              <w:rPr>
                <w:sz w:val="20"/>
                <w:szCs w:val="20"/>
                <w:color w:val="auto"/>
              </w:rPr>
            </w:pPr>
            <w:r>
              <w:rPr>
                <w:rFonts w:ascii="Times New Roman" w:cs="Times New Roman" w:eastAsia="Times New Roman" w:hAnsi="Times New Roman"/>
                <w:sz w:val="15"/>
                <w:szCs w:val="15"/>
                <w:color w:val="auto"/>
              </w:rPr>
              <w:t>Restructuring liabilities were included in the Company’s Condensed Consolidated Balance Sheets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4"/>
        </w:trPr>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gridSpan w:val="2"/>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120" w:type="dxa"/>
            <w:vAlign w:val="bottom"/>
          </w:tcPr>
          <w:p>
            <w:pPr>
              <w:spacing w:after="0"/>
              <w:rPr>
                <w:sz w:val="24"/>
                <w:szCs w:val="24"/>
                <w:color w:val="auto"/>
              </w:rPr>
            </w:pPr>
          </w:p>
        </w:tc>
      </w:tr>
      <w:tr>
        <w:trPr>
          <w:trHeight w:val="161"/>
        </w:trPr>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880" w:type="dxa"/>
            <w:vAlign w:val="bottom"/>
            <w:gridSpan w:val="2"/>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727"/>
              <w:spacing w:after="0"/>
              <w:rPr>
                <w:sz w:val="20"/>
                <w:szCs w:val="20"/>
                <w:color w:val="auto"/>
              </w:rPr>
            </w:pPr>
            <w:r>
              <w:rPr>
                <w:rFonts w:ascii="Times New Roman" w:cs="Times New Roman" w:eastAsia="Times New Roman" w:hAnsi="Times New Roman"/>
                <w:sz w:val="12"/>
                <w:szCs w:val="12"/>
                <w:b w:val="1"/>
                <w:bCs w:val="1"/>
                <w:color w:val="auto"/>
              </w:rPr>
              <w:t>2021</w:t>
            </w: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7"/>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Accrued and other liabilities</w:t>
            </w:r>
          </w:p>
        </w:tc>
        <w:tc>
          <w:tcPr>
            <w:tcW w:w="740" w:type="dxa"/>
            <w:vAlign w:val="bottom"/>
            <w:shd w:val="clear" w:color="auto" w:fill="CCECFF"/>
          </w:tcPr>
          <w:p>
            <w:pPr>
              <w:spacing w:after="0"/>
              <w:rPr>
                <w:sz w:val="15"/>
                <w:szCs w:val="15"/>
                <w:color w:val="auto"/>
              </w:rPr>
            </w:pPr>
          </w:p>
        </w:tc>
        <w:tc>
          <w:tcPr>
            <w:tcW w:w="1140" w:type="dxa"/>
            <w:vAlign w:val="bottom"/>
            <w:tcBorders>
              <w:top w:val="single" w:sz="8" w:color="auto"/>
            </w:tcBorders>
            <w:shd w:val="clear" w:color="auto" w:fill="CCECFF"/>
          </w:tcPr>
          <w:p>
            <w:pPr>
              <w:jc w:val="right"/>
              <w:ind w:right="988"/>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gridSpan w:val="2"/>
            <w:shd w:val="clear" w:color="auto" w:fill="CCECFF"/>
          </w:tcPr>
          <w:p>
            <w:pPr>
              <w:jc w:val="center"/>
              <w:ind w:left="166"/>
              <w:spacing w:after="0"/>
              <w:rPr>
                <w:sz w:val="20"/>
                <w:szCs w:val="20"/>
                <w:color w:val="auto"/>
              </w:rPr>
            </w:pPr>
            <w:r>
              <w:rPr>
                <w:rFonts w:ascii="Times New Roman" w:cs="Times New Roman" w:eastAsia="Times New Roman" w:hAnsi="Times New Roman"/>
                <w:sz w:val="15"/>
                <w:szCs w:val="15"/>
                <w:color w:val="auto"/>
              </w:rPr>
              <w:t>44.7</w:t>
            </w:r>
          </w:p>
        </w:tc>
        <w:tc>
          <w:tcPr>
            <w:tcW w:w="2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420" w:type="dxa"/>
            <w:vAlign w:val="bottom"/>
            <w:tcBorders>
              <w:top w:val="single" w:sz="8" w:color="auto"/>
            </w:tcBorders>
            <w:shd w:val="clear" w:color="auto" w:fill="CCECFF"/>
          </w:tcPr>
          <w:p>
            <w:pPr>
              <w:spacing w:after="0"/>
              <w:rPr>
                <w:sz w:val="15"/>
                <w:szCs w:val="15"/>
                <w:color w:val="auto"/>
              </w:rPr>
            </w:pPr>
          </w:p>
        </w:tc>
        <w:tc>
          <w:tcPr>
            <w:tcW w:w="1360" w:type="dxa"/>
            <w:vAlign w:val="bottom"/>
            <w:tcBorders>
              <w:top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7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center"/>
              <w:ind w:left="166"/>
              <w:spacing w:after="0"/>
              <w:rPr>
                <w:sz w:val="20"/>
                <w:szCs w:val="20"/>
                <w:color w:val="auto"/>
              </w:rPr>
            </w:pPr>
            <w:r>
              <w:rPr>
                <w:rFonts w:ascii="Times New Roman" w:cs="Times New Roman" w:eastAsia="Times New Roman" w:hAnsi="Times New Roman"/>
                <w:sz w:val="15"/>
                <w:szCs w:val="15"/>
                <w:color w:val="auto"/>
              </w:rPr>
              <w:t>19.9</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Total restructuring liabilities</w:t>
            </w:r>
          </w:p>
        </w:tc>
        <w:tc>
          <w:tcPr>
            <w:tcW w:w="74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auto"/>
            </w:tcBorders>
            <w:shd w:val="clear" w:color="auto" w:fill="CCECFF"/>
          </w:tcPr>
          <w:p>
            <w:pPr>
              <w:jc w:val="right"/>
              <w:ind w:right="988"/>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gridSpan w:val="2"/>
            <w:shd w:val="clear" w:color="auto" w:fill="CCECFF"/>
          </w:tcPr>
          <w:p>
            <w:pPr>
              <w:jc w:val="center"/>
              <w:ind w:left="166"/>
              <w:spacing w:after="0"/>
              <w:rPr>
                <w:sz w:val="20"/>
                <w:szCs w:val="20"/>
                <w:color w:val="auto"/>
              </w:rPr>
            </w:pPr>
            <w:r>
              <w:rPr>
                <w:rFonts w:ascii="Times New Roman" w:cs="Times New Roman" w:eastAsia="Times New Roman" w:hAnsi="Times New Roman"/>
                <w:sz w:val="15"/>
                <w:szCs w:val="15"/>
                <w:color w:val="auto"/>
              </w:rPr>
              <w:t>64.6</w:t>
            </w:r>
          </w:p>
        </w:tc>
        <w:tc>
          <w:tcPr>
            <w:tcW w:w="240" w:type="dxa"/>
            <w:vAlign w:val="bottom"/>
            <w:tcBorders>
              <w:bottom w:val="single" w:sz="8" w:color="CCECFF"/>
            </w:tcBorders>
            <w:shd w:val="clear" w:color="auto" w:fill="CCECFF"/>
          </w:tcPr>
          <w:p>
            <w:pPr>
              <w:spacing w:after="0"/>
              <w:rPr>
                <w:sz w:val="18"/>
                <w:szCs w:val="18"/>
                <w:color w:val="auto"/>
              </w:rPr>
            </w:pPr>
          </w:p>
        </w:tc>
        <w:tc>
          <w:tcPr>
            <w:tcW w:w="6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520"/>
        </w:trPr>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18</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4"/>
        </w:trPr>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-1804035</wp:posOffset>
            </wp:positionV>
            <wp:extent cx="368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-1804035</wp:posOffset>
            </wp:positionV>
            <wp:extent cx="368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-662305</wp:posOffset>
            </wp:positionV>
            <wp:extent cx="444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-647700</wp:posOffset>
            </wp:positionV>
            <wp:extent cx="444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-662305</wp:posOffset>
            </wp:positionV>
            <wp:extent cx="3683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-647700</wp:posOffset>
            </wp:positionV>
            <wp:extent cx="368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CommScope NEXT Restructuring Actions</w:t>
      </w:r>
    </w:p>
    <w:p>
      <w:pPr>
        <w:spacing w:after="0" w:line="1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5"/>
          <w:szCs w:val="15"/>
          <w:color w:val="auto"/>
        </w:rPr>
        <w:t>In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1240" w:type="dxa"/>
            <w:vAlign w:val="bottom"/>
          </w:tcPr>
          <w:p>
            <w:pPr>
              <w:jc w:val="center"/>
              <w:ind w:left="332"/>
              <w:spacing w:after="0"/>
              <w:rPr>
                <w:sz w:val="20"/>
                <w:szCs w:val="20"/>
                <w:color w:val="auto"/>
              </w:rPr>
            </w:pPr>
            <w:r>
              <w:rPr>
                <w:rFonts w:ascii="Times New Roman" w:cs="Times New Roman" w:eastAsia="Times New Roman" w:hAnsi="Times New Roman"/>
                <w:sz w:val="12"/>
                <w:szCs w:val="12"/>
                <w:b w:val="1"/>
                <w:bCs w:val="1"/>
                <w:color w:val="auto"/>
              </w:rPr>
              <w:t>Employee-</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5620" w:type="dxa"/>
            <w:vAlign w:val="bottom"/>
          </w:tcPr>
          <w:p>
            <w:pPr>
              <w:spacing w:after="0"/>
              <w:rPr>
                <w:sz w:val="11"/>
                <w:szCs w:val="11"/>
                <w:color w:val="auto"/>
              </w:rPr>
            </w:pPr>
          </w:p>
        </w:tc>
        <w:tc>
          <w:tcPr>
            <w:tcW w:w="1240" w:type="dxa"/>
            <w:vAlign w:val="bottom"/>
          </w:tcPr>
          <w:p>
            <w:pPr>
              <w:jc w:val="center"/>
              <w:ind w:left="352"/>
              <w:spacing w:after="0" w:line="128" w:lineRule="exact"/>
              <w:rPr>
                <w:sz w:val="20"/>
                <w:szCs w:val="20"/>
                <w:color w:val="auto"/>
              </w:rPr>
            </w:pPr>
            <w:r>
              <w:rPr>
                <w:rFonts w:ascii="Times New Roman" w:cs="Times New Roman" w:eastAsia="Times New Roman" w:hAnsi="Times New Roman"/>
                <w:sz w:val="12"/>
                <w:szCs w:val="12"/>
                <w:b w:val="1"/>
                <w:bCs w:val="1"/>
                <w:color w:val="auto"/>
              </w:rPr>
              <w:t>Related</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3"/>
        </w:trPr>
        <w:tc>
          <w:tcPr>
            <w:tcW w:w="5620" w:type="dxa"/>
            <w:vAlign w:val="bottom"/>
          </w:tcPr>
          <w:p>
            <w:pPr>
              <w:spacing w:after="0"/>
              <w:rPr>
                <w:sz w:val="15"/>
                <w:szCs w:val="15"/>
                <w:color w:val="auto"/>
              </w:rPr>
            </w:pPr>
          </w:p>
        </w:tc>
        <w:tc>
          <w:tcPr>
            <w:tcW w:w="1240" w:type="dxa"/>
            <w:vAlign w:val="bottom"/>
          </w:tcPr>
          <w:p>
            <w:pPr>
              <w:jc w:val="center"/>
              <w:ind w:left="352"/>
              <w:spacing w:after="0"/>
              <w:rPr>
                <w:sz w:val="20"/>
                <w:szCs w:val="20"/>
                <w:color w:val="auto"/>
              </w:rPr>
            </w:pPr>
            <w:r>
              <w:rPr>
                <w:rFonts w:ascii="Times New Roman" w:cs="Times New Roman" w:eastAsia="Times New Roman" w:hAnsi="Times New Roman"/>
                <w:sz w:val="12"/>
                <w:szCs w:val="12"/>
                <w:b w:val="1"/>
                <w:bCs w:val="1"/>
                <w:color w:val="auto"/>
              </w:rPr>
              <w:t>Costs</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Other</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7"/>
        </w:trPr>
        <w:tc>
          <w:tcPr>
            <w:tcW w:w="56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1240" w:type="dxa"/>
            <w:vAlign w:val="bottom"/>
            <w:tcBorders>
              <w:top w:val="single" w:sz="8" w:color="auto"/>
            </w:tcBorders>
            <w:shd w:val="clear" w:color="auto" w:fill="CCECFF"/>
          </w:tcPr>
          <w:p>
            <w:pPr>
              <w:jc w:val="right"/>
              <w:ind w:right="1092"/>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400" w:type="dxa"/>
            <w:vAlign w:val="bottom"/>
            <w:shd w:val="clear" w:color="auto" w:fill="CCECFF"/>
          </w:tcPr>
          <w:p>
            <w:pPr>
              <w:spacing w:after="0"/>
              <w:rPr>
                <w:sz w:val="15"/>
                <w:szCs w:val="15"/>
                <w:color w:val="auto"/>
              </w:rPr>
            </w:pPr>
          </w:p>
        </w:tc>
        <w:tc>
          <w:tcPr>
            <w:tcW w:w="1180" w:type="dxa"/>
            <w:vAlign w:val="bottom"/>
            <w:tcBorders>
              <w:top w:val="single" w:sz="8" w:color="auto"/>
            </w:tcBorders>
            <w:shd w:val="clear" w:color="auto" w:fill="CCECFF"/>
          </w:tcPr>
          <w:p>
            <w:pPr>
              <w:jc w:val="right"/>
              <w:ind w:right="1028"/>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CFF"/>
          </w:tcPr>
          <w:p>
            <w:pPr>
              <w:spacing w:after="0"/>
              <w:rPr>
                <w:sz w:val="15"/>
                <w:szCs w:val="15"/>
                <w:color w:val="auto"/>
              </w:rPr>
            </w:pPr>
          </w:p>
        </w:tc>
        <w:tc>
          <w:tcPr>
            <w:tcW w:w="360" w:type="dxa"/>
            <w:vAlign w:val="bottom"/>
            <w:tcBorders>
              <w:top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80" w:type="dxa"/>
            <w:vAlign w:val="bottom"/>
            <w:shd w:val="clear" w:color="auto" w:fill="CCECFF"/>
          </w:tcPr>
          <w:p>
            <w:pPr>
              <w:spacing w:after="0"/>
              <w:rPr>
                <w:sz w:val="15"/>
                <w:szCs w:val="15"/>
                <w:color w:val="auto"/>
              </w:rPr>
            </w:pPr>
          </w:p>
        </w:tc>
      </w:tr>
      <w:tr>
        <w:trPr>
          <w:trHeight w:val="186"/>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Additional expense, net</w:t>
            </w:r>
          </w:p>
        </w:tc>
        <w:tc>
          <w:tcPr>
            <w:tcW w:w="1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tcPr>
          <w:p>
            <w:pPr>
              <w:spacing w:after="0"/>
              <w:rPr>
                <w:sz w:val="16"/>
                <w:szCs w:val="16"/>
                <w:color w:val="auto"/>
              </w:rPr>
            </w:pPr>
          </w:p>
        </w:tc>
      </w:tr>
      <w:tr>
        <w:trPr>
          <w:trHeight w:val="186"/>
        </w:trPr>
        <w:tc>
          <w:tcPr>
            <w:tcW w:w="56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Cash paid</w:t>
            </w:r>
          </w:p>
        </w:tc>
        <w:tc>
          <w:tcPr>
            <w:tcW w:w="124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5"/>
                <w:szCs w:val="15"/>
                <w:color w:val="auto"/>
              </w:rPr>
              <w:t>(2.9 )</w:t>
            </w:r>
          </w:p>
        </w:tc>
        <w:tc>
          <w:tcPr>
            <w:tcW w:w="118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5"/>
                <w:szCs w:val="15"/>
                <w:color w:val="auto"/>
              </w:rPr>
              <w:t>(0.3 )</w:t>
            </w:r>
          </w:p>
        </w:tc>
        <w:tc>
          <w:tcPr>
            <w:tcW w:w="360" w:type="dxa"/>
            <w:vAlign w:val="bottom"/>
            <w:shd w:val="clear" w:color="auto" w:fill="CCECFF"/>
          </w:tcPr>
          <w:p>
            <w:pPr>
              <w:spacing w:after="0"/>
              <w:rPr>
                <w:sz w:val="16"/>
                <w:szCs w:val="16"/>
                <w:color w:val="auto"/>
              </w:rPr>
            </w:pPr>
          </w:p>
        </w:tc>
        <w:tc>
          <w:tcPr>
            <w:tcW w:w="12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(3.2 )</w:t>
            </w:r>
          </w:p>
        </w:tc>
      </w:tr>
      <w:tr>
        <w:trPr>
          <w:trHeight w:val="186"/>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Foreign exchange and other non-cash items</w:t>
            </w:r>
          </w:p>
        </w:tc>
        <w:tc>
          <w:tcPr>
            <w:tcW w:w="124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(1.6 )</w:t>
            </w:r>
          </w:p>
        </w:tc>
        <w:tc>
          <w:tcPr>
            <w:tcW w:w="118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(3.5 )</w:t>
            </w:r>
          </w:p>
        </w:tc>
        <w:tc>
          <w:tcPr>
            <w:tcW w:w="36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(5.1 )</w:t>
            </w:r>
          </w:p>
        </w:tc>
      </w:tr>
      <w:tr>
        <w:trPr>
          <w:trHeight w:val="217"/>
        </w:trPr>
        <w:tc>
          <w:tcPr>
            <w:tcW w:w="56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Balance at March 31, 2022</w:t>
            </w:r>
          </w:p>
        </w:tc>
        <w:tc>
          <w:tcPr>
            <w:tcW w:w="1240" w:type="dxa"/>
            <w:vAlign w:val="bottom"/>
            <w:tcBorders>
              <w:top w:val="single" w:sz="8" w:color="auto"/>
              <w:bottom w:val="single" w:sz="8" w:color="auto"/>
            </w:tcBorders>
            <w:shd w:val="clear" w:color="auto" w:fill="CCECFF"/>
          </w:tcPr>
          <w:p>
            <w:pPr>
              <w:jc w:val="right"/>
              <w:ind w:right="1092"/>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400" w:type="dxa"/>
            <w:vAlign w:val="bottom"/>
            <w:tcBorders>
              <w:bottom w:val="single" w:sz="8" w:color="CCECFF"/>
            </w:tcBorders>
            <w:shd w:val="clear" w:color="auto" w:fill="CCECFF"/>
          </w:tcPr>
          <w:p>
            <w:pPr>
              <w:spacing w:after="0"/>
              <w:rPr>
                <w:sz w:val="18"/>
                <w:szCs w:val="18"/>
                <w:color w:val="auto"/>
              </w:rPr>
            </w:pPr>
          </w:p>
        </w:tc>
        <w:tc>
          <w:tcPr>
            <w:tcW w:w="1180" w:type="dxa"/>
            <w:vAlign w:val="bottom"/>
            <w:tcBorders>
              <w:top w:val="single" w:sz="8" w:color="auto"/>
              <w:bottom w:val="single" w:sz="8" w:color="auto"/>
            </w:tcBorders>
            <w:shd w:val="clear" w:color="auto" w:fill="CCECFF"/>
          </w:tcPr>
          <w:p>
            <w:pPr>
              <w:jc w:val="right"/>
              <w:ind w:right="1028"/>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8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4620895</wp:posOffset>
            </wp:positionH>
            <wp:positionV relativeFrom="paragraph">
              <wp:posOffset>-21590</wp:posOffset>
            </wp:positionV>
            <wp:extent cx="590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-6985</wp:posOffset>
            </wp:positionV>
            <wp:extent cx="5905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-21590</wp:posOffset>
            </wp:positionV>
            <wp:extent cx="5143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-6985</wp:posOffset>
            </wp:positionV>
            <wp:extent cx="5143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-21590</wp:posOffset>
            </wp:positionV>
            <wp:extent cx="5143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-6985</wp:posOffset>
            </wp:positionV>
            <wp:extent cx="5143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CommScope NEXT actions to date have included employee costs related to the planned closure of an international manufacturing facility as well as headcount reductions in manufacturing, engineering, marketing, sales and administrative functions. Asset impairment charges related to real estate that is affected by restructuring actions are included in the other category in the table above and in restructuring costs, net on the Condensed Consolidated Statements of Operations for the three months ended March 31, 2022.</w:t>
      </w:r>
    </w:p>
    <w:p>
      <w:pPr>
        <w:spacing w:after="0" w:line="1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5"/>
          <w:szCs w:val="15"/>
          <w:color w:val="auto"/>
        </w:rPr>
        <w:t>The Company has recognized restructuring charges of $99.1 million to date related to CommScope NEXT actions. The Company expects to make cash payments of $33.6 million during the remainder of 2022 and additional cash payments of $27.1 million in 2023 to settle CommScope NEXT restructuring actions. Additional restructuring actions related to CommScope NEXT are expected to be identified and the resulting charges and cash requirements could be material.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ARRIS Integration Restructuring Actions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anticipation of and following the acquisition of ARRIS, the Company initiated a series of restructuring actions to integrate and streamline operations and achieve cost synergies.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activity within the liability established for the ARRIS integration restructuring actions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60" w:type="dxa"/>
            <w:vAlign w:val="bottom"/>
          </w:tcPr>
          <w:p>
            <w:pPr>
              <w:spacing w:after="0"/>
              <w:rPr>
                <w:sz w:val="12"/>
                <w:szCs w:val="12"/>
                <w:color w:val="auto"/>
              </w:rPr>
            </w:pPr>
          </w:p>
        </w:tc>
        <w:tc>
          <w:tcPr>
            <w:tcW w:w="1380" w:type="dxa"/>
            <w:vAlign w:val="bottom"/>
          </w:tcPr>
          <w:p>
            <w:pPr>
              <w:jc w:val="center"/>
              <w:ind w:left="392"/>
              <w:spacing w:after="0"/>
              <w:rPr>
                <w:sz w:val="20"/>
                <w:szCs w:val="20"/>
                <w:color w:val="auto"/>
              </w:rPr>
            </w:pPr>
            <w:r>
              <w:rPr>
                <w:rFonts w:ascii="Times New Roman" w:cs="Times New Roman" w:eastAsia="Times New Roman" w:hAnsi="Times New Roman"/>
                <w:sz w:val="12"/>
                <w:szCs w:val="12"/>
                <w:b w:val="1"/>
                <w:bCs w:val="1"/>
                <w:color w:val="auto"/>
              </w:rPr>
              <w:t>Employee-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5460" w:type="dxa"/>
            <w:vAlign w:val="bottom"/>
          </w:tcPr>
          <w:p>
            <w:pPr>
              <w:spacing w:after="0"/>
              <w:rPr>
                <w:sz w:val="11"/>
                <w:szCs w:val="11"/>
                <w:color w:val="auto"/>
              </w:rPr>
            </w:pPr>
          </w:p>
        </w:tc>
        <w:tc>
          <w:tcPr>
            <w:tcW w:w="1380" w:type="dxa"/>
            <w:vAlign w:val="bottom"/>
          </w:tcPr>
          <w:p>
            <w:pPr>
              <w:jc w:val="center"/>
              <w:ind w:left="372"/>
              <w:spacing w:after="0" w:line="128" w:lineRule="exact"/>
              <w:rPr>
                <w:sz w:val="20"/>
                <w:szCs w:val="20"/>
                <w:color w:val="auto"/>
              </w:rPr>
            </w:pPr>
            <w:r>
              <w:rPr>
                <w:rFonts w:ascii="Times New Roman" w:cs="Times New Roman" w:eastAsia="Times New Roman" w:hAnsi="Times New Roman"/>
                <w:sz w:val="12"/>
                <w:szCs w:val="12"/>
                <w:b w:val="1"/>
                <w:bCs w:val="1"/>
                <w:color w:val="auto"/>
              </w:rPr>
              <w:t>Related</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3"/>
        </w:trPr>
        <w:tc>
          <w:tcPr>
            <w:tcW w:w="5460" w:type="dxa"/>
            <w:vAlign w:val="bottom"/>
          </w:tcPr>
          <w:p>
            <w:pPr>
              <w:spacing w:after="0"/>
              <w:rPr>
                <w:sz w:val="15"/>
                <w:szCs w:val="15"/>
                <w:color w:val="auto"/>
              </w:rPr>
            </w:pPr>
          </w:p>
        </w:tc>
        <w:tc>
          <w:tcPr>
            <w:tcW w:w="1380" w:type="dxa"/>
            <w:vAlign w:val="bottom"/>
          </w:tcPr>
          <w:p>
            <w:pPr>
              <w:jc w:val="center"/>
              <w:ind w:left="372"/>
              <w:spacing w:after="0"/>
              <w:rPr>
                <w:sz w:val="20"/>
                <w:szCs w:val="20"/>
                <w:color w:val="auto"/>
              </w:rPr>
            </w:pPr>
            <w:r>
              <w:rPr>
                <w:rFonts w:ascii="Times New Roman" w:cs="Times New Roman" w:eastAsia="Times New Roman" w:hAnsi="Times New Roman"/>
                <w:sz w:val="12"/>
                <w:szCs w:val="12"/>
                <w:b w:val="1"/>
                <w:bCs w:val="1"/>
                <w:color w:val="auto"/>
              </w:rPr>
              <w:t>Costs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Other</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7"/>
        </w:trPr>
        <w:tc>
          <w:tcPr>
            <w:tcW w:w="546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1380" w:type="dxa"/>
            <w:vAlign w:val="bottom"/>
            <w:tcBorders>
              <w:top w:val="single" w:sz="8" w:color="auto"/>
            </w:tcBorders>
            <w:shd w:val="clear" w:color="auto" w:fill="CCECFF"/>
          </w:tcPr>
          <w:p>
            <w:pPr>
              <w:jc w:val="right"/>
              <w:ind w:right="121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240" w:type="dxa"/>
            <w:vAlign w:val="bottom"/>
            <w:shd w:val="clear" w:color="auto" w:fill="CCECFF"/>
          </w:tcPr>
          <w:p>
            <w:pPr>
              <w:spacing w:after="0"/>
              <w:rPr>
                <w:sz w:val="15"/>
                <w:szCs w:val="15"/>
                <w:color w:val="auto"/>
              </w:rPr>
            </w:pPr>
          </w:p>
        </w:tc>
        <w:tc>
          <w:tcPr>
            <w:tcW w:w="1300" w:type="dxa"/>
            <w:vAlign w:val="bottom"/>
            <w:tcBorders>
              <w:top w:val="single" w:sz="8" w:color="auto"/>
            </w:tcBorders>
            <w:shd w:val="clear" w:color="auto" w:fill="CCECFF"/>
          </w:tcPr>
          <w:p>
            <w:pPr>
              <w:jc w:val="right"/>
              <w:ind w:right="1148"/>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shd w:val="clear" w:color="auto" w:fill="CCECFF"/>
          </w:tcPr>
          <w:p>
            <w:pPr>
              <w:spacing w:after="0"/>
              <w:rPr>
                <w:sz w:val="15"/>
                <w:szCs w:val="15"/>
                <w:color w:val="auto"/>
              </w:rPr>
            </w:pPr>
          </w:p>
        </w:tc>
        <w:tc>
          <w:tcPr>
            <w:tcW w:w="380" w:type="dxa"/>
            <w:vAlign w:val="bottom"/>
            <w:tcBorders>
              <w:top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shd w:val="clear" w:color="auto" w:fill="CCECFF"/>
          </w:tcPr>
          <w:p>
            <w:pPr>
              <w:spacing w:after="0"/>
              <w:rPr>
                <w:sz w:val="15"/>
                <w:szCs w:val="15"/>
                <w:color w:val="auto"/>
              </w:rPr>
            </w:pPr>
          </w:p>
        </w:tc>
      </w:tr>
      <w:tr>
        <w:trPr>
          <w:trHeight w:val="186"/>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Additional expense (reversals), net</w:t>
            </w:r>
          </w:p>
        </w:tc>
        <w:tc>
          <w:tcPr>
            <w:tcW w:w="13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(0.6 )</w:t>
            </w:r>
          </w:p>
        </w:tc>
        <w:tc>
          <w:tcPr>
            <w:tcW w:w="1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6"/>
                <w:szCs w:val="16"/>
                <w:color w:val="auto"/>
              </w:rPr>
            </w:pPr>
          </w:p>
        </w:tc>
      </w:tr>
      <w:tr>
        <w:trPr>
          <w:trHeight w:val="186"/>
        </w:trPr>
        <w:tc>
          <w:tcPr>
            <w:tcW w:w="546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Cash paid</w:t>
            </w:r>
          </w:p>
        </w:tc>
        <w:tc>
          <w:tcPr>
            <w:tcW w:w="13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5"/>
                <w:szCs w:val="15"/>
                <w:color w:val="auto"/>
              </w:rPr>
              <w:t>(4.0 )</w:t>
            </w:r>
          </w:p>
        </w:tc>
        <w:tc>
          <w:tcPr>
            <w:tcW w:w="1300" w:type="dxa"/>
            <w:vAlign w:val="bottom"/>
            <w:shd w:val="clear" w:color="auto" w:fill="CCECFF"/>
          </w:tcPr>
          <w:p>
            <w:pPr>
              <w:spacing w:after="0"/>
              <w:rPr>
                <w:sz w:val="16"/>
                <w:szCs w:val="16"/>
                <w:color w:val="auto"/>
              </w:rPr>
            </w:pPr>
          </w:p>
        </w:tc>
        <w:tc>
          <w:tcPr>
            <w:tcW w:w="7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(0.6 )</w:t>
            </w:r>
          </w:p>
        </w:tc>
        <w:tc>
          <w:tcPr>
            <w:tcW w:w="38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(4.6 )</w:t>
            </w:r>
          </w:p>
        </w:tc>
      </w:tr>
      <w:tr>
        <w:trPr>
          <w:trHeight w:val="186"/>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Foreign exchange and other non-cash items</w:t>
            </w:r>
          </w:p>
        </w:tc>
        <w:tc>
          <w:tcPr>
            <w:tcW w:w="138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(3.7 )</w:t>
            </w:r>
          </w:p>
        </w:tc>
        <w:tc>
          <w:tcPr>
            <w:tcW w:w="3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(3.7 )</w:t>
            </w:r>
          </w:p>
        </w:tc>
      </w:tr>
      <w:tr>
        <w:trPr>
          <w:trHeight w:val="217"/>
        </w:trPr>
        <w:tc>
          <w:tcPr>
            <w:tcW w:w="54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Balance at March 31, 2022</w:t>
            </w:r>
          </w:p>
        </w:tc>
        <w:tc>
          <w:tcPr>
            <w:tcW w:w="1380" w:type="dxa"/>
            <w:vAlign w:val="bottom"/>
            <w:tcBorders>
              <w:top w:val="single" w:sz="8" w:color="auto"/>
              <w:bottom w:val="single" w:sz="8" w:color="auto"/>
            </w:tcBorders>
            <w:shd w:val="clear" w:color="auto" w:fill="CCECFF"/>
          </w:tcPr>
          <w:p>
            <w:pPr>
              <w:jc w:val="right"/>
              <w:ind w:right="121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40" w:type="dxa"/>
            <w:vAlign w:val="bottom"/>
            <w:tcBorders>
              <w:bottom w:val="single" w:sz="8" w:color="CCECFF"/>
            </w:tcBorders>
            <w:shd w:val="clear" w:color="auto" w:fill="CCECFF"/>
          </w:tcPr>
          <w:p>
            <w:pPr>
              <w:spacing w:after="0"/>
              <w:rPr>
                <w:sz w:val="18"/>
                <w:szCs w:val="18"/>
                <w:color w:val="auto"/>
              </w:rPr>
            </w:pPr>
          </w:p>
        </w:tc>
        <w:tc>
          <w:tcPr>
            <w:tcW w:w="1300" w:type="dxa"/>
            <w:vAlign w:val="bottom"/>
            <w:tcBorders>
              <w:top w:val="single" w:sz="8" w:color="auto"/>
              <w:bottom w:val="single" w:sz="8" w:color="auto"/>
            </w:tcBorders>
            <w:shd w:val="clear" w:color="auto" w:fill="CCECFF"/>
          </w:tcPr>
          <w:p>
            <w:pPr>
              <w:jc w:val="right"/>
              <w:ind w:right="1148"/>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top w:val="single" w:sz="8" w:color="auto"/>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4620895</wp:posOffset>
            </wp:positionH>
            <wp:positionV relativeFrom="paragraph">
              <wp:posOffset>-21590</wp:posOffset>
            </wp:positionV>
            <wp:extent cx="5905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-6985</wp:posOffset>
            </wp:positionV>
            <wp:extent cx="5905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-21590</wp:posOffset>
            </wp:positionV>
            <wp:extent cx="5143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-6985</wp:posOffset>
            </wp:positionV>
            <wp:extent cx="5143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-21590</wp:posOffset>
            </wp:positionV>
            <wp:extent cx="5143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-6985</wp:posOffset>
            </wp:positionV>
            <wp:extent cx="5143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16"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5"/>
          <w:szCs w:val="15"/>
          <w:color w:val="auto"/>
        </w:rPr>
        <w:t>The ARRIS integration actions included headcount reductions in manufacturing, sales, engineering, marketing and administrative functions. The Company has recognized restructuring charges of $179.5 million since the ARRIS acquisition for integration actions. Asset impairment charges related to real estate and equipment that is affected by restructuring actions are included in the other category in the table above and in restructuring costs, net on the Condensed Consolidated Statements of Operations for the three months ended March 31, 2022.</w:t>
      </w:r>
    </w:p>
    <w:p>
      <w:pPr>
        <w:spacing w:after="0" w:line="146"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5"/>
          <w:szCs w:val="15"/>
          <w:color w:val="auto"/>
        </w:rPr>
        <w:t>The Company expects to make cash payments of $3.7 million during the remainder of 2022 and additional cash payments of $0.1 million in 2023 to settle the ARRIS integration initiatives. The Company does not expect to identify significant additional restructuring actions related to the ARRIS integration.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 w:name="page21"/>
    <w:bookmarkEnd w:id="2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200" w:lineRule="exact"/>
        <w:rPr>
          <w:sz w:val="20"/>
          <w:szCs w:val="20"/>
          <w:color w:val="auto"/>
        </w:rPr>
      </w:pP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9. SERIES A CONVERTIBLE PREFERRED STOCK</w:t>
      </w:r>
    </w:p>
    <w:p>
      <w:pPr>
        <w:spacing w:after="0" w:line="110" w:lineRule="exact"/>
        <w:rPr>
          <w:sz w:val="20"/>
          <w:szCs w:val="20"/>
          <w:color w:val="auto"/>
        </w:rPr>
      </w:pPr>
    </w:p>
    <w:p>
      <w:pPr>
        <w:ind w:left="7" w:right="160"/>
        <w:spacing w:after="0" w:line="260" w:lineRule="auto"/>
        <w:rPr>
          <w:sz w:val="20"/>
          <w:szCs w:val="20"/>
          <w:color w:val="auto"/>
        </w:rPr>
      </w:pPr>
      <w:r>
        <w:rPr>
          <w:rFonts w:ascii="Times New Roman" w:cs="Times New Roman" w:eastAsia="Times New Roman" w:hAnsi="Times New Roman"/>
          <w:sz w:val="15"/>
          <w:szCs w:val="15"/>
          <w:color w:val="auto"/>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w:t>
      </w:r>
    </w:p>
    <w:p>
      <w:pPr>
        <w:spacing w:after="0" w:line="146" w:lineRule="exact"/>
        <w:rPr>
          <w:sz w:val="20"/>
          <w:szCs w:val="20"/>
          <w:color w:val="auto"/>
        </w:rPr>
      </w:pPr>
    </w:p>
    <w:p>
      <w:pPr>
        <w:ind w:left="7" w:right="20"/>
        <w:spacing w:after="0" w:line="260" w:lineRule="auto"/>
        <w:rPr>
          <w:sz w:val="20"/>
          <w:szCs w:val="20"/>
          <w:color w:val="auto"/>
        </w:rPr>
      </w:pPr>
      <w:r>
        <w:rPr>
          <w:rFonts w:ascii="Times New Roman" w:cs="Times New Roman" w:eastAsia="Times New Roman" w:hAnsi="Times New Roman"/>
          <w:sz w:val="15"/>
          <w:szCs w:val="15"/>
          <w:color w:val="auto"/>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During the three months ended March 31, 2022, the Company paid dividends in-kind of $14.5 million, which was recorded as additional Convertible Preferred Stock in the Condensed Consolidated Balance Sheets. The Company paid cash dividends of $14.3 million during the three months ended March 31, 2021.</w:t>
      </w:r>
    </w:p>
    <w:p>
      <w:pPr>
        <w:spacing w:after="0" w:line="234" w:lineRule="exact"/>
        <w:rPr>
          <w:sz w:val="20"/>
          <w:szCs w:val="20"/>
          <w:color w:val="auto"/>
        </w:rPr>
      </w:pPr>
    </w:p>
    <w:p>
      <w:pPr>
        <w:ind w:left="7" w:right="8980" w:hanging="7"/>
        <w:spacing w:after="0" w:line="382" w:lineRule="auto"/>
        <w:tabs>
          <w:tab w:leader="none" w:pos="239"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STOCKHOLDERS’ EQUITY Equity-Based Compensation Plans</w:t>
      </w:r>
    </w:p>
    <w:p>
      <w:pPr>
        <w:jc w:val="both"/>
        <w:ind w:left="7" w:right="360"/>
        <w:spacing w:after="0" w:line="261" w:lineRule="auto"/>
        <w:rPr>
          <w:sz w:val="20"/>
          <w:szCs w:val="20"/>
          <w:color w:val="auto"/>
        </w:rPr>
      </w:pPr>
      <w:r>
        <w:rPr>
          <w:rFonts w:ascii="Times New Roman" w:cs="Times New Roman" w:eastAsia="Times New Roman" w:hAnsi="Times New Roman"/>
          <w:sz w:val="15"/>
          <w:szCs w:val="15"/>
          <w:color w:val="auto"/>
        </w:rPr>
        <w:t>As of March 31, 2022, $102.6 million of total unrecognized compensation expense related to unvested stock options, restricted stock units (RSUs) and performance share units (PSUs) is expected to be recognized over a remaining weighted average period of 2.1 years. There were no significant capitalized equity-based compensation costs at March 31, 2022.</w:t>
      </w:r>
    </w:p>
    <w:p>
      <w:pPr>
        <w:spacing w:after="0" w:line="15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shows a summary of the equity-based compensation expense included in the Condensed Consolidated Statements of Operations:</w:t>
      </w:r>
    </w:p>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151"/>
        </w:trPr>
        <w:tc>
          <w:tcPr>
            <w:tcW w:w="7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gridSpan w:val="4"/>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74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1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7400" w:type="dxa"/>
            <w:vAlign w:val="bottom"/>
          </w:tcPr>
          <w:p>
            <w:pPr>
              <w:spacing w:after="0"/>
              <w:rPr>
                <w:sz w:val="12"/>
                <w:szCs w:val="12"/>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 w:type="dxa"/>
            <w:vAlign w:val="bottom"/>
          </w:tcPr>
          <w:p>
            <w:pPr>
              <w:spacing w:after="0"/>
              <w:rPr>
                <w:sz w:val="12"/>
                <w:szCs w:val="12"/>
                <w:color w:val="auto"/>
              </w:rPr>
            </w:pPr>
          </w:p>
        </w:tc>
      </w:tr>
      <w:tr>
        <w:trPr>
          <w:trHeight w:val="177"/>
        </w:trPr>
        <w:tc>
          <w:tcPr>
            <w:tcW w:w="74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160" w:type="dxa"/>
            <w:vAlign w:val="bottom"/>
            <w:shd w:val="clear" w:color="auto" w:fill="CCECFF"/>
          </w:tcPr>
          <w:p>
            <w:pPr>
              <w:jc w:val="right"/>
              <w:ind w:right="100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540" w:type="dxa"/>
            <w:vAlign w:val="bottom"/>
            <w:shd w:val="clear" w:color="auto" w:fill="CCECFF"/>
          </w:tcPr>
          <w:p>
            <w:pPr>
              <w:jc w:val="right"/>
              <w:ind w:right="38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60" w:type="dxa"/>
            <w:vAlign w:val="bottom"/>
            <w:shd w:val="clear" w:color="auto" w:fill="CCECFF"/>
          </w:tcPr>
          <w:p>
            <w:pPr>
              <w:spacing w:after="0"/>
              <w:rPr>
                <w:sz w:val="15"/>
                <w:szCs w:val="15"/>
                <w:color w:val="auto"/>
              </w:rPr>
            </w:pPr>
          </w:p>
        </w:tc>
      </w:tr>
      <w:tr>
        <w:trPr>
          <w:trHeight w:val="186"/>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60" w:type="dxa"/>
            <w:vAlign w:val="bottom"/>
          </w:tcPr>
          <w:p>
            <w:pPr>
              <w:spacing w:after="0"/>
              <w:rPr>
                <w:sz w:val="16"/>
                <w:szCs w:val="16"/>
                <w:color w:val="auto"/>
              </w:rPr>
            </w:pPr>
          </w:p>
        </w:tc>
      </w:tr>
      <w:tr>
        <w:trPr>
          <w:trHeight w:val="186"/>
        </w:trPr>
        <w:tc>
          <w:tcPr>
            <w:tcW w:w="74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160" w:type="dxa"/>
            <w:vAlign w:val="bottom"/>
            <w:tcBorders>
              <w:bottom w:val="single" w:sz="8" w:color="auto"/>
            </w:tcBorders>
            <w:shd w:val="clear" w:color="auto" w:fill="CCECFF"/>
          </w:tcPr>
          <w:p>
            <w:pPr>
              <w:spacing w:after="0"/>
              <w:rPr>
                <w:sz w:val="16"/>
                <w:szCs w:val="16"/>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Borders>
              <w:bottom w:val="single" w:sz="8" w:color="CCECFF"/>
            </w:tcBorders>
            <w:shd w:val="clear" w:color="auto" w:fill="CCECFF"/>
          </w:tcPr>
          <w:p>
            <w:pPr>
              <w:spacing w:after="0"/>
              <w:rPr>
                <w:sz w:val="16"/>
                <w:szCs w:val="16"/>
                <w:color w:val="auto"/>
              </w:rPr>
            </w:pPr>
          </w:p>
        </w:tc>
        <w:tc>
          <w:tcPr>
            <w:tcW w:w="300" w:type="dxa"/>
            <w:vAlign w:val="bottom"/>
            <w:tcBorders>
              <w:bottom w:val="single" w:sz="8" w:color="auto"/>
            </w:tcBorders>
            <w:shd w:val="clear" w:color="auto" w:fill="CCECFF"/>
          </w:tcPr>
          <w:p>
            <w:pPr>
              <w:spacing w:after="0"/>
              <w:rPr>
                <w:sz w:val="16"/>
                <w:szCs w:val="16"/>
                <w:color w:val="auto"/>
              </w:rPr>
            </w:pPr>
          </w:p>
        </w:tc>
        <w:tc>
          <w:tcPr>
            <w:tcW w:w="540" w:type="dxa"/>
            <w:vAlign w:val="bottom"/>
            <w:tcBorders>
              <w:bottom w:val="single" w:sz="8" w:color="auto"/>
            </w:tcBorders>
            <w:shd w:val="clear" w:color="auto" w:fill="CCECFF"/>
          </w:tcPr>
          <w:p>
            <w:pPr>
              <w:spacing w:after="0"/>
              <w:rPr>
                <w:sz w:val="16"/>
                <w:szCs w:val="16"/>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60" w:type="dxa"/>
            <w:vAlign w:val="bottom"/>
            <w:tcBorders>
              <w:bottom w:val="single" w:sz="8" w:color="CCECFF"/>
            </w:tcBorders>
            <w:shd w:val="clear" w:color="auto" w:fill="CCECFF"/>
          </w:tcPr>
          <w:p>
            <w:pPr>
              <w:spacing w:after="0"/>
              <w:rPr>
                <w:sz w:val="16"/>
                <w:szCs w:val="16"/>
                <w:color w:val="auto"/>
              </w:rPr>
            </w:pPr>
          </w:p>
        </w:tc>
      </w:tr>
      <w:tr>
        <w:trPr>
          <w:trHeight w:val="177"/>
        </w:trPr>
        <w:tc>
          <w:tcPr>
            <w:tcW w:w="74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equity-based compensation expense</w:t>
            </w: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920" w:type="dxa"/>
            <w:vAlign w:val="bottom"/>
            <w:gridSpan w:val="3"/>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6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5796280</wp:posOffset>
            </wp:positionH>
            <wp:positionV relativeFrom="paragraph">
              <wp:posOffset>-146685</wp:posOffset>
            </wp:positionV>
            <wp:extent cx="444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-146685</wp:posOffset>
            </wp:positionV>
            <wp:extent cx="3683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830" cy="7620"/>
                    </a:xfrm>
                    <a:prstGeom prst="rect">
                      <a:avLst/>
                    </a:prstGeom>
                    <a:noFill/>
                  </pic:spPr>
                </pic:pic>
              </a:graphicData>
            </a:graphic>
          </wp:anchor>
        </w:drawing>
      </w:r>
    </w:p>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110" w:lineRule="exact"/>
        <w:rPr>
          <w:sz w:val="20"/>
          <w:szCs w:val="20"/>
          <w:color w:val="auto"/>
        </w:rPr>
      </w:pPr>
    </w:p>
    <w:p>
      <w:pPr>
        <w:ind w:left="7" w:right="400"/>
        <w:spacing w:after="0" w:line="280" w:lineRule="auto"/>
        <w:rPr>
          <w:sz w:val="20"/>
          <w:szCs w:val="20"/>
          <w:color w:val="auto"/>
        </w:rPr>
      </w:pPr>
      <w:r>
        <w:rPr>
          <w:rFonts w:ascii="Times New Roman" w:cs="Times New Roman" w:eastAsia="Times New Roman" w:hAnsi="Times New Roman"/>
          <w:sz w:val="15"/>
          <w:szCs w:val="15"/>
          <w:color w:val="auto"/>
        </w:rPr>
        <w:t>Stock options are awards that allow the recipient to purchase shares of the Company’s common stock at a fixed price. Stock options are granted at an exercise price equal to the Company’s stock price at the date of grant. These awards generally vest over five years following the grant date and have a contractual term of ten years.</w:t>
      </w:r>
    </w:p>
    <w:p>
      <w:pPr>
        <w:spacing w:after="0" w:line="13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auto"/>
        </w:rPr>
        <w:t>The following table summarizes the stock option activity (in millions, except per share data and years):</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349"/>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left="329"/>
              <w:spacing w:after="0" w:line="128" w:lineRule="exact"/>
              <w:rPr>
                <w:sz w:val="20"/>
                <w:szCs w:val="20"/>
                <w:color w:val="auto"/>
              </w:rPr>
            </w:pPr>
            <w:r>
              <w:rPr>
                <w:rFonts w:ascii="Times New Roman" w:cs="Times New Roman" w:eastAsia="Times New Roman" w:hAnsi="Times New Roman"/>
                <w:sz w:val="12"/>
                <w:szCs w:val="12"/>
                <w:b w:val="1"/>
                <w:bCs w:val="1"/>
                <w:color w:val="auto"/>
              </w:rPr>
              <w:t>Average Option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ind w:left="238"/>
              <w:spacing w:after="0" w:line="128" w:lineRule="exact"/>
              <w:rPr>
                <w:sz w:val="20"/>
                <w:szCs w:val="20"/>
                <w:color w:val="auto"/>
              </w:rPr>
            </w:pPr>
            <w:r>
              <w:rPr>
                <w:rFonts w:ascii="Times New Roman" w:cs="Times New Roman" w:eastAsia="Times New Roman" w:hAnsi="Times New Roman"/>
                <w:sz w:val="12"/>
                <w:szCs w:val="12"/>
                <w:b w:val="1"/>
                <w:bCs w:val="1"/>
                <w:color w:val="auto"/>
              </w:rPr>
              <w:t>Average Remaining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left="349"/>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ind w:left="238"/>
              <w:spacing w:after="0"/>
              <w:rPr>
                <w:sz w:val="20"/>
                <w:szCs w:val="20"/>
                <w:color w:val="auto"/>
              </w:rPr>
            </w:pPr>
            <w:r>
              <w:rPr>
                <w:rFonts w:ascii="Times New Roman" w:cs="Times New Roman" w:eastAsia="Times New Roman" w:hAnsi="Times New Roman"/>
                <w:sz w:val="12"/>
                <w:szCs w:val="12"/>
                <w:b w:val="1"/>
                <w:bCs w:val="1"/>
                <w:color w:val="auto"/>
              </w:rPr>
              <w:t>Contractual Term</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in Years</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rPr>
              <w:t>Intrinsic Value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3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Options outstanding at December 31, 2021</w:t>
            </w:r>
          </w:p>
        </w:tc>
        <w:tc>
          <w:tcPr>
            <w:tcW w:w="700" w:type="dxa"/>
            <w:vAlign w:val="bottom"/>
            <w:shd w:val="clear" w:color="auto" w:fill="CCECFF"/>
          </w:tcPr>
          <w:p>
            <w:pPr>
              <w:spacing w:after="0"/>
              <w:rPr>
                <w:sz w:val="15"/>
                <w:szCs w:val="15"/>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shd w:val="clear" w:color="auto" w:fill="CCECFF"/>
          </w:tcPr>
          <w:p>
            <w:pPr>
              <w:spacing w:after="0"/>
              <w:rPr>
                <w:sz w:val="15"/>
                <w:szCs w:val="15"/>
                <w:color w:val="auto"/>
              </w:rPr>
            </w:pPr>
          </w:p>
        </w:tc>
        <w:tc>
          <w:tcPr>
            <w:tcW w:w="1360" w:type="dxa"/>
            <w:vAlign w:val="bottom"/>
            <w:shd w:val="clear" w:color="auto" w:fill="CCECFF"/>
          </w:tcPr>
          <w:p>
            <w:pPr>
              <w:jc w:val="right"/>
              <w:ind w:right="120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24.59</w:t>
            </w:r>
          </w:p>
        </w:tc>
        <w:tc>
          <w:tcPr>
            <w:tcW w:w="120" w:type="dxa"/>
            <w:vAlign w:val="bottom"/>
            <w:shd w:val="clear" w:color="auto" w:fill="CCECFF"/>
          </w:tcPr>
          <w:p>
            <w:pPr>
              <w:spacing w:after="0"/>
              <w:rPr>
                <w:sz w:val="15"/>
                <w:szCs w:val="15"/>
                <w:color w:val="auto"/>
              </w:rPr>
            </w:pPr>
          </w:p>
        </w:tc>
        <w:tc>
          <w:tcPr>
            <w:tcW w:w="1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20" w:type="dxa"/>
            <w:vAlign w:val="bottom"/>
            <w:tcBorders>
              <w:right w:val="single" w:sz="8" w:color="CCECFF"/>
            </w:tcBorders>
            <w:shd w:val="clear" w:color="auto" w:fill="CCECFF"/>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Expired</w:t>
            </w:r>
          </w:p>
        </w:tc>
        <w:tc>
          <w:tcPr>
            <w:tcW w:w="7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8"/>
              </w:rPr>
              <w:t>(0.1 )</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23.87</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3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Options outstanding at March 31, 2022</w:t>
            </w:r>
          </w:p>
        </w:tc>
        <w:tc>
          <w:tcPr>
            <w:tcW w:w="700" w:type="dxa"/>
            <w:vAlign w:val="bottom"/>
            <w:tcBorders>
              <w:top w:val="single" w:sz="8" w:color="auto"/>
              <w:bottom w:val="single" w:sz="8" w:color="auto"/>
            </w:tcBorders>
            <w:shd w:val="clear" w:color="auto" w:fill="CCECFF"/>
          </w:tcPr>
          <w:p>
            <w:pPr>
              <w:spacing w:after="0"/>
              <w:rPr>
                <w:sz w:val="18"/>
                <w:szCs w:val="18"/>
                <w:color w:val="auto"/>
              </w:rPr>
            </w:pPr>
          </w:p>
        </w:tc>
        <w:tc>
          <w:tcPr>
            <w:tcW w:w="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Borders>
              <w:bottom w:val="single" w:sz="8" w:color="CCECFF"/>
            </w:tcBorders>
            <w:shd w:val="clear" w:color="auto" w:fill="CCECFF"/>
          </w:tcPr>
          <w:p>
            <w:pPr>
              <w:spacing w:after="0"/>
              <w:rPr>
                <w:sz w:val="18"/>
                <w:szCs w:val="18"/>
                <w:color w:val="auto"/>
              </w:rPr>
            </w:pPr>
          </w:p>
        </w:tc>
        <w:tc>
          <w:tcPr>
            <w:tcW w:w="1360" w:type="dxa"/>
            <w:vAlign w:val="bottom"/>
            <w:tcBorders>
              <w:bottom w:val="single" w:sz="8" w:color="CCECFF"/>
            </w:tcBorders>
            <w:shd w:val="clear" w:color="auto" w:fill="CCECFF"/>
          </w:tcPr>
          <w:p>
            <w:pPr>
              <w:jc w:val="right"/>
              <w:ind w:right="120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120" w:type="dxa"/>
            <w:vAlign w:val="bottom"/>
            <w:tcBorders>
              <w:bottom w:val="single" w:sz="8" w:color="CCECFF"/>
            </w:tcBorders>
            <w:shd w:val="clear" w:color="auto" w:fill="CCECFF"/>
          </w:tcPr>
          <w:p>
            <w:pPr>
              <w:spacing w:after="0"/>
              <w:rPr>
                <w:sz w:val="18"/>
                <w:szCs w:val="18"/>
                <w:color w:val="auto"/>
              </w:rPr>
            </w:pPr>
          </w:p>
        </w:tc>
        <w:tc>
          <w:tcPr>
            <w:tcW w:w="162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300" w:type="dxa"/>
            <w:vAlign w:val="bottom"/>
            <w:tcBorders>
              <w:bottom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CFF"/>
              <w:right w:val="single" w:sz="8" w:color="CCECFF"/>
            </w:tcBorders>
            <w:shd w:val="clear" w:color="auto" w:fill="CCEC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43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Options vested at March 31, 2022</w:t>
            </w:r>
          </w:p>
        </w:tc>
        <w:tc>
          <w:tcPr>
            <w:tcW w:w="2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2.3</w:t>
            </w:r>
          </w:p>
        </w:tc>
        <w:tc>
          <w:tcPr>
            <w:tcW w:w="200" w:type="dxa"/>
            <w:vAlign w:val="bottom"/>
          </w:tcPr>
          <w:p>
            <w:pPr>
              <w:spacing w:after="0"/>
              <w:rPr>
                <w:sz w:val="13"/>
                <w:szCs w:val="13"/>
                <w:color w:val="auto"/>
              </w:rPr>
            </w:pPr>
          </w:p>
        </w:tc>
        <w:tc>
          <w:tcPr>
            <w:tcW w:w="1360" w:type="dxa"/>
            <w:vAlign w:val="bottom"/>
          </w:tcPr>
          <w:p>
            <w:pPr>
              <w:jc w:val="right"/>
              <w:ind w:right="1209"/>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25.70</w:t>
            </w: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3.9</w:t>
            </w:r>
          </w:p>
        </w:tc>
        <w:tc>
          <w:tcPr>
            <w:tcW w:w="30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ind w:left="1000"/>
              <w:spacing w:after="0" w:line="161"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43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Options unvested at March 31, 2022</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shd w:val="clear" w:color="auto" w:fill="CCECFF"/>
          </w:tcPr>
          <w:p>
            <w:pPr>
              <w:spacing w:after="0"/>
              <w:rPr>
                <w:sz w:val="16"/>
                <w:szCs w:val="16"/>
                <w:color w:val="auto"/>
              </w:rPr>
            </w:pPr>
          </w:p>
        </w:tc>
        <w:tc>
          <w:tcPr>
            <w:tcW w:w="1360" w:type="dxa"/>
            <w:vAlign w:val="bottom"/>
            <w:shd w:val="clear" w:color="auto" w:fill="CCECFF"/>
          </w:tcPr>
          <w:p>
            <w:pPr>
              <w:jc w:val="right"/>
              <w:ind w:right="120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17.97</w:t>
            </w:r>
          </w:p>
        </w:tc>
        <w:tc>
          <w:tcPr>
            <w:tcW w:w="12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3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right w:val="single" w:sz="8" w:color="CCECFF"/>
            </w:tcBorders>
            <w:shd w:val="clear" w:color="auto" w:fill="CCEC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5"/>
        </w:trPr>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949"/>
              <w:spacing w:after="0"/>
              <w:rPr>
                <w:sz w:val="20"/>
                <w:szCs w:val="20"/>
                <w:color w:val="auto"/>
              </w:rPr>
            </w:pPr>
            <w:r>
              <w:rPr>
                <w:rFonts w:ascii="Times New Roman" w:cs="Times New Roman" w:eastAsia="Times New Roman" w:hAnsi="Times New Roman"/>
                <w:sz w:val="15"/>
                <w:szCs w:val="15"/>
                <w:color w:val="auto"/>
              </w:rPr>
              <w:t>20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-890270</wp:posOffset>
            </wp:positionV>
            <wp:extent cx="6604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-875665</wp:posOffset>
            </wp:positionV>
            <wp:extent cx="6604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exercise prices of outstanding options at March 31, 2022 were in the following ranges (in millions, except per share data and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2"/>
                <w:szCs w:val="12"/>
                <w:b w:val="1"/>
                <w:bCs w:val="1"/>
                <w:color w:val="auto"/>
              </w:rPr>
              <w:t>Options Outstanding</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2"/>
                <w:szCs w:val="12"/>
                <w:b w:val="1"/>
                <w:bCs w:val="1"/>
                <w:color w:val="auto"/>
              </w:rPr>
              <w:t>Options Exercisable</w:t>
            </w:r>
          </w:p>
        </w:tc>
        <w:tc>
          <w:tcPr>
            <w:tcW w:w="4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9"/>
        </w:trPr>
        <w:tc>
          <w:tcPr>
            <w:tcW w:w="3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160" w:type="dxa"/>
            <w:vAlign w:val="bottom"/>
          </w:tcPr>
          <w:p>
            <w:pPr>
              <w:spacing w:after="0"/>
              <w:rPr>
                <w:sz w:val="9"/>
                <w:szCs w:val="9"/>
                <w:color w:val="auto"/>
              </w:rPr>
            </w:pPr>
          </w:p>
        </w:tc>
        <w:tc>
          <w:tcPr>
            <w:tcW w:w="1200" w:type="dxa"/>
            <w:vAlign w:val="bottom"/>
          </w:tcPr>
          <w:p>
            <w:pPr>
              <w:jc w:val="center"/>
              <w:ind w:left="315"/>
              <w:spacing w:after="0" w:line="109"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jc w:val="center"/>
              <w:ind w:left="355"/>
              <w:spacing w:after="0" w:line="109"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8"/>
        </w:trPr>
        <w:tc>
          <w:tcPr>
            <w:tcW w:w="3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60" w:type="dxa"/>
            <w:vAlign w:val="bottom"/>
          </w:tcPr>
          <w:p>
            <w:pPr>
              <w:spacing w:after="0"/>
              <w:rPr>
                <w:sz w:val="11"/>
                <w:szCs w:val="11"/>
                <w:color w:val="auto"/>
              </w:rPr>
            </w:pPr>
          </w:p>
        </w:tc>
        <w:tc>
          <w:tcPr>
            <w:tcW w:w="1200" w:type="dxa"/>
            <w:vAlign w:val="bottom"/>
          </w:tcPr>
          <w:p>
            <w:pPr>
              <w:jc w:val="center"/>
              <w:ind w:left="295"/>
              <w:spacing w:after="0" w:line="128" w:lineRule="exact"/>
              <w:rPr>
                <w:sz w:val="20"/>
                <w:szCs w:val="20"/>
                <w:color w:val="auto"/>
              </w:rPr>
            </w:pPr>
            <w:r>
              <w:rPr>
                <w:rFonts w:ascii="Times New Roman" w:cs="Times New Roman" w:eastAsia="Times New Roman" w:hAnsi="Times New Roman"/>
                <w:sz w:val="12"/>
                <w:szCs w:val="12"/>
                <w:b w:val="1"/>
                <w:bCs w:val="1"/>
                <w:color w:val="auto"/>
              </w:rPr>
              <w:t>Average</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315"/>
              <w:spacing w:after="0" w:line="128"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8"/>
        </w:trPr>
        <w:tc>
          <w:tcPr>
            <w:tcW w:w="3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Contractual Life</w:t>
            </w:r>
          </w:p>
        </w:tc>
        <w:tc>
          <w:tcPr>
            <w:tcW w:w="160" w:type="dxa"/>
            <w:vAlign w:val="bottom"/>
          </w:tcPr>
          <w:p>
            <w:pPr>
              <w:spacing w:after="0"/>
              <w:rPr>
                <w:sz w:val="11"/>
                <w:szCs w:val="11"/>
                <w:color w:val="auto"/>
              </w:rPr>
            </w:pPr>
          </w:p>
        </w:tc>
        <w:tc>
          <w:tcPr>
            <w:tcW w:w="1200" w:type="dxa"/>
            <w:vAlign w:val="bottom"/>
          </w:tcPr>
          <w:p>
            <w:pPr>
              <w:jc w:val="center"/>
              <w:ind w:left="295"/>
              <w:spacing w:after="0" w:line="128" w:lineRule="exact"/>
              <w:rPr>
                <w:sz w:val="20"/>
                <w:szCs w:val="20"/>
                <w:color w:val="auto"/>
              </w:rPr>
            </w:pPr>
            <w:r>
              <w:rPr>
                <w:rFonts w:ascii="Times New Roman" w:cs="Times New Roman" w:eastAsia="Times New Roman" w:hAnsi="Times New Roman"/>
                <w:sz w:val="12"/>
                <w:szCs w:val="12"/>
                <w:b w:val="1"/>
                <w:bCs w:val="1"/>
                <w:color w:val="auto"/>
              </w:rPr>
              <w:t>Exercise Price</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315"/>
              <w:spacing w:after="0" w:line="128" w:lineRule="exact"/>
              <w:rPr>
                <w:sz w:val="20"/>
                <w:szCs w:val="20"/>
                <w:color w:val="auto"/>
              </w:rPr>
            </w:pPr>
            <w:r>
              <w:rPr>
                <w:rFonts w:ascii="Times New Roman" w:cs="Times New Roman" w:eastAsia="Times New Roman" w:hAnsi="Times New Roman"/>
                <w:sz w:val="12"/>
                <w:szCs w:val="12"/>
                <w:b w:val="1"/>
                <w:bCs w:val="1"/>
                <w:color w:val="auto"/>
              </w:rPr>
              <w:t>Exercise Price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Range of Exercise Prices</w:t>
            </w:r>
          </w:p>
        </w:tc>
        <w:tc>
          <w:tcPr>
            <w:tcW w:w="12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 Years</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$5.50 to $18.50</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60" w:type="dxa"/>
            <w:vAlign w:val="bottom"/>
            <w:shd w:val="clear" w:color="auto" w:fill="CCECFF"/>
          </w:tcPr>
          <w:p>
            <w:pPr>
              <w:spacing w:after="0"/>
              <w:rPr>
                <w:sz w:val="15"/>
                <w:szCs w:val="15"/>
                <w:color w:val="auto"/>
              </w:rPr>
            </w:pPr>
          </w:p>
        </w:tc>
        <w:tc>
          <w:tcPr>
            <w:tcW w:w="1200" w:type="dxa"/>
            <w:vAlign w:val="bottom"/>
            <w:shd w:val="clear" w:color="auto" w:fill="CCECFF"/>
          </w:tcPr>
          <w:p>
            <w:pPr>
              <w:jc w:val="right"/>
              <w:ind w:right="1055"/>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11.05</w:t>
            </w:r>
          </w:p>
        </w:tc>
        <w:tc>
          <w:tcPr>
            <w:tcW w:w="14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CFF"/>
          </w:tcPr>
          <w:p>
            <w:pPr>
              <w:spacing w:after="0"/>
              <w:rPr>
                <w:sz w:val="15"/>
                <w:szCs w:val="15"/>
                <w:color w:val="auto"/>
              </w:rPr>
            </w:pPr>
          </w:p>
        </w:tc>
        <w:tc>
          <w:tcPr>
            <w:tcW w:w="1200" w:type="dxa"/>
            <w:vAlign w:val="bottom"/>
            <w:shd w:val="clear" w:color="auto" w:fill="CCECFF"/>
          </w:tcPr>
          <w:p>
            <w:pPr>
              <w:jc w:val="right"/>
              <w:ind w:right="103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60" w:type="dxa"/>
            <w:vAlign w:val="bottom"/>
            <w:shd w:val="clear" w:color="auto" w:fill="CCECFF"/>
          </w:tcPr>
          <w:p>
            <w:pPr>
              <w:spacing w:after="0"/>
              <w:rPr>
                <w:sz w:val="15"/>
                <w:szCs w:val="15"/>
                <w:color w:val="auto"/>
              </w:rPr>
            </w:pPr>
          </w:p>
        </w:tc>
      </w:tr>
      <w:tr>
        <w:trPr>
          <w:trHeight w:val="186"/>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$18.51 to $30.00</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360" w:type="dxa"/>
            <w:vAlign w:val="bottom"/>
            <w:gridSpan w:val="2"/>
          </w:tcPr>
          <w:p>
            <w:pPr>
              <w:jc w:val="right"/>
              <w:ind w:right="105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19.76</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320" w:type="dxa"/>
            <w:vAlign w:val="bottom"/>
            <w:gridSpan w:val="2"/>
          </w:tcPr>
          <w:p>
            <w:pPr>
              <w:jc w:val="right"/>
              <w:ind w:right="103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60" w:type="dxa"/>
            <w:vAlign w:val="bottom"/>
          </w:tcPr>
          <w:p>
            <w:pPr>
              <w:spacing w:after="0"/>
              <w:rPr>
                <w:sz w:val="16"/>
                <w:szCs w:val="16"/>
                <w:color w:val="auto"/>
              </w:rPr>
            </w:pPr>
          </w:p>
        </w:tc>
      </w:tr>
      <w:tr>
        <w:trPr>
          <w:trHeight w:val="186"/>
        </w:trPr>
        <w:tc>
          <w:tcPr>
            <w:tcW w:w="35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$30.01 to $45.00</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9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360" w:type="dxa"/>
            <w:vAlign w:val="bottom"/>
            <w:tcBorders>
              <w:bottom w:val="single" w:sz="8" w:color="CCECFF"/>
            </w:tcBorders>
            <w:gridSpan w:val="2"/>
            <w:shd w:val="clear" w:color="auto" w:fill="CCECFF"/>
          </w:tcPr>
          <w:p>
            <w:pPr>
              <w:jc w:val="right"/>
              <w:ind w:right="105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36.33</w:t>
            </w:r>
          </w:p>
        </w:tc>
        <w:tc>
          <w:tcPr>
            <w:tcW w:w="140" w:type="dxa"/>
            <w:vAlign w:val="bottom"/>
            <w:tcBorders>
              <w:bottom w:val="single" w:sz="8" w:color="CCECFF"/>
            </w:tcBorders>
            <w:shd w:val="clear" w:color="auto" w:fill="CCECFF"/>
          </w:tcPr>
          <w:p>
            <w:pPr>
              <w:spacing w:after="0"/>
              <w:rPr>
                <w:sz w:val="16"/>
                <w:szCs w:val="16"/>
                <w:color w:val="auto"/>
              </w:rPr>
            </w:pPr>
          </w:p>
        </w:tc>
        <w:tc>
          <w:tcPr>
            <w:tcW w:w="620" w:type="dxa"/>
            <w:vAlign w:val="bottom"/>
            <w:tcBorders>
              <w:bottom w:val="single" w:sz="8" w:color="auto"/>
            </w:tcBorders>
            <w:shd w:val="clear" w:color="auto" w:fill="CCECFF"/>
          </w:tcPr>
          <w:p>
            <w:pPr>
              <w:spacing w:after="0"/>
              <w:rPr>
                <w:sz w:val="16"/>
                <w:szCs w:val="16"/>
                <w:color w:val="auto"/>
              </w:rPr>
            </w:pPr>
          </w:p>
        </w:tc>
        <w:tc>
          <w:tcPr>
            <w:tcW w:w="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320" w:type="dxa"/>
            <w:vAlign w:val="bottom"/>
            <w:tcBorders>
              <w:bottom w:val="single" w:sz="8" w:color="CCECFF"/>
            </w:tcBorders>
            <w:gridSpan w:val="2"/>
            <w:shd w:val="clear" w:color="auto" w:fill="CCECFF"/>
          </w:tcPr>
          <w:p>
            <w:pPr>
              <w:jc w:val="right"/>
              <w:ind w:right="103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36.33</w:t>
            </w:r>
          </w:p>
        </w:tc>
        <w:tc>
          <w:tcPr>
            <w:tcW w:w="60" w:type="dxa"/>
            <w:vAlign w:val="bottom"/>
            <w:tcBorders>
              <w:bottom w:val="single" w:sz="8" w:color="CCECFF"/>
            </w:tcBorders>
            <w:shd w:val="clear" w:color="auto" w:fill="CCECFF"/>
          </w:tcPr>
          <w:p>
            <w:pPr>
              <w:spacing w:after="0"/>
              <w:rPr>
                <w:sz w:val="16"/>
                <w:szCs w:val="16"/>
                <w:color w:val="auto"/>
              </w:rPr>
            </w:pPr>
          </w:p>
        </w:tc>
      </w:tr>
      <w:tr>
        <w:trPr>
          <w:trHeight w:val="177"/>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$5.50 to $45.00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360" w:type="dxa"/>
            <w:vAlign w:val="bottom"/>
            <w:gridSpan w:val="2"/>
          </w:tcPr>
          <w:p>
            <w:pPr>
              <w:jc w:val="right"/>
              <w:ind w:right="105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320" w:type="dxa"/>
            <w:vAlign w:val="bottom"/>
            <w:gridSpan w:val="2"/>
          </w:tcPr>
          <w:p>
            <w:pPr>
              <w:jc w:val="right"/>
              <w:ind w:right="103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25.70</w:t>
            </w:r>
          </w:p>
        </w:tc>
        <w:tc>
          <w:tcPr>
            <w:tcW w:w="6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-146685</wp:posOffset>
            </wp:positionV>
            <wp:extent cx="444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-146685</wp:posOffset>
            </wp:positionV>
            <wp:extent cx="3683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830" cy="7620"/>
                    </a:xfrm>
                    <a:prstGeom prst="rect">
                      <a:avLst/>
                    </a:prstGeom>
                    <a:noFill/>
                  </pic:spPr>
                </pic:pic>
              </a:graphicData>
            </a:graphic>
          </wp:anchor>
        </w:drawing>
      </w:r>
    </w:p>
    <w:p>
      <w:pPr>
        <w:spacing w:after="0" w:line="1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5"/>
          <w:szCs w:val="15"/>
          <w:color w:val="auto"/>
        </w:rPr>
        <w:t>The Company uses the Black-Scholes model to estimate the fair value of stock option awards at the date of grant. Key inputs and assumptions used in the model include the exercise price of the award, the expected option term, the risk-free interest rate, stock price volatility and the Company’s projected dividend yield. The expected term represents the period over which the Company’s employees are expected to hold their options. The risk-free interest rate reflects the yield on zero-coupon U.S. treasury securities with a term equal to the option’s expected term. Expected volatility is derived based on the historical volatility of the Company’s stock. The Company’s projected dividend yield is zero. There were no stock option awards granted during the three months ended March 31, 2022 or 2021.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Stock Units</w:t>
      </w:r>
    </w:p>
    <w:p>
      <w:pPr>
        <w:spacing w:after="0" w:line="98"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5"/>
          <w:szCs w:val="15"/>
          <w:color w:val="auto"/>
        </w:rPr>
        <w:t>RSUs entitle the holder to shares of common stock after a vesting period that generally ranges from one to three years. The fair value of the awards is determined on the grant date based on the Company’s stock price.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RSU activity (in millions, except per share data):</w:t>
      </w:r>
    </w:p>
    <w:p>
      <w:pPr>
        <w:spacing w:after="0" w:line="157" w:lineRule="exact"/>
        <w:rPr>
          <w:sz w:val="20"/>
          <w:szCs w:val="20"/>
          <w:color w:val="auto"/>
        </w:rPr>
      </w:pPr>
    </w:p>
    <w:tbl>
      <w:tblPr>
        <w:tblLayout w:type="fixed"/>
        <w:tblInd w:w="1680" w:type="dxa"/>
        <w:tblCellMar>
          <w:top w:w="0" w:type="dxa"/>
          <w:left w:w="0" w:type="dxa"/>
          <w:bottom w:w="0" w:type="dxa"/>
          <w:right w:w="0" w:type="dxa"/>
        </w:tblCellMar>
      </w:tblPr>
      <w:tr>
        <w:trPr>
          <w:trHeight w:val="139"/>
        </w:trPr>
        <w:tc>
          <w:tcPr>
            <w:tcW w:w="3980" w:type="dxa"/>
            <w:vAlign w:val="bottom"/>
          </w:tcPr>
          <w:p>
            <w:pPr>
              <w:spacing w:after="0"/>
              <w:rPr>
                <w:sz w:val="12"/>
                <w:szCs w:val="12"/>
                <w:color w:val="auto"/>
              </w:rPr>
            </w:pPr>
          </w:p>
        </w:tc>
        <w:tc>
          <w:tcPr>
            <w:tcW w:w="1360" w:type="dxa"/>
            <w:vAlign w:val="bottom"/>
            <w:vMerge w:val="restart"/>
          </w:tcPr>
          <w:p>
            <w:pPr>
              <w:jc w:val="center"/>
              <w:ind w:left="378"/>
              <w:spacing w:after="0"/>
              <w:rPr>
                <w:sz w:val="20"/>
                <w:szCs w:val="20"/>
                <w:color w:val="auto"/>
              </w:rPr>
            </w:pPr>
            <w:r>
              <w:rPr>
                <w:rFonts w:ascii="Times New Roman" w:cs="Times New Roman" w:eastAsia="Times New Roman" w:hAnsi="Times New Roman"/>
                <w:sz w:val="12"/>
                <w:szCs w:val="12"/>
                <w:b w:val="1"/>
                <w:bCs w:val="1"/>
                <w:color w:val="auto"/>
              </w:rPr>
              <w:t>Restricted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jc w:val="center"/>
              <w:ind w:right="210"/>
              <w:spacing w:after="0" w:line="128" w:lineRule="exact"/>
              <w:rPr>
                <w:sz w:val="20"/>
                <w:szCs w:val="20"/>
                <w:color w:val="auto"/>
              </w:rPr>
            </w:pPr>
            <w:r>
              <w:rPr>
                <w:rFonts w:ascii="Times New Roman" w:cs="Times New Roman" w:eastAsia="Times New Roman" w:hAnsi="Times New Roman"/>
                <w:sz w:val="12"/>
                <w:szCs w:val="12"/>
                <w:b w:val="1"/>
                <w:bCs w:val="1"/>
                <w:color w:val="auto"/>
              </w:rPr>
              <w:t>Average Grant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1360" w:type="dxa"/>
            <w:vAlign w:val="bottom"/>
          </w:tcPr>
          <w:p>
            <w:pPr>
              <w:jc w:val="center"/>
              <w:ind w:left="398"/>
              <w:spacing w:after="0" w:line="128" w:lineRule="exact"/>
              <w:rPr>
                <w:sz w:val="20"/>
                <w:szCs w:val="20"/>
                <w:color w:val="auto"/>
              </w:rPr>
            </w:pPr>
            <w:r>
              <w:rPr>
                <w:rFonts w:ascii="Times New Roman" w:cs="Times New Roman" w:eastAsia="Times New Roman" w:hAnsi="Times New Roman"/>
                <w:sz w:val="12"/>
                <w:szCs w:val="12"/>
                <w:b w:val="1"/>
                <w:bCs w:val="1"/>
                <w:color w:val="auto"/>
              </w:rPr>
              <w:t>Stock</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jc w:val="center"/>
              <w:ind w:right="230"/>
              <w:spacing w:after="0" w:line="128" w:lineRule="exact"/>
              <w:rPr>
                <w:sz w:val="20"/>
                <w:szCs w:val="20"/>
                <w:color w:val="auto"/>
              </w:rPr>
            </w:pPr>
            <w:r>
              <w:rPr>
                <w:rFonts w:ascii="Times New Roman" w:cs="Times New Roman" w:eastAsia="Times New Roman" w:hAnsi="Times New Roman"/>
                <w:sz w:val="12"/>
                <w:szCs w:val="12"/>
                <w:b w:val="1"/>
                <w:bCs w:val="1"/>
                <w:color w:val="auto"/>
              </w:rPr>
              <w:t>Date 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3"/>
                <w:szCs w:val="13"/>
                <w:color w:val="auto"/>
              </w:rPr>
            </w:pPr>
          </w:p>
        </w:tc>
        <w:tc>
          <w:tcPr>
            <w:tcW w:w="136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2"/>
                <w:szCs w:val="12"/>
                <w:b w:val="1"/>
                <w:bCs w:val="1"/>
                <w:color w:val="auto"/>
              </w:rPr>
              <w:t>Units</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Non-vested share units at December 31, 2021</w:t>
            </w:r>
          </w:p>
        </w:tc>
        <w:tc>
          <w:tcPr>
            <w:tcW w:w="136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20" w:type="dxa"/>
            <w:vAlign w:val="bottom"/>
            <w:shd w:val="clear" w:color="auto" w:fill="CCECFF"/>
          </w:tcPr>
          <w:p>
            <w:pPr>
              <w:spacing w:after="0"/>
              <w:rPr>
                <w:sz w:val="15"/>
                <w:szCs w:val="15"/>
                <w:color w:val="auto"/>
              </w:rPr>
            </w:pPr>
          </w:p>
        </w:tc>
        <w:tc>
          <w:tcPr>
            <w:tcW w:w="300" w:type="dxa"/>
            <w:vAlign w:val="bottom"/>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15.04</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20" w:type="dxa"/>
            <w:vAlign w:val="bottom"/>
          </w:tcPr>
          <w:p>
            <w:pPr>
              <w:spacing w:after="0"/>
              <w:rPr>
                <w:sz w:val="16"/>
                <w:szCs w:val="16"/>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Vested and shares issued</w:t>
            </w:r>
          </w:p>
        </w:tc>
        <w:tc>
          <w:tcPr>
            <w:tcW w:w="6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(3.7 )</w:t>
            </w:r>
          </w:p>
        </w:tc>
        <w:tc>
          <w:tcPr>
            <w:tcW w:w="300" w:type="dxa"/>
            <w:vAlign w:val="bottom"/>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13.68</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3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(0.3 )</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Non-vested share units at March 31, 2022</w:t>
            </w:r>
          </w:p>
        </w:tc>
        <w:tc>
          <w:tcPr>
            <w:tcW w:w="1360" w:type="dxa"/>
            <w:vAlign w:val="bottom"/>
            <w:tcBorders>
              <w:top w:val="single" w:sz="8" w:color="auto"/>
              <w:bottom w:val="single" w:sz="8" w:color="auto"/>
            </w:tcBorders>
            <w:shd w:val="clear" w:color="auto" w:fill="CCECFF"/>
          </w:tcPr>
          <w:p>
            <w:pPr>
              <w:spacing w:after="0"/>
              <w:rPr>
                <w:sz w:val="18"/>
                <w:szCs w:val="18"/>
                <w:color w:val="auto"/>
              </w:rPr>
            </w:pP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2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14.42</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4753610</wp:posOffset>
            </wp:positionH>
            <wp:positionV relativeFrom="paragraph">
              <wp:posOffset>-21590</wp:posOffset>
            </wp:positionV>
            <wp:extent cx="7366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-6985</wp:posOffset>
            </wp:positionV>
            <wp:extent cx="7366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660" cy="762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 Share Units</w:t>
      </w:r>
    </w:p>
    <w:p>
      <w:pPr>
        <w:spacing w:after="0" w:line="1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5"/>
          <w:szCs w:val="15"/>
          <w:color w:val="auto"/>
        </w:rPr>
        <w:t>PSUs are stock awards in which the number of shares ultimately received by the employee depends on achievement against a performance measure. Certain of CommScope’s PSUs have an internal performance measure vesting at the end of three years. The number of shares issued under these awards can vary between 0% and 300% of the number of PSUs granted. The fair value of these awards is determined on the date of grant based on the Company's stock price.</w:t>
      </w:r>
    </w:p>
    <w:p>
      <w:pPr>
        <w:spacing w:after="0" w:line="15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5"/>
          <w:szCs w:val="15"/>
          <w:color w:val="auto"/>
        </w:rPr>
        <w:t>CommScope also has PSUs with a market condition performance measure based on stock price milestones over a three-year period. The number of shares issued under these awards can vary between 0% to 100% of the number of PSUs granted. In addition, during the three months ended March 31, 2022, the Company granted certain other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CommScope Holding Company, Inc.</w:t>
      </w:r>
    </w:p>
    <w:p>
      <w:pPr>
        <w:spacing w:after="0" w:line="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(In millions, unless otherwise noted)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weighted average assumptions used to estimate the fair value of these awards granted during the three months ended March 31,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5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8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66"/>
        </w:trPr>
        <w:tc>
          <w:tcPr>
            <w:tcW w:w="9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8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487"/>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60" w:type="dxa"/>
            <w:vAlign w:val="bottom"/>
          </w:tcPr>
          <w:p>
            <w:pPr>
              <w:spacing w:after="0"/>
              <w:rPr>
                <w:sz w:val="14"/>
                <w:szCs w:val="14"/>
                <w:color w:val="auto"/>
              </w:rPr>
            </w:pPr>
          </w:p>
        </w:tc>
      </w:tr>
      <w:tr>
        <w:trPr>
          <w:trHeight w:val="177"/>
        </w:trPr>
        <w:tc>
          <w:tcPr>
            <w:tcW w:w="960" w:type="dxa"/>
            <w:vAlign w:val="bottom"/>
          </w:tcPr>
          <w:p>
            <w:pPr>
              <w:spacing w:after="0"/>
              <w:rPr>
                <w:sz w:val="15"/>
                <w:szCs w:val="15"/>
                <w:color w:val="auto"/>
              </w:rPr>
            </w:pPr>
          </w:p>
        </w:tc>
        <w:tc>
          <w:tcPr>
            <w:tcW w:w="49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800" w:type="dxa"/>
            <w:vAlign w:val="bottom"/>
            <w:shd w:val="clear" w:color="auto" w:fill="CCECFF"/>
          </w:tcPr>
          <w:p>
            <w:pPr>
              <w:spacing w:after="0"/>
              <w:rPr>
                <w:sz w:val="15"/>
                <w:szCs w:val="15"/>
                <w:color w:val="auto"/>
              </w:rPr>
            </w:pPr>
          </w:p>
        </w:tc>
        <w:tc>
          <w:tcPr>
            <w:tcW w:w="980" w:type="dxa"/>
            <w:vAlign w:val="bottom"/>
            <w:tcBorders>
              <w:top w:val="single" w:sz="8" w:color="auto"/>
            </w:tcBorders>
            <w:shd w:val="clear" w:color="auto" w:fill="CCECFF"/>
          </w:tcPr>
          <w:p>
            <w:pPr>
              <w:spacing w:after="0"/>
              <w:rPr>
                <w:sz w:val="15"/>
                <w:szCs w:val="15"/>
                <w:color w:val="auto"/>
              </w:rPr>
            </w:pPr>
          </w:p>
        </w:tc>
        <w:tc>
          <w:tcPr>
            <w:tcW w:w="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380" w:type="dxa"/>
            <w:vAlign w:val="bottom"/>
            <w:shd w:val="clear" w:color="auto" w:fill="CCECFF"/>
          </w:tcPr>
          <w:p>
            <w:pPr>
              <w:spacing w:after="0"/>
              <w:rPr>
                <w:sz w:val="15"/>
                <w:szCs w:val="15"/>
                <w:color w:val="auto"/>
              </w:rPr>
            </w:pPr>
          </w:p>
        </w:tc>
        <w:tc>
          <w:tcPr>
            <w:tcW w:w="580" w:type="dxa"/>
            <w:vAlign w:val="bottom"/>
            <w:tcBorders>
              <w:top w:val="single" w:sz="8" w:color="auto"/>
            </w:tcBorders>
            <w:shd w:val="clear" w:color="auto" w:fill="CCECFF"/>
          </w:tcPr>
          <w:p>
            <w:pPr>
              <w:spacing w:after="0"/>
              <w:rPr>
                <w:sz w:val="15"/>
                <w:szCs w:val="15"/>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6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95"/>
              </w:rPr>
              <w:t>%</w:t>
            </w:r>
          </w:p>
        </w:tc>
      </w:tr>
      <w:tr>
        <w:trPr>
          <w:trHeight w:val="186"/>
        </w:trPr>
        <w:tc>
          <w:tcPr>
            <w:tcW w:w="96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60.6 %</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52.5 %</w:t>
            </w:r>
          </w:p>
        </w:tc>
      </w:tr>
      <w:tr>
        <w:trPr>
          <w:trHeight w:val="186"/>
        </w:trPr>
        <w:tc>
          <w:tcPr>
            <w:tcW w:w="960" w:type="dxa"/>
            <w:vAlign w:val="bottom"/>
          </w:tcPr>
          <w:p>
            <w:pPr>
              <w:spacing w:after="0"/>
              <w:rPr>
                <w:sz w:val="16"/>
                <w:szCs w:val="16"/>
                <w:color w:val="auto"/>
              </w:rPr>
            </w:pPr>
          </w:p>
        </w:tc>
        <w:tc>
          <w:tcPr>
            <w:tcW w:w="49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Weighted average fair value at grant date</w:t>
            </w:r>
          </w:p>
        </w:tc>
        <w:tc>
          <w:tcPr>
            <w:tcW w:w="1780" w:type="dxa"/>
            <w:vAlign w:val="bottom"/>
            <w:gridSpan w:val="2"/>
            <w:shd w:val="clear" w:color="auto" w:fill="CCECFF"/>
          </w:tcPr>
          <w:p>
            <w:pPr>
              <w:jc w:val="right"/>
              <w:ind w:right="81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11.47</w:t>
            </w:r>
          </w:p>
        </w:tc>
        <w:tc>
          <w:tcPr>
            <w:tcW w:w="1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260" w:type="dxa"/>
            <w:vAlign w:val="bottom"/>
            <w:shd w:val="clear" w:color="auto" w:fill="CCECFF"/>
          </w:tcPr>
          <w:p>
            <w:pPr>
              <w:spacing w:after="0"/>
              <w:rPr>
                <w:sz w:val="16"/>
                <w:szCs w:val="16"/>
                <w:color w:val="auto"/>
              </w:rPr>
            </w:pPr>
          </w:p>
        </w:tc>
      </w:tr>
      <w:tr>
        <w:trPr>
          <w:trHeight w:val="371"/>
        </w:trPr>
        <w:tc>
          <w:tcPr>
            <w:tcW w:w="5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summarizes the PSU activity (in millions, except per share data):</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69"/>
        </w:trPr>
        <w:tc>
          <w:tcPr>
            <w:tcW w:w="96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128"/>
        </w:trPr>
        <w:tc>
          <w:tcPr>
            <w:tcW w:w="9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Average Grant</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8"/>
        </w:trPr>
        <w:tc>
          <w:tcPr>
            <w:tcW w:w="9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780" w:type="dxa"/>
            <w:vAlign w:val="bottom"/>
            <w:gridSpan w:val="2"/>
          </w:tcPr>
          <w:p>
            <w:pPr>
              <w:jc w:val="center"/>
              <w:ind w:left="34"/>
              <w:spacing w:after="0"/>
              <w:rPr>
                <w:sz w:val="20"/>
                <w:szCs w:val="20"/>
                <w:color w:val="auto"/>
              </w:rPr>
            </w:pPr>
            <w:r>
              <w:rPr>
                <w:rFonts w:ascii="Times New Roman" w:cs="Times New Roman" w:eastAsia="Times New Roman" w:hAnsi="Times New Roman"/>
                <w:sz w:val="12"/>
                <w:szCs w:val="12"/>
                <w:b w:val="1"/>
                <w:bCs w:val="1"/>
                <w:color w:val="auto"/>
              </w:rPr>
              <w:t>Performance</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Date Fair Value</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2"/>
        </w:trPr>
        <w:tc>
          <w:tcPr>
            <w:tcW w:w="9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80" w:type="dxa"/>
            <w:vAlign w:val="bottom"/>
            <w:gridSpan w:val="2"/>
          </w:tcPr>
          <w:p>
            <w:pPr>
              <w:jc w:val="center"/>
              <w:ind w:left="54"/>
              <w:spacing w:after="0"/>
              <w:rPr>
                <w:sz w:val="20"/>
                <w:szCs w:val="20"/>
                <w:color w:val="auto"/>
              </w:rPr>
            </w:pPr>
            <w:r>
              <w:rPr>
                <w:rFonts w:ascii="Times New Roman" w:cs="Times New Roman" w:eastAsia="Times New Roman" w:hAnsi="Times New Roman"/>
                <w:sz w:val="12"/>
                <w:szCs w:val="12"/>
                <w:b w:val="1"/>
                <w:bCs w:val="1"/>
                <w:color w:val="auto"/>
              </w:rPr>
              <w:t>Share Units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0900"/>
          </w:cols>
          <w:pgMar w:left="320" w:top="121" w:right="679" w:bottom="1440" w:gutter="0" w:footer="0" w:header="0"/>
        </w:sectPr>
      </w:pPr>
    </w:p>
    <w:p>
      <w:pPr>
        <w:ind w:left="1700"/>
        <w:spacing w:after="0"/>
        <w:rPr>
          <w:sz w:val="20"/>
          <w:szCs w:val="20"/>
          <w:color w:val="auto"/>
        </w:rPr>
      </w:pPr>
      <w:r>
        <w:rPr>
          <w:rFonts w:ascii="Times New Roman" w:cs="Times New Roman" w:eastAsia="Times New Roman" w:hAnsi="Times New Roman"/>
          <w:sz w:val="15"/>
          <w:szCs w:val="15"/>
          <w:color w:val="auto"/>
        </w:rPr>
        <w:t>Non-vested share units at December 31, 2021</w:t>
      </w:r>
    </w:p>
    <w:p>
      <w:pPr>
        <w:spacing w:after="0" w:line="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Granted</w:t>
      </w:r>
    </w:p>
    <w:p>
      <w:pPr>
        <w:spacing w:after="0" w:line="45"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5"/>
          <w:szCs w:val="15"/>
          <w:color w:val="auto"/>
        </w:rPr>
        <w:t>Non-vested share units at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7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right"/>
              <w:ind w:right="543"/>
              <w:spacing w:after="0" w:line="163"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7.69</w:t>
            </w:r>
          </w:p>
        </w:tc>
      </w:tr>
      <w:tr>
        <w:trPr>
          <w:trHeight w:val="200"/>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900" w:type="dxa"/>
            <w:vAlign w:val="bottom"/>
            <w:gridSpan w:val="2"/>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w:t>
            </w:r>
          </w:p>
        </w:tc>
      </w:tr>
      <w:tr>
        <w:trPr>
          <w:trHeight w:val="177"/>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900" w:type="dxa"/>
            <w:vAlign w:val="bottom"/>
            <w:gridSpan w:val="2"/>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-382270</wp:posOffset>
            </wp:positionV>
            <wp:extent cx="5001260" cy="1181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01260" cy="11811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-146685</wp:posOffset>
            </wp:positionV>
            <wp:extent cx="5001260" cy="147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01260"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4960"/>
          </w:cols>
          <w:pgMar w:left="320" w:top="121" w:right="679" w:bottom="1440" w:gutter="0" w:footer="0" w:header="0"/>
          <w:type w:val="continuous"/>
        </w:sectPr>
      </w:pPr>
    </w:p>
    <w:p>
      <w:pPr>
        <w:spacing w:after="0" w:line="1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The following narrative is an analysis of the three months ended March 31, 2022 compared to the three months ended March 31, 2021.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2021 (2021 Annual Report).</w:t>
      </w:r>
    </w:p>
    <w:p>
      <w:pPr>
        <w:spacing w:after="0" w:line="15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5"/>
          <w:szCs w:val="15"/>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elsewhere in this quarterly report for more information about these non-GAAP financial measures, including our reasons for including the measures and material limitations with respect to the usefulness of the measures.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We are a global provider of infrastructure solutions for communication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a broad array of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In 2021, we announced a transformation initiative called CommScope NEXT designed to drive shareholder value through three pillars: profitable growth, operational efficiency and portfolio optimization. We believe these efforts are critical to making us more competitive and allowing us to invest in growth and maximize stockholder and stakeholder value. We incurred $12.1 million and $44.4 million of restructuring costs and $15.6 million and $15.7 million of transaction, transformation and integration costs during the three months ended March 31, 2022 and 2021, respectively, both primarily related to CommScope NEXT. We expect to continue to incur restructuring costs and transaction, transformation and integration costs related to CommScope NEXT and such costs could be material.</w:t>
      </w:r>
    </w:p>
    <w:p>
      <w:pPr>
        <w:spacing w:after="0" w:line="1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auto"/>
        </w:rPr>
        <w:t>As a step to optimize our portfolio through CommScope NEXT, as of January 1, 2022, we reorganized our internal management and reporting structure to align our portfolio of products and solutions more closely with the markets we serve and bring better performance clarity with our competitive peer set. The reorganization changed the information regularly reviewed by our chief operating decision maker for purposes of allocating resources and assessing performance. As a result, we are now reporting financial performance based on the following operating segments: Connectivity and Cable Solutions (CCS), Outdoor Wireless Networks (OWN), Networking, Intelligent Cellular and Security Solutions (NICS), Access Network Solutions (ANS) and Home Networks (Home). Prior to this change, we operated and reported four operating segments: Broadband Networks (Broadband), Outdoor Wireless Networks (OWN), Venue and Campus Networks (VCN) and Home Networks (Home). The Home segment was unchanged in this realignment. All prior period amounts have been recast to reflect these operating segment changes.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Also as a step in our CommScope NEXT transformation plan, in 2021, we announced a plan to separate the Home Networks business via a spin-off transaction. Due to the impact of the uncertain supply chain environment on the Home Networks business, we have delayed our separation plan, but we continue to analyze the financial results of our "Core" business separately from Home. As such, below we refer to certain supplementary Core financial measures, which reflect the results of our CCS, OWN, NICS and ANS segments in the aggregate. See the Segment Results section below for the aggregation of our Core financial measures.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color w:val="auto"/>
        </w:rPr>
        <w:t>Impacts of COVID-19 and Supply Chain Constraints</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The impact of the COVID-19 pandemic and measures taken to contain its spread remain dynamic. We continue to monitor the situation, particularly the new lock-downs and restrictions in parts of China that have recently been imposed, and actively assess further implications for our business, supply chain and customer demand. In the second quarter of 2022, we reopened most of our offices across the globe, but we continue to take meaningful precautions in accordance with relevant guidelines to protect the health and safety of our employees. Variants continue to emerge, efforts to mitigate or contain the impacts of the pandemic continue to evolve and the duration and severity of the impact of the pandemic on our business and results of operations in future periods remain uncertain.</w:t>
      </w:r>
    </w:p>
    <w:p>
      <w:pPr>
        <w:spacing w:after="0" w:line="1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5"/>
          <w:szCs w:val="15"/>
          <w:color w:val="auto"/>
        </w:rPr>
        <w:t>As in many industries, we have seen the negative impacts of COVID-19 recede and a recovery in demand for our products over the past year, but this has created negative indirect consequences such as inflation, shortages in materials and components and increased logistics costs. Prices for certain commodities that we use such as aluminum, copper, steel, silicon, fluoropolymers and certain other polymers have experienced significant volatility as a result of changes in the levels of global demand, supply disruptions, including port, transportation and distribution delays or interruptions, and other factors. As a result, we have seen a significant increase in costs that has negatively impacted our results of operations. We are also experiencing limited supply of memory devices, capacitors and silicon chips, which has increased our costs and has impacted our ability to deliver on a timely basis due to extended lead times. We are trying to mitigate our increasing component and logistics costs by implementing higher prices on our products and services. We are also mitigating certain shortages by purchasing components in advance and maintaining higher levels of inventory or finding alternate vendors for some components.</w:t>
      </w:r>
    </w:p>
    <w:p>
      <w:pPr>
        <w:spacing w:after="0" w:line="15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5"/>
          <w:szCs w:val="15"/>
          <w:color w:val="auto"/>
        </w:rPr>
        <w:t>We believe the global supply chain challenges and their adverse impact on our business and financial results will persist, at least through the remainder of 2022, and may extend into periods thereafter. We expect these constrained supply conditions to increase our costs and impact our ability to deliver products to our customers in a timely manner.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more discussion of the risks related to COVID-19 and the supply chain environment, see Part I, Item 1A, “Risk Factors” in our 2021 Annual Report.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180"/>
          </w:cols>
          <w:pgMar w:left="320" w:top="573" w:right="399" w:bottom="1440" w:gutter="0" w:footer="0" w:header="0"/>
        </w:sectPr>
      </w:pPr>
    </w:p>
    <w:bookmarkStart w:id="25" w:name="page26"/>
    <w:bookmarkEnd w:id="25"/>
    <w:p>
      <w:pPr>
        <w:ind w:left="7"/>
        <w:spacing w:after="0"/>
        <w:rPr>
          <w:sz w:val="20"/>
          <w:szCs w:val="20"/>
          <w:color w:val="auto"/>
        </w:rPr>
      </w:pPr>
      <w:r>
        <w:rPr>
          <w:rFonts w:ascii="Times New Roman" w:cs="Times New Roman" w:eastAsia="Times New Roman" w:hAnsi="Times New Roman"/>
          <w:sz w:val="15"/>
          <w:szCs w:val="15"/>
          <w:b w:val="1"/>
          <w:bCs w:val="1"/>
          <w:color w:val="auto"/>
        </w:rPr>
        <w:t>CRITICAL ACCOUNTING POLICIES</w:t>
      </w:r>
    </w:p>
    <w:p>
      <w:pPr>
        <w:spacing w:after="0" w:line="11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There have been no changes in our critical accounting policies as disclosed in our 2021 Annual Report.</w:t>
      </w: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COMPARISON OF RESULTS OF OPERATIONS FOR THE THREE MONTHS ENDED MARCH 31, 2022 WITH THE THREE MONTHS ENDED MARCH 31, 2021</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gridSpan w:val="5"/>
          </w:tcPr>
          <w:p>
            <w:pPr>
              <w:jc w:val="right"/>
              <w:ind w:right="83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tcPr>
          <w:p>
            <w:pPr>
              <w:jc w:val="right"/>
              <w:ind w:right="128"/>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47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0" w:type="dxa"/>
            <w:vAlign w:val="bottom"/>
          </w:tcPr>
          <w:p>
            <w:pPr>
              <w:jc w:val="right"/>
              <w:ind w:right="107"/>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720" w:type="dxa"/>
            <w:vAlign w:val="bottom"/>
          </w:tcPr>
          <w:p>
            <w:pPr>
              <w:jc w:val="right"/>
              <w:ind w:right="226"/>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20" w:type="dxa"/>
            <w:vAlign w:val="bottom"/>
            <w:gridSpan w:val="2"/>
          </w:tcPr>
          <w:p>
            <w:pPr>
              <w:jc w:val="right"/>
              <w:ind w:right="618"/>
              <w:spacing w:after="0"/>
              <w:rPr>
                <w:sz w:val="20"/>
                <w:szCs w:val="20"/>
                <w:color w:val="auto"/>
              </w:rPr>
            </w:pPr>
            <w:r>
              <w:rPr>
                <w:rFonts w:ascii="Times New Roman" w:cs="Times New Roman" w:eastAsia="Times New Roman" w:hAnsi="Times New Roman"/>
                <w:sz w:val="12"/>
                <w:szCs w:val="12"/>
                <w:b w:val="1"/>
                <w:bCs w:val="1"/>
                <w:color w:val="auto"/>
              </w:rPr>
              <w:t>Sales</w:t>
            </w: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Sales</w:t>
            </w: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(dollars</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millions, except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per</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share amounts)</w:t>
            </w: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1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sales</w:t>
            </w:r>
          </w:p>
        </w:tc>
        <w:tc>
          <w:tcPr>
            <w:tcW w:w="20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2,228.6</w:t>
            </w:r>
          </w:p>
        </w:tc>
        <w:tc>
          <w:tcPr>
            <w:tcW w:w="260" w:type="dxa"/>
            <w:vAlign w:val="bottom"/>
            <w:shd w:val="clear" w:color="auto" w:fill="CCECFF"/>
          </w:tcPr>
          <w:p>
            <w:pPr>
              <w:spacing w:after="0"/>
              <w:rPr>
                <w:sz w:val="16"/>
                <w:szCs w:val="16"/>
                <w:color w:val="auto"/>
              </w:rPr>
            </w:pPr>
          </w:p>
        </w:tc>
        <w:tc>
          <w:tcPr>
            <w:tcW w:w="1220" w:type="dxa"/>
            <w:vAlign w:val="bottom"/>
            <w:gridSpan w:val="2"/>
            <w:shd w:val="clear" w:color="auto" w:fill="CCECFF"/>
          </w:tcPr>
          <w:p>
            <w:pPr>
              <w:jc w:val="right"/>
              <w:ind w:right="198"/>
              <w:spacing w:after="0"/>
              <w:rPr>
                <w:sz w:val="20"/>
                <w:szCs w:val="20"/>
                <w:color w:val="auto"/>
              </w:rPr>
            </w:pPr>
            <w:r>
              <w:rPr>
                <w:rFonts w:ascii="Times New Roman" w:cs="Times New Roman" w:eastAsia="Times New Roman" w:hAnsi="Times New Roman"/>
                <w:sz w:val="15"/>
                <w:szCs w:val="15"/>
                <w:color w:val="auto"/>
              </w:rPr>
              <w:t>100.0 %</w:t>
            </w: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2,072.0</w:t>
            </w:r>
          </w:p>
        </w:tc>
        <w:tc>
          <w:tcPr>
            <w:tcW w:w="24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5"/>
                <w:szCs w:val="15"/>
                <w:color w:val="auto"/>
              </w:rPr>
              <w:t>100.0 %</w:t>
            </w:r>
          </w:p>
        </w:tc>
        <w:tc>
          <w:tcPr>
            <w:tcW w:w="18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24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5"/>
                <w:szCs w:val="15"/>
                <w:color w:val="auto"/>
              </w:rPr>
              <w:t>7.6 %</w:t>
            </w:r>
          </w:p>
        </w:tc>
        <w:tc>
          <w:tcPr>
            <w:tcW w:w="0" w:type="dxa"/>
            <w:vAlign w:val="bottom"/>
          </w:tcPr>
          <w:p>
            <w:pPr>
              <w:spacing w:after="0"/>
              <w:rPr>
                <w:sz w:val="1"/>
                <w:szCs w:val="1"/>
                <w:color w:val="auto"/>
              </w:rPr>
            </w:pPr>
          </w:p>
        </w:tc>
      </w:tr>
      <w:tr>
        <w:trPr>
          <w:trHeight w:val="186"/>
        </w:trPr>
        <w:tc>
          <w:tcPr>
            <w:tcW w:w="4180" w:type="dxa"/>
            <w:vAlign w:val="bottom"/>
          </w:tcPr>
          <w:p>
            <w:pPr>
              <w:spacing w:after="0" w:line="185" w:lineRule="exact"/>
              <w:rPr>
                <w:sz w:val="20"/>
                <w:szCs w:val="20"/>
                <w:color w:val="auto"/>
              </w:rPr>
            </w:pPr>
            <w:r>
              <w:rPr>
                <w:rFonts w:ascii="Times New Roman" w:cs="Times New Roman" w:eastAsia="Times New Roman" w:hAnsi="Times New Roman"/>
                <w:sz w:val="15"/>
                <w:szCs w:val="15"/>
                <w:color w:val="auto"/>
              </w:rPr>
              <w:t xml:space="preserve">Core net sales </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1,732.9</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1,571.0</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636.3</w:t>
            </w:r>
          </w:p>
        </w:tc>
        <w:tc>
          <w:tcPr>
            <w:tcW w:w="2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4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672.2</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3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5"/>
                <w:szCs w:val="15"/>
                <w:color w:val="auto"/>
              </w:rPr>
              <w:t>(35.9 )</w:t>
            </w:r>
          </w:p>
        </w:tc>
        <w:tc>
          <w:tcPr>
            <w:tcW w:w="10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(5.3 )</w:t>
            </w:r>
          </w:p>
        </w:tc>
        <w:tc>
          <w:tcPr>
            <w:tcW w:w="0" w:type="dxa"/>
            <w:vAlign w:val="bottom"/>
          </w:tcPr>
          <w:p>
            <w:pPr>
              <w:spacing w:after="0"/>
              <w:rPr>
                <w:sz w:val="1"/>
                <w:szCs w:val="1"/>
                <w:color w:val="auto"/>
              </w:rPr>
            </w:pPr>
          </w:p>
        </w:tc>
      </w:tr>
      <w:tr>
        <w:trPr>
          <w:trHeight w:val="186"/>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80" w:type="dxa"/>
            <w:vAlign w:val="bottom"/>
            <w:shd w:val="clear" w:color="auto" w:fill="CCECFF"/>
          </w:tcPr>
          <w:p>
            <w:pPr>
              <w:spacing w:after="0" w:line="185" w:lineRule="exact"/>
              <w:rPr>
                <w:sz w:val="20"/>
                <w:szCs w:val="20"/>
                <w:color w:val="auto"/>
              </w:rPr>
            </w:pPr>
            <w:r>
              <w:rPr>
                <w:rFonts w:ascii="Times New Roman" w:cs="Times New Roman" w:eastAsia="Times New Roman" w:hAnsi="Times New Roman"/>
                <w:sz w:val="15"/>
                <w:szCs w:val="15"/>
                <w:color w:val="auto"/>
              </w:rPr>
              <w:t xml:space="preserve">Core operating income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2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4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40" w:type="dxa"/>
            <w:vAlign w:val="bottom"/>
            <w:shd w:val="clear" w:color="auto" w:fill="CCECFF"/>
          </w:tcPr>
          <w:p>
            <w:pPr>
              <w:spacing w:after="0"/>
              <w:rPr>
                <w:sz w:val="16"/>
                <w:szCs w:val="16"/>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line="185" w:lineRule="exact"/>
              <w:rPr>
                <w:sz w:val="20"/>
                <w:szCs w:val="20"/>
                <w:color w:val="auto"/>
              </w:rPr>
            </w:pPr>
            <w:r>
              <w:rPr>
                <w:rFonts w:ascii="Times New Roman" w:cs="Times New Roman" w:eastAsia="Times New Roman" w:hAnsi="Times New Roman"/>
                <w:sz w:val="15"/>
                <w:szCs w:val="15"/>
                <w:color w:val="auto"/>
              </w:rPr>
              <w:t xml:space="preserve">Non-GAAP adjusted EBITDA </w:t>
            </w:r>
            <w:r>
              <w:rPr>
                <w:rFonts w:ascii="Times New Roman" w:cs="Times New Roman" w:eastAsia="Times New Roman" w:hAnsi="Times New Roman"/>
                <w:sz w:val="20"/>
                <w:szCs w:val="20"/>
                <w:color w:val="auto"/>
                <w:vertAlign w:val="superscript"/>
              </w:rPr>
              <w:t>(2)</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253.3</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289.7</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(36.4 )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(12.6 )</w:t>
            </w:r>
          </w:p>
        </w:tc>
        <w:tc>
          <w:tcPr>
            <w:tcW w:w="0" w:type="dxa"/>
            <w:vAlign w:val="bottom"/>
          </w:tcPr>
          <w:p>
            <w:pPr>
              <w:spacing w:after="0"/>
              <w:rPr>
                <w:sz w:val="1"/>
                <w:szCs w:val="1"/>
                <w:color w:val="auto"/>
              </w:rPr>
            </w:pPr>
          </w:p>
        </w:tc>
      </w:tr>
      <w:tr>
        <w:trPr>
          <w:trHeight w:val="186"/>
        </w:trPr>
        <w:tc>
          <w:tcPr>
            <w:tcW w:w="4180" w:type="dxa"/>
            <w:vAlign w:val="bottom"/>
            <w:shd w:val="clear" w:color="auto" w:fill="CCECFF"/>
          </w:tcPr>
          <w:p>
            <w:pPr>
              <w:spacing w:after="0" w:line="185" w:lineRule="exact"/>
              <w:rPr>
                <w:sz w:val="20"/>
                <w:szCs w:val="20"/>
                <w:color w:val="auto"/>
              </w:rPr>
            </w:pPr>
            <w:r>
              <w:rPr>
                <w:rFonts w:ascii="Times New Roman" w:cs="Times New Roman" w:eastAsia="Times New Roman" w:hAnsi="Times New Roman"/>
                <w:sz w:val="15"/>
                <w:szCs w:val="15"/>
                <w:color w:val="auto"/>
              </w:rPr>
              <w:t xml:space="preserve">Core adjusted EBITDA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230.0</w:t>
            </w:r>
          </w:p>
        </w:tc>
        <w:tc>
          <w:tcPr>
            <w:tcW w:w="2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4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270.3</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3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5"/>
                <w:szCs w:val="15"/>
                <w:color w:val="auto"/>
              </w:rPr>
              <w:t>(40.3 )</w:t>
            </w:r>
          </w:p>
        </w:tc>
        <w:tc>
          <w:tcPr>
            <w:tcW w:w="10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(14.9 )</w:t>
            </w:r>
          </w:p>
        </w:tc>
        <w:tc>
          <w:tcPr>
            <w:tcW w:w="0" w:type="dxa"/>
            <w:vAlign w:val="bottom"/>
          </w:tcPr>
          <w:p>
            <w:pPr>
              <w:spacing w:after="0"/>
              <w:rPr>
                <w:sz w:val="1"/>
                <w:szCs w:val="1"/>
                <w:color w:val="auto"/>
              </w:rPr>
            </w:pPr>
          </w:p>
        </w:tc>
      </w:tr>
      <w:tr>
        <w:trPr>
          <w:trHeight w:val="186"/>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(139.9 )</w:t>
            </w:r>
          </w:p>
        </w:tc>
        <w:tc>
          <w:tcPr>
            <w:tcW w:w="1220" w:type="dxa"/>
            <w:vAlign w:val="bottom"/>
            <w:gridSpan w:val="2"/>
          </w:tcPr>
          <w:p>
            <w:pPr>
              <w:jc w:val="right"/>
              <w:ind w:right="278"/>
              <w:spacing w:after="0"/>
              <w:rPr>
                <w:sz w:val="20"/>
                <w:szCs w:val="20"/>
                <w:color w:val="auto"/>
              </w:rPr>
            </w:pPr>
            <w:r>
              <w:rPr>
                <w:rFonts w:ascii="Times New Roman" w:cs="Times New Roman" w:eastAsia="Times New Roman" w:hAnsi="Times New Roman"/>
                <w:sz w:val="15"/>
                <w:szCs w:val="15"/>
                <w:color w:val="auto"/>
              </w:rPr>
              <w:t>(6.3 )</w:t>
            </w:r>
          </w:p>
        </w:tc>
        <w:tc>
          <w:tcPr>
            <w:tcW w:w="180" w:type="dxa"/>
            <w:vAlign w:val="bottom"/>
          </w:tcPr>
          <w:p>
            <w:pPr>
              <w:spacing w:after="0"/>
              <w:rPr>
                <w:sz w:val="16"/>
                <w:szCs w:val="16"/>
                <w:color w:val="auto"/>
              </w:rPr>
            </w:pPr>
          </w:p>
        </w:tc>
        <w:tc>
          <w:tcPr>
            <w:tcW w:w="1060" w:type="dxa"/>
            <w:vAlign w:val="bottom"/>
            <w:gridSpan w:val="2"/>
          </w:tcPr>
          <w:p>
            <w:pPr>
              <w:jc w:val="right"/>
              <w:ind w:right="118"/>
              <w:spacing w:after="0"/>
              <w:rPr>
                <w:sz w:val="20"/>
                <w:szCs w:val="20"/>
                <w:color w:val="auto"/>
              </w:rPr>
            </w:pPr>
            <w:r>
              <w:rPr>
                <w:rFonts w:ascii="Times New Roman" w:cs="Times New Roman" w:eastAsia="Times New Roman" w:hAnsi="Times New Roman"/>
                <w:sz w:val="15"/>
                <w:szCs w:val="15"/>
                <w:color w:val="auto"/>
              </w:rPr>
              <w:t>(97.6 )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(4.7 )</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(42.3 )</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Diluted loss per share</w:t>
            </w:r>
          </w:p>
        </w:tc>
        <w:tc>
          <w:tcPr>
            <w:tcW w:w="20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(0.75 )</w:t>
            </w:r>
          </w:p>
        </w:tc>
        <w:tc>
          <w:tcPr>
            <w:tcW w:w="820" w:type="dxa"/>
            <w:vAlign w:val="bottom"/>
            <w:shd w:val="clear" w:color="auto" w:fill="CCECFF"/>
          </w:tcPr>
          <w:p>
            <w:pPr>
              <w:spacing w:after="0"/>
              <w:rPr>
                <w:sz w:val="16"/>
                <w:szCs w:val="16"/>
                <w:color w:val="auto"/>
              </w:rPr>
            </w:pPr>
          </w:p>
        </w:tc>
        <w:tc>
          <w:tcPr>
            <w:tcW w:w="400" w:type="dxa"/>
            <w:vAlign w:val="bottom"/>
            <w:shd w:val="clear" w:color="auto" w:fill="CCECFF"/>
          </w:tcPr>
          <w:p>
            <w:pPr>
              <w:spacing w:after="0"/>
              <w:rPr>
                <w:sz w:val="16"/>
                <w:szCs w:val="16"/>
                <w:color w:val="auto"/>
              </w:rPr>
            </w:pP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CFF"/>
          </w:tcPr>
          <w:p>
            <w:pPr>
              <w:jc w:val="right"/>
              <w:ind w:right="118"/>
              <w:spacing w:after="0"/>
              <w:rPr>
                <w:sz w:val="20"/>
                <w:szCs w:val="20"/>
                <w:color w:val="auto"/>
              </w:rPr>
            </w:pPr>
            <w:r>
              <w:rPr>
                <w:rFonts w:ascii="Times New Roman" w:cs="Times New Roman" w:eastAsia="Times New Roman" w:hAnsi="Times New Roman"/>
                <w:sz w:val="15"/>
                <w:szCs w:val="15"/>
                <w:color w:val="auto"/>
              </w:rPr>
              <w:t>(0.55 )</w:t>
            </w:r>
          </w:p>
        </w:tc>
        <w:tc>
          <w:tcPr>
            <w:tcW w:w="80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8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5"/>
                <w:szCs w:val="15"/>
                <w:color w:val="auto"/>
              </w:rPr>
              <w:t>(0.20 )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7" w:right="80" w:hanging="507"/>
        <w:spacing w:after="0" w:line="261" w:lineRule="auto"/>
        <w:tabs>
          <w:tab w:leader="none" w:pos="50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Core financial measures reflect the results of our CCS, OWN, NICS and ANS segments, in the aggregate. Core financial measures exclude the results of our Home segment. See the Segment Results section below for illustration of the aggregation of our Core financial measures.</w:t>
      </w:r>
    </w:p>
    <w:p>
      <w:pPr>
        <w:ind w:left="507" w:hanging="507"/>
        <w:spacing w:after="0"/>
        <w:tabs>
          <w:tab w:leader="none" w:pos="50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“Reconciliation of Non-GAAP Measures.”</w:t>
      </w:r>
    </w:p>
    <w:p>
      <w:pPr>
        <w:spacing w:after="0" w:line="2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Net sales</w:t>
      </w:r>
    </w:p>
    <w:p>
      <w:pPr>
        <w:spacing w:after="0" w:line="172" w:lineRule="exact"/>
        <w:rPr>
          <w:sz w:val="20"/>
          <w:szCs w:val="20"/>
          <w:color w:val="auto"/>
        </w:rPr>
      </w:pPr>
    </w:p>
    <w:tbl>
      <w:tblPr>
        <w:tblLayout w:type="fixed"/>
        <w:tblInd w:w="447" w:type="dxa"/>
        <w:tblCellMar>
          <w:top w:w="0" w:type="dxa"/>
          <w:left w:w="0" w:type="dxa"/>
          <w:bottom w:w="0" w:type="dxa"/>
          <w:right w:w="0" w:type="dxa"/>
        </w:tblCellMar>
      </w:tblPr>
      <w:tr>
        <w:trPr>
          <w:trHeight w:val="151"/>
        </w:trPr>
        <w:tc>
          <w:tcPr>
            <w:tcW w:w="3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1"/>
        </w:trPr>
        <w:tc>
          <w:tcPr>
            <w:tcW w:w="32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gridSpan w:val="2"/>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3"/>
                <w:szCs w:val="13"/>
                <w:color w:val="auto"/>
              </w:rPr>
            </w:pPr>
          </w:p>
        </w:tc>
      </w:tr>
      <w:tr>
        <w:trPr>
          <w:trHeight w:val="142"/>
        </w:trPr>
        <w:tc>
          <w:tcPr>
            <w:tcW w:w="3280" w:type="dxa"/>
            <w:vAlign w:val="bottom"/>
          </w:tcPr>
          <w:p>
            <w:pPr>
              <w:spacing w:after="0"/>
              <w:rPr>
                <w:sz w:val="12"/>
                <w:szCs w:val="12"/>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2022</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2"/>
                <w:szCs w:val="12"/>
                <w:b w:val="1"/>
                <w:bCs w:val="1"/>
                <w:color w:val="auto"/>
              </w:rPr>
              <w:t>2021</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00" w:type="dxa"/>
            <w:vAlign w:val="bottom"/>
          </w:tcPr>
          <w:p>
            <w:pPr>
              <w:spacing w:after="0"/>
              <w:rPr>
                <w:sz w:val="12"/>
                <w:szCs w:val="12"/>
                <w:color w:val="auto"/>
              </w:rPr>
            </w:pPr>
          </w:p>
        </w:tc>
        <w:tc>
          <w:tcPr>
            <w:tcW w:w="13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tcPr>
          <w:p>
            <w:pPr>
              <w:spacing w:after="0"/>
              <w:rPr>
                <w:sz w:val="12"/>
                <w:szCs w:val="12"/>
                <w:color w:val="auto"/>
              </w:rPr>
            </w:pPr>
          </w:p>
        </w:tc>
      </w:tr>
      <w:tr>
        <w:trPr>
          <w:trHeight w:val="142"/>
        </w:trPr>
        <w:tc>
          <w:tcPr>
            <w:tcW w:w="3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(dollars in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8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000" w:type="dxa"/>
            <w:vAlign w:val="bottom"/>
            <w:shd w:val="clear" w:color="auto" w:fill="CCECFF"/>
          </w:tcPr>
          <w:p>
            <w:pPr>
              <w:jc w:val="right"/>
              <w:ind w:right="83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2,228.6</w:t>
            </w:r>
          </w:p>
        </w:tc>
        <w:tc>
          <w:tcPr>
            <w:tcW w:w="840" w:type="dxa"/>
            <w:vAlign w:val="bottom"/>
            <w:gridSpan w:val="2"/>
            <w:shd w:val="clear" w:color="auto" w:fill="CCEC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2,072.0</w:t>
            </w:r>
          </w:p>
        </w:tc>
        <w:tc>
          <w:tcPr>
            <w:tcW w:w="6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1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5"/>
                <w:szCs w:val="15"/>
                <w:color w:val="auto"/>
              </w:rPr>
              <w:t>7.6 %</w:t>
            </w:r>
          </w:p>
        </w:tc>
      </w:tr>
      <w:tr>
        <w:trPr>
          <w:trHeight w:val="186"/>
        </w:trPr>
        <w:tc>
          <w:tcPr>
            <w:tcW w:w="3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Domestic</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1,347.1</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1,191.9</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260" w:type="dxa"/>
            <w:vAlign w:val="bottom"/>
          </w:tcPr>
          <w:p>
            <w:pPr>
              <w:spacing w:after="0"/>
              <w:rPr>
                <w:sz w:val="16"/>
                <w:szCs w:val="16"/>
                <w:color w:val="auto"/>
              </w:rPr>
            </w:pPr>
          </w:p>
        </w:tc>
      </w:tr>
      <w:tr>
        <w:trPr>
          <w:trHeight w:val="186"/>
        </w:trPr>
        <w:tc>
          <w:tcPr>
            <w:tcW w:w="32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5"/>
                <w:szCs w:val="15"/>
                <w:color w:val="auto"/>
              </w:rPr>
              <w:t>International</w:t>
            </w:r>
          </w:p>
        </w:tc>
        <w:tc>
          <w:tcPr>
            <w:tcW w:w="100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881.5</w:t>
            </w:r>
          </w:p>
        </w:tc>
        <w:tc>
          <w:tcPr>
            <w:tcW w:w="32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880.1</w:t>
            </w:r>
          </w:p>
        </w:tc>
        <w:tc>
          <w:tcPr>
            <w:tcW w:w="32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shd w:val="clear" w:color="auto" w:fill="CCECFF"/>
          </w:tcPr>
          <w:p>
            <w:pPr>
              <w:spacing w:after="0"/>
              <w:rPr>
                <w:sz w:val="16"/>
                <w:szCs w:val="16"/>
                <w:color w:val="auto"/>
              </w:rPr>
            </w:pPr>
          </w:p>
        </w:tc>
      </w:tr>
    </w:tbl>
    <w:p>
      <w:pPr>
        <w:spacing w:after="0" w:line="136" w:lineRule="exact"/>
        <w:rPr>
          <w:sz w:val="20"/>
          <w:szCs w:val="20"/>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Net sales for the three months ended March 31, 2022 increased $156.6 million, or 7.6%, compared to the prior year period primarily driven by higher pricing and increased volume. Core net sales increased $161.9 million, or 10.3%, compared to the prior year period with increases in the CCS segment of $161.1 million and the OWN segment of $65.9 million, partially offset by decreases in the ANS segment of $61.9 million and the NICS segment of $3.2 million. For the three months ended March 31, 2022, net sales in the Home segment decreased $5.3 million compared to the prior year period. We continued to experience supply shortages and extended lead times for certain materials that negatively affected our ability to meet customer demand for certain of our products during the three months ended March 31, 2022. We expect these shortages and delays to persist for the remainder of 2022 and into 2023. For further details by segment, see the discussion of Segment Results below.</w:t>
      </w:r>
    </w:p>
    <w:p>
      <w:pPr>
        <w:spacing w:after="0" w:line="149" w:lineRule="exact"/>
        <w:rPr>
          <w:sz w:val="20"/>
          <w:szCs w:val="20"/>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From a regional perspective, for the three months ended March 31, 2022 compared to the prior year period, net sales increased in the U.S. by $155.2 million, Canada by $32.5 million and the Europe, Middle East and Africa (EMEA) region by $20.7 million. These increases in net sales were partially offset by decreases in the Caribbean and Latin American (CALA) region of $29.8 million and the Asia Pacific (APAC) region of $22.0 million. Net sales to customers located outside of the U.S. comprised 39.6% of total net sales for the three months ended March 31, 2022 compared to 42.5% for the three months ended March 31, 2021. Foreign exchange rate changes impacted net sales unfavorably by approximately 1% for the three months ended March 31, 2022 compared to the prior year period. For additional information on regional sales by segment, see the discussion of Segment Results below and Note 7 in the Notes to Unaudited Condensed Consolidated Financial Statements included herein.</w:t>
      </w:r>
    </w:p>
    <w:p>
      <w:pPr>
        <w:spacing w:after="0" w:line="14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292100</wp:posOffset>
            </wp:positionV>
            <wp:extent cx="717677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57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color w:val="auto"/>
        </w:rPr>
        <w:t>Gross profit, SG&amp;A expense and R&amp;D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center"/>
              <w:ind w:left="57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1"/>
        </w:trPr>
        <w:tc>
          <w:tcPr>
            <w:tcW w:w="39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574"/>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13"/>
                <w:szCs w:val="13"/>
                <w:color w:val="auto"/>
              </w:rPr>
            </w:pPr>
          </w:p>
        </w:tc>
      </w:tr>
      <w:tr>
        <w:trPr>
          <w:trHeight w:val="142"/>
        </w:trPr>
        <w:tc>
          <w:tcPr>
            <w:tcW w:w="39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2"/>
                <w:szCs w:val="12"/>
                <w:b w:val="1"/>
                <w:bCs w:val="1"/>
                <w:color w:val="auto"/>
              </w:rPr>
              <w:t>2022</w:t>
            </w:r>
          </w:p>
        </w:tc>
        <w:tc>
          <w:tcPr>
            <w:tcW w:w="4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2021</w:t>
            </w:r>
          </w:p>
        </w:tc>
        <w:tc>
          <w:tcPr>
            <w:tcW w:w="3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80" w:type="dxa"/>
            <w:vAlign w:val="bottom"/>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8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(dollars</w:t>
            </w: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4"/>
        </w:trPr>
        <w:tc>
          <w:tcPr>
            <w:tcW w:w="39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36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42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380" w:type="dxa"/>
            <w:vAlign w:val="bottom"/>
            <w:shd w:val="clear" w:color="auto" w:fill="CCECFF"/>
          </w:tcPr>
          <w:p>
            <w:pPr>
              <w:spacing w:after="0"/>
              <w:rPr>
                <w:sz w:val="15"/>
                <w:szCs w:val="15"/>
                <w:color w:val="auto"/>
              </w:rPr>
            </w:pPr>
          </w:p>
        </w:tc>
        <w:tc>
          <w:tcPr>
            <w:tcW w:w="42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(35.9 )</w:t>
            </w:r>
          </w:p>
        </w:tc>
        <w:tc>
          <w:tcPr>
            <w:tcW w:w="1680" w:type="dxa"/>
            <w:vAlign w:val="bottom"/>
            <w:gridSpan w:val="2"/>
            <w:shd w:val="clear" w:color="auto" w:fill="CCECFF"/>
          </w:tcPr>
          <w:p>
            <w:pPr>
              <w:ind w:left="1160"/>
              <w:spacing w:after="0"/>
              <w:rPr>
                <w:sz w:val="20"/>
                <w:szCs w:val="20"/>
                <w:color w:val="auto"/>
              </w:rPr>
            </w:pPr>
            <w:r>
              <w:rPr>
                <w:rFonts w:ascii="Times New Roman" w:cs="Times New Roman" w:eastAsia="Times New Roman" w:hAnsi="Times New Roman"/>
                <w:sz w:val="14"/>
                <w:szCs w:val="14"/>
                <w:color w:val="auto"/>
              </w:rPr>
              <w:t>(5.3 )%</w:t>
            </w:r>
          </w:p>
        </w:tc>
      </w:tr>
      <w:tr>
        <w:trPr>
          <w:trHeight w:val="174"/>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As a percent of sales</w:t>
            </w:r>
          </w:p>
        </w:tc>
        <w:tc>
          <w:tcPr>
            <w:tcW w:w="3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28.6 %</w:t>
            </w:r>
          </w:p>
        </w:tc>
        <w:tc>
          <w:tcPr>
            <w:tcW w:w="480" w:type="dxa"/>
            <w:vAlign w:val="bottom"/>
          </w:tcPr>
          <w:p>
            <w:pPr>
              <w:spacing w:after="0"/>
              <w:rPr>
                <w:sz w:val="15"/>
                <w:szCs w:val="15"/>
                <w:color w:val="auto"/>
              </w:rPr>
            </w:pPr>
          </w:p>
        </w:tc>
        <w:tc>
          <w:tcPr>
            <w:tcW w:w="13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32.4 %</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39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SG&amp;A expense</w:t>
            </w:r>
          </w:p>
        </w:tc>
        <w:tc>
          <w:tcPr>
            <w:tcW w:w="36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4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3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(6.7 )</w:t>
            </w:r>
          </w:p>
        </w:tc>
        <w:tc>
          <w:tcPr>
            <w:tcW w:w="1680" w:type="dxa"/>
            <w:vAlign w:val="bottom"/>
            <w:gridSpan w:val="2"/>
            <w:shd w:val="clear" w:color="auto" w:fill="CCECFF"/>
          </w:tcPr>
          <w:p>
            <w:pPr>
              <w:ind w:left="1160"/>
              <w:spacing w:after="0"/>
              <w:rPr>
                <w:sz w:val="20"/>
                <w:szCs w:val="20"/>
                <w:color w:val="auto"/>
              </w:rPr>
            </w:pPr>
            <w:r>
              <w:rPr>
                <w:rFonts w:ascii="Times New Roman" w:cs="Times New Roman" w:eastAsia="Times New Roman" w:hAnsi="Times New Roman"/>
                <w:sz w:val="14"/>
                <w:szCs w:val="14"/>
                <w:color w:val="auto"/>
              </w:rPr>
              <w:t>(2.3 )</w:t>
            </w:r>
          </w:p>
        </w:tc>
      </w:tr>
      <w:tr>
        <w:trPr>
          <w:trHeight w:val="174"/>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As a percent of sales</w:t>
            </w:r>
          </w:p>
        </w:tc>
        <w:tc>
          <w:tcPr>
            <w:tcW w:w="3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12.8 %</w:t>
            </w:r>
          </w:p>
        </w:tc>
        <w:tc>
          <w:tcPr>
            <w:tcW w:w="480" w:type="dxa"/>
            <w:vAlign w:val="bottom"/>
          </w:tcPr>
          <w:p>
            <w:pPr>
              <w:spacing w:after="0"/>
              <w:rPr>
                <w:sz w:val="15"/>
                <w:szCs w:val="15"/>
                <w:color w:val="auto"/>
              </w:rPr>
            </w:pPr>
          </w:p>
        </w:tc>
        <w:tc>
          <w:tcPr>
            <w:tcW w:w="13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14.1 %</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39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R&amp;D expense</w:t>
            </w:r>
          </w:p>
        </w:tc>
        <w:tc>
          <w:tcPr>
            <w:tcW w:w="36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4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3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(0.8 )</w:t>
            </w:r>
          </w:p>
        </w:tc>
        <w:tc>
          <w:tcPr>
            <w:tcW w:w="1680" w:type="dxa"/>
            <w:vAlign w:val="bottom"/>
            <w:gridSpan w:val="2"/>
            <w:shd w:val="clear" w:color="auto" w:fill="CCECFF"/>
          </w:tcPr>
          <w:p>
            <w:pPr>
              <w:ind w:left="1160"/>
              <w:spacing w:after="0"/>
              <w:rPr>
                <w:sz w:val="20"/>
                <w:szCs w:val="20"/>
                <w:color w:val="auto"/>
              </w:rPr>
            </w:pPr>
            <w:r>
              <w:rPr>
                <w:rFonts w:ascii="Times New Roman" w:cs="Times New Roman" w:eastAsia="Times New Roman" w:hAnsi="Times New Roman"/>
                <w:sz w:val="14"/>
                <w:szCs w:val="14"/>
                <w:color w:val="auto"/>
              </w:rPr>
              <w:t>(0.5 )</w:t>
            </w:r>
          </w:p>
        </w:tc>
      </w:tr>
      <w:tr>
        <w:trPr>
          <w:trHeight w:val="191"/>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As a percent of sales</w:t>
            </w:r>
          </w:p>
        </w:tc>
        <w:tc>
          <w:tcPr>
            <w:tcW w:w="360" w:type="dxa"/>
            <w:vAlign w:val="bottom"/>
          </w:tcPr>
          <w:p>
            <w:pPr>
              <w:spacing w:after="0"/>
              <w:rPr>
                <w:sz w:val="16"/>
                <w:szCs w:val="16"/>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7.7 %</w:t>
            </w:r>
          </w:p>
        </w:tc>
        <w:tc>
          <w:tcPr>
            <w:tcW w:w="480" w:type="dxa"/>
            <w:vAlign w:val="bottom"/>
          </w:tcPr>
          <w:p>
            <w:pPr>
              <w:spacing w:after="0"/>
              <w:rPr>
                <w:sz w:val="16"/>
                <w:szCs w:val="16"/>
                <w:color w:val="auto"/>
              </w:rPr>
            </w:pPr>
          </w:p>
        </w:tc>
        <w:tc>
          <w:tcPr>
            <w:tcW w:w="13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8.3 %</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Gross profit (net sales less cost of sales)</w:t>
      </w:r>
    </w:p>
    <w:p>
      <w:pPr>
        <w:spacing w:after="0" w:line="98"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5"/>
          <w:szCs w:val="15"/>
          <w:color w:val="auto"/>
        </w:rPr>
        <w:t>Despite higher consolidated net sales, gross profit decreased for the three months ended March 31, 2022 compared to the prior year period primarily due to significantly higher material and freight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 expense</w:t>
      </w:r>
    </w:p>
    <w:p>
      <w:pPr>
        <w:spacing w:after="0" w:line="9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For the three months ended March 31, 2022, SG&amp;A expense decreased by $6.7 million compared to the prior year period. The decrease was primarily due to cost savings initiatives, partially offset by higher bad debt expense of $9.4 million, $5.4 million of which was driven by a reassessment of the collectability of our outstanding accounts receivable from Russian customers in light of the ongoing Russia/Ukraine conflict.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w:t>
      </w:r>
    </w:p>
    <w:p>
      <w:pPr>
        <w:spacing w:after="0" w:line="98"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5"/>
          <w:szCs w:val="15"/>
          <w:color w:val="auto"/>
        </w:rPr>
        <w:t>Research and development (R&amp;D) expense was relatively unchanged for the three months ended March 31, 2022 compared to the prior year period. R&amp;D activities generally relate to ensuring that our products are capable of meeting the evolving technological needs of our customers, bringing new products to market and modifying existing products to better serve our customers.</w:t>
      </w: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Amortization of purchased intangible assets, Restructuring costs,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1"/>
        </w:trPr>
        <w:tc>
          <w:tcPr>
            <w:tcW w:w="55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spacing w:after="0"/>
              <w:rPr>
                <w:sz w:val="13"/>
                <w:szCs w:val="13"/>
                <w:color w:val="auto"/>
              </w:rPr>
            </w:pPr>
          </w:p>
        </w:tc>
      </w:tr>
      <w:tr>
        <w:trPr>
          <w:trHeight w:val="142"/>
        </w:trPr>
        <w:tc>
          <w:tcPr>
            <w:tcW w:w="554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2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(dollars in</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86"/>
        </w:trPr>
        <w:tc>
          <w:tcPr>
            <w:tcW w:w="55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780" w:type="dxa"/>
            <w:vAlign w:val="bottom"/>
            <w:shd w:val="clear" w:color="auto" w:fill="CCECFF"/>
          </w:tcPr>
          <w:p>
            <w:pPr>
              <w:jc w:val="right"/>
              <w:ind w:right="630"/>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68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5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5"/>
                <w:szCs w:val="15"/>
                <w:color w:val="auto"/>
              </w:rPr>
              <w:t>(14.0 )</w:t>
            </w:r>
          </w:p>
        </w:tc>
        <w:tc>
          <w:tcPr>
            <w:tcW w:w="13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5"/>
                <w:szCs w:val="15"/>
                <w:color w:val="auto"/>
              </w:rPr>
              <w:t>(9.0 )%</w:t>
            </w:r>
          </w:p>
        </w:tc>
      </w:tr>
      <w:tr>
        <w:trPr>
          <w:trHeight w:val="200"/>
        </w:trPr>
        <w:tc>
          <w:tcPr>
            <w:tcW w:w="5540" w:type="dxa"/>
            <w:vAlign w:val="bottom"/>
          </w:tcPr>
          <w:p>
            <w:pPr>
              <w:spacing w:after="0"/>
              <w:rPr>
                <w:sz w:val="20"/>
                <w:szCs w:val="20"/>
                <w:color w:val="auto"/>
              </w:rPr>
            </w:pPr>
            <w:r>
              <w:rPr>
                <w:rFonts w:ascii="Times New Roman" w:cs="Times New Roman" w:eastAsia="Times New Roman" w:hAnsi="Times New Roman"/>
                <w:sz w:val="15"/>
                <w:szCs w:val="15"/>
                <w:color w:val="auto"/>
              </w:rPr>
              <w:t>Restructuring costs, net</w:t>
            </w: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(32.3 )</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(72.7 )</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Amortization of purchased intangible assets</w:t>
      </w:r>
    </w:p>
    <w:p>
      <w:pPr>
        <w:spacing w:after="0" w:line="98"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5"/>
          <w:szCs w:val="15"/>
          <w:color w:val="auto"/>
        </w:rPr>
        <w:t>For the three months ended March 31, 2022, amortization of purchased intangible assets was lower compared to the prior year period because certain of our intangible assets became fully amortized.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Restructuring costs, net</w:t>
      </w:r>
    </w:p>
    <w:p>
      <w:pPr>
        <w:spacing w:after="0" w:line="9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The net restructuring costs recorded during the three months ended March 31, 2022 and 2021 included $8.4 million and $33.3 million, respectively, related to CommScope NEXT and $3.7 million and $11.1 million, respectively, related to integrating the ARRIS business. From a cash perspective, we paid $7.8 million to settle restructuring liabilities during the three months ended March 31, 2022 and expect to pay an additional $37.3 million by the end of 2022 and $27.2 million during 2023 related to restructuring actions that have been initiated. Additional restructuring actions related to CommScope NEXT are expected to be identified and the resulting charges and cash requirements could be material. We do not expect to identify significant additional restructuring actions related to the ARRIS integration.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color w:val="auto"/>
        </w:rPr>
        <w:t>Other income,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gridSpan w:val="3"/>
          </w:tcPr>
          <w:p>
            <w:pPr>
              <w:jc w:val="center"/>
              <w:ind w:right="29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1"/>
        </w:trPr>
        <w:tc>
          <w:tcPr>
            <w:tcW w:w="4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0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20" w:type="dxa"/>
            <w:vAlign w:val="bottom"/>
          </w:tcPr>
          <w:p>
            <w:pPr>
              <w:spacing w:after="0"/>
              <w:rPr>
                <w:sz w:val="12"/>
                <w:szCs w:val="12"/>
                <w:color w:val="auto"/>
              </w:rPr>
            </w:pPr>
          </w:p>
        </w:tc>
      </w:tr>
      <w:tr>
        <w:trPr>
          <w:trHeight w:val="142"/>
        </w:trPr>
        <w:tc>
          <w:tcPr>
            <w:tcW w:w="4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86"/>
        </w:trPr>
        <w:tc>
          <w:tcPr>
            <w:tcW w:w="46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Foreign currency gain (loss)</w:t>
            </w:r>
          </w:p>
        </w:tc>
        <w:tc>
          <w:tcPr>
            <w:tcW w:w="900" w:type="dxa"/>
            <w:vAlign w:val="bottom"/>
            <w:shd w:val="clear" w:color="auto" w:fill="CCECFF"/>
          </w:tcPr>
          <w:p>
            <w:pPr>
              <w:jc w:val="right"/>
              <w:ind w:right="73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5"/>
                <w:szCs w:val="15"/>
                <w:color w:val="auto"/>
              </w:rPr>
              <w:t>(0.2 )</w:t>
            </w:r>
          </w:p>
        </w:tc>
        <w:tc>
          <w:tcPr>
            <w:tcW w:w="860" w:type="dxa"/>
            <w:vAlign w:val="bottom"/>
            <w:shd w:val="clear" w:color="auto" w:fill="CCECFF"/>
          </w:tcPr>
          <w:p>
            <w:pPr>
              <w:jc w:val="right"/>
              <w:ind w:right="710"/>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6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5"/>
                <w:szCs w:val="15"/>
                <w:color w:val="auto"/>
              </w:rPr>
              <w:t>(0.5 )</w:t>
            </w:r>
          </w:p>
        </w:tc>
        <w:tc>
          <w:tcPr>
            <w:tcW w:w="15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5"/>
                <w:szCs w:val="15"/>
                <w:color w:val="auto"/>
              </w:rPr>
              <w:t>(166.7 )%</w:t>
            </w:r>
          </w:p>
        </w:tc>
      </w:tr>
      <w:tr>
        <w:trPr>
          <w:trHeight w:val="200"/>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(0.5 )</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(71.4 )</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gain (loss)</w:t>
      </w:r>
    </w:p>
    <w:p>
      <w:pPr>
        <w:spacing w:after="0" w:line="98" w:lineRule="exact"/>
        <w:rPr>
          <w:sz w:val="20"/>
          <w:szCs w:val="20"/>
          <w:color w:val="auto"/>
        </w:rPr>
      </w:pPr>
    </w:p>
    <w:p>
      <w:pPr>
        <w:jc w:val="both"/>
        <w:ind w:right="540"/>
        <w:spacing w:after="0" w:line="269" w:lineRule="auto"/>
        <w:rPr>
          <w:sz w:val="20"/>
          <w:szCs w:val="20"/>
          <w:color w:val="auto"/>
        </w:rPr>
      </w:pPr>
      <w:r>
        <w:rPr>
          <w:rFonts w:ascii="Times New Roman" w:cs="Times New Roman" w:eastAsia="Times New Roman" w:hAnsi="Times New Roman"/>
          <w:sz w:val="15"/>
          <w:szCs w:val="15"/>
          <w:color w:val="auto"/>
        </w:rPr>
        <w:t>Foreign currency gain includes the net foreign currency gains and losses resulting from the settlement of receivables and payables, foreign currency contracts and short-term intercompany advances in a currency other than the subsidiary’s functional currency. The change in foreign currency loss for the three months ended March 31, 2022 was not significant compared to the prior year period.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income, net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change in other income, net for the three months ended March 31, 2022 was not significant compared to the prior year period.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expense, Interest income and Income taxes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1"/>
        </w:trPr>
        <w:tc>
          <w:tcPr>
            <w:tcW w:w="39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right"/>
              <w:ind w:right="569"/>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spacing w:after="0"/>
              <w:rPr>
                <w:sz w:val="13"/>
                <w:szCs w:val="13"/>
                <w:color w:val="auto"/>
              </w:rPr>
            </w:pPr>
          </w:p>
        </w:tc>
      </w:tr>
      <w:tr>
        <w:trPr>
          <w:trHeight w:val="142"/>
        </w:trPr>
        <w:tc>
          <w:tcPr>
            <w:tcW w:w="3940" w:type="dxa"/>
            <w:vAlign w:val="bottom"/>
          </w:tcPr>
          <w:p>
            <w:pPr>
              <w:spacing w:after="0"/>
              <w:rPr>
                <w:sz w:val="12"/>
                <w:szCs w:val="12"/>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2022</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00" w:type="dxa"/>
            <w:vAlign w:val="bottom"/>
          </w:tcPr>
          <w:p>
            <w:pPr>
              <w:spacing w:after="0"/>
              <w:rPr>
                <w:sz w:val="12"/>
                <w:szCs w:val="12"/>
                <w:color w:val="auto"/>
              </w:rPr>
            </w:pPr>
          </w:p>
        </w:tc>
        <w:tc>
          <w:tcPr>
            <w:tcW w:w="14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2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(dollars in</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86"/>
        </w:trPr>
        <w:tc>
          <w:tcPr>
            <w:tcW w:w="39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80" w:type="dxa"/>
            <w:vAlign w:val="bottom"/>
            <w:shd w:val="clear" w:color="auto" w:fill="CCECFF"/>
          </w:tcPr>
          <w:p>
            <w:pPr>
              <w:jc w:val="right"/>
              <w:ind w:right="930"/>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gridSpan w:val="3"/>
            <w:shd w:val="clear" w:color="auto" w:fill="CCECFF"/>
          </w:tcPr>
          <w:p>
            <w:pPr>
              <w:jc w:val="right"/>
              <w:ind w:right="480"/>
              <w:spacing w:after="0"/>
              <w:rPr>
                <w:sz w:val="20"/>
                <w:szCs w:val="20"/>
                <w:color w:val="auto"/>
              </w:rPr>
            </w:pPr>
            <w:r>
              <w:rPr>
                <w:rFonts w:ascii="Times New Roman" w:cs="Times New Roman" w:eastAsia="Times New Roman" w:hAnsi="Times New Roman"/>
                <w:sz w:val="15"/>
                <w:szCs w:val="15"/>
                <w:color w:val="auto"/>
              </w:rPr>
              <w:t>(136.5 )   $</w:t>
            </w:r>
          </w:p>
        </w:tc>
        <w:tc>
          <w:tcPr>
            <w:tcW w:w="1740" w:type="dxa"/>
            <w:vAlign w:val="bottom"/>
            <w:gridSpan w:val="3"/>
            <w:shd w:val="clear" w:color="auto" w:fill="CCECFF"/>
          </w:tcPr>
          <w:p>
            <w:pPr>
              <w:jc w:val="right"/>
              <w:ind w:right="340"/>
              <w:spacing w:after="0"/>
              <w:rPr>
                <w:sz w:val="20"/>
                <w:szCs w:val="20"/>
                <w:color w:val="auto"/>
              </w:rPr>
            </w:pPr>
            <w:r>
              <w:rPr>
                <w:rFonts w:ascii="Times New Roman" w:cs="Times New Roman" w:eastAsia="Times New Roman" w:hAnsi="Times New Roman"/>
                <w:sz w:val="15"/>
                <w:szCs w:val="15"/>
                <w:color w:val="auto"/>
              </w:rPr>
              <w:t>(137.5 )   $</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shd w:val="clear" w:color="auto" w:fill="CCECFF"/>
          </w:tcPr>
          <w:p>
            <w:pPr>
              <w:spacing w:after="0"/>
              <w:rPr>
                <w:sz w:val="16"/>
                <w:szCs w:val="16"/>
                <w:color w:val="auto"/>
              </w:rPr>
            </w:pPr>
          </w:p>
        </w:tc>
        <w:tc>
          <w:tcPr>
            <w:tcW w:w="1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5"/>
                <w:szCs w:val="15"/>
                <w:color w:val="auto"/>
              </w:rPr>
              <w:t>(0.7 )%</w:t>
            </w:r>
          </w:p>
        </w:tc>
      </w:tr>
      <w:tr>
        <w:trPr>
          <w:trHeight w:val="186"/>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320" w:type="dxa"/>
            <w:vAlign w:val="bottom"/>
          </w:tcPr>
          <w:p>
            <w:pPr>
              <w:spacing w:after="0"/>
              <w:rPr>
                <w:sz w:val="16"/>
                <w:szCs w:val="16"/>
                <w:color w:val="auto"/>
              </w:rPr>
            </w:pPr>
          </w:p>
        </w:tc>
      </w:tr>
      <w:tr>
        <w:trPr>
          <w:trHeight w:val="186"/>
        </w:trPr>
        <w:tc>
          <w:tcPr>
            <w:tcW w:w="39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1080" w:type="dxa"/>
            <w:vAlign w:val="bottom"/>
            <w:shd w:val="clear" w:color="auto" w:fill="CCECFF"/>
          </w:tcPr>
          <w:p>
            <w:pPr>
              <w:spacing w:after="0"/>
              <w:rPr>
                <w:sz w:val="16"/>
                <w:szCs w:val="16"/>
                <w:color w:val="auto"/>
              </w:rPr>
            </w:pPr>
          </w:p>
        </w:tc>
        <w:tc>
          <w:tcPr>
            <w:tcW w:w="8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5"/>
                <w:szCs w:val="15"/>
                <w:color w:val="auto"/>
              </w:rPr>
              <w:t>(30.9 )</w:t>
            </w:r>
          </w:p>
        </w:tc>
        <w:tc>
          <w:tcPr>
            <w:tcW w:w="56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24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5"/>
                <w:szCs w:val="15"/>
                <w:color w:val="auto"/>
              </w:rPr>
              <w:t>(60.4 )</w:t>
            </w:r>
          </w:p>
        </w:tc>
        <w:tc>
          <w:tcPr>
            <w:tcW w:w="17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5"/>
                <w:szCs w:val="15"/>
                <w:color w:val="auto"/>
              </w:rPr>
              <w:t>(204.7 )</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 and interest income</w:t>
      </w:r>
    </w:p>
    <w:p>
      <w:pPr>
        <w:spacing w:after="0" w:line="98"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5"/>
          <w:szCs w:val="15"/>
          <w:color w:val="auto"/>
        </w:rPr>
        <w:t>Interest expense was relatively unchanged for the three months ended March 31, 2022 compared to the prior year period. Our weighted average effective interest rate on outstanding borrowings, including the impact of the interest rate swap and the amortization of debt issuance costs and original issue discount, was 5.77% at March 31, 2022, 5.74% at December 31, 2021 and 5.85% at March 31, 2021.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 (expense) benefit</w:t>
      </w:r>
    </w:p>
    <w:p>
      <w:pPr>
        <w:spacing w:after="0" w:line="11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5"/>
          <w:szCs w:val="15"/>
          <w:color w:val="auto"/>
        </w:rPr>
        <w:t>For the three months ended March 31, 2022, we recognized $30.9 million of income tax expense on a pretax loss of $109.0 million. Our tax expense was driven by the unfavorable impacts of U.S. anti-deferral provisions and non-creditable withholding taxes.</w:t>
      </w:r>
    </w:p>
    <w:p>
      <w:pPr>
        <w:spacing w:after="0" w:line="1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Our effective income tax rate was 23.2% for the three months ended March 31, 2021. We recognized a tax benefit of $29.5 million on a pretax loss of $127.1 million. Our tax benefit was higher than the statutory rate and was impacted favorably by decreases in prior year uncertain tax positions and adjustments related to the finalization of prior year’s tax returns, offset partially by the unfavorable impacts of earnings in foreign jurisdictions that are taxed at rates higher than the U.S. statutory rate, foreign withholding taxes and U.S. anti-deferral provisions.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color w:val="auto"/>
        </w:rPr>
        <w:t>Segment Results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gridSpan w:val="6"/>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center"/>
              <w:ind w:left="605"/>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20" w:type="dxa"/>
            <w:vAlign w:val="bottom"/>
          </w:tcPr>
          <w:p>
            <w:pPr>
              <w:jc w:val="right"/>
              <w:ind w:right="165"/>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00" w:type="dxa"/>
            <w:vAlign w:val="bottom"/>
          </w:tcPr>
          <w:p>
            <w:pPr>
              <w:jc w:val="right"/>
              <w:ind w:right="125"/>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vMerge w:val="restart"/>
          </w:tcPr>
          <w:p>
            <w:pPr>
              <w:jc w:val="right"/>
              <w:ind w:right="383"/>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900" w:type="dxa"/>
            <w:vAlign w:val="bottom"/>
          </w:tcPr>
          <w:p>
            <w:pPr>
              <w:jc w:val="right"/>
              <w:ind w:right="324"/>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Sales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Sales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(dollars in</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ind w:right="465"/>
              <w:spacing w:after="0"/>
              <w:rPr>
                <w:sz w:val="20"/>
                <w:szCs w:val="20"/>
                <w:color w:val="auto"/>
              </w:rPr>
            </w:pPr>
            <w:r>
              <w:rPr>
                <w:rFonts w:ascii="Times New Roman" w:cs="Times New Roman" w:eastAsia="Times New Roman" w:hAnsi="Times New Roman"/>
                <w:sz w:val="12"/>
                <w:szCs w:val="12"/>
                <w:b w:val="1"/>
                <w:bCs w:val="1"/>
                <w:color w:val="auto"/>
                <w:w w:val="75"/>
              </w:rPr>
              <w:t>millions)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sales by segment:</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CCS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tcPr>
          <w:p>
            <w:pPr>
              <w:spacing w:after="0"/>
              <w:rPr>
                <w:sz w:val="16"/>
                <w:szCs w:val="16"/>
                <w:color w:val="auto"/>
              </w:rPr>
            </w:pPr>
          </w:p>
        </w:tc>
        <w:tc>
          <w:tcPr>
            <w:tcW w:w="34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676.9</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80" w:type="dxa"/>
            <w:vAlign w:val="bottom"/>
          </w:tcPr>
          <w:p>
            <w:pPr>
              <w:spacing w:after="0"/>
              <w:rPr>
                <w:sz w:val="16"/>
                <w:szCs w:val="16"/>
                <w:color w:val="auto"/>
              </w:rPr>
            </w:pPr>
          </w:p>
        </w:tc>
        <w:tc>
          <w:tcPr>
            <w:tcW w:w="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95"/>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161.1</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80" w:type="dxa"/>
            <w:vAlign w:val="bottom"/>
          </w:tcPr>
          <w:p>
            <w:pPr>
              <w:spacing w:after="0"/>
              <w:rPr>
                <w:sz w:val="16"/>
                <w:szCs w:val="16"/>
                <w:color w:val="auto"/>
              </w:rPr>
            </w:pPr>
          </w:p>
        </w:tc>
        <w:tc>
          <w:tcPr>
            <w:tcW w:w="52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86"/>
        </w:trPr>
        <w:tc>
          <w:tcPr>
            <w:tcW w:w="35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OWN</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390.1</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324.2</w:t>
            </w:r>
          </w:p>
        </w:tc>
        <w:tc>
          <w:tcPr>
            <w:tcW w:w="14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6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NICS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191.2</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(3.2 )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(1.7 )</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160"/>
              <w:spacing w:after="0" w:line="151" w:lineRule="exact"/>
              <w:rPr>
                <w:sz w:val="20"/>
                <w:szCs w:val="20"/>
                <w:color w:val="auto"/>
              </w:rPr>
            </w:pPr>
            <w:r>
              <w:rPr>
                <w:rFonts w:ascii="Times New Roman" w:cs="Times New Roman" w:eastAsia="Times New Roman" w:hAnsi="Times New Roman"/>
                <w:sz w:val="15"/>
                <w:szCs w:val="15"/>
                <w:color w:val="auto"/>
              </w:rPr>
              <w:t>ANS</w:t>
            </w:r>
          </w:p>
        </w:tc>
        <w:tc>
          <w:tcPr>
            <w:tcW w:w="20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316.8</w:t>
            </w:r>
          </w:p>
        </w:tc>
        <w:tc>
          <w:tcPr>
            <w:tcW w:w="18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14.2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378.7</w:t>
            </w:r>
          </w:p>
        </w:tc>
        <w:tc>
          <w:tcPr>
            <w:tcW w:w="14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3"/>
              <w:spacing w:after="0" w:line="151" w:lineRule="exact"/>
              <w:rPr>
                <w:sz w:val="20"/>
                <w:szCs w:val="20"/>
                <w:color w:val="auto"/>
              </w:rPr>
            </w:pPr>
            <w:r>
              <w:rPr>
                <w:rFonts w:ascii="Times New Roman" w:cs="Times New Roman" w:eastAsia="Times New Roman" w:hAnsi="Times New Roman"/>
                <w:sz w:val="15"/>
                <w:szCs w:val="15"/>
                <w:color w:val="auto"/>
              </w:rPr>
              <w:t>(61.9 )</w:t>
            </w:r>
          </w:p>
        </w:tc>
        <w:tc>
          <w:tcPr>
            <w:tcW w:w="98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5"/>
                <w:szCs w:val="15"/>
                <w:color w:val="auto"/>
              </w:rPr>
              <w:t>(16.3 )</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 xml:space="preserve">Core net sales </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1,732.9</w:t>
            </w: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1,571.0</w:t>
            </w: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w:t>
            </w: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Home</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495.7</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8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501.0</w:t>
            </w:r>
          </w:p>
        </w:tc>
        <w:tc>
          <w:tcPr>
            <w:tcW w:w="14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
              <w:spacing w:after="0"/>
              <w:rPr>
                <w:sz w:val="20"/>
                <w:szCs w:val="20"/>
                <w:color w:val="auto"/>
              </w:rPr>
            </w:pPr>
            <w:r>
              <w:rPr>
                <w:rFonts w:ascii="Times New Roman" w:cs="Times New Roman" w:eastAsia="Times New Roman" w:hAnsi="Times New Roman"/>
                <w:sz w:val="15"/>
                <w:szCs w:val="15"/>
                <w:color w:val="auto"/>
              </w:rPr>
              <w:t>(5.3 )</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(1.1 )</w:t>
            </w:r>
          </w:p>
        </w:tc>
        <w:tc>
          <w:tcPr>
            <w:tcW w:w="5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58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5"/>
                <w:szCs w:val="15"/>
                <w:color w:val="auto"/>
              </w:rPr>
              <w:t>Consolidated net sales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2,228.6</w:t>
            </w:r>
          </w:p>
        </w:tc>
        <w:tc>
          <w:tcPr>
            <w:tcW w:w="180" w:type="dxa"/>
            <w:vAlign w:val="bottom"/>
            <w:tcBorders>
              <w:top w:val="single" w:sz="8" w:color="CCECFF"/>
            </w:tcBorders>
          </w:tcPr>
          <w:p>
            <w:pPr>
              <w:spacing w:after="0"/>
              <w:rPr>
                <w:sz w:val="15"/>
                <w:szCs w:val="15"/>
                <w:color w:val="auto"/>
              </w:rPr>
            </w:pPr>
          </w:p>
        </w:tc>
        <w:tc>
          <w:tcPr>
            <w:tcW w:w="92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Borders>
              <w:top w:val="single" w:sz="8" w:color="CCECFF"/>
            </w:tcBorders>
          </w:tcPr>
          <w:p>
            <w:pPr>
              <w:spacing w:after="0"/>
              <w:rPr>
                <w:sz w:val="15"/>
                <w:szCs w:val="15"/>
                <w:color w:val="auto"/>
              </w:rPr>
            </w:pPr>
          </w:p>
        </w:tc>
        <w:tc>
          <w:tcPr>
            <w:tcW w:w="340" w:type="dxa"/>
            <w:vAlign w:val="bottom"/>
            <w:tcBorders>
              <w:top w:val="single" w:sz="8" w:color="CCECFF"/>
            </w:tcBorders>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2,072.0</w:t>
            </w:r>
          </w:p>
        </w:tc>
        <w:tc>
          <w:tcPr>
            <w:tcW w:w="140" w:type="dxa"/>
            <w:vAlign w:val="bottom"/>
            <w:tcBorders>
              <w:top w:val="single" w:sz="8" w:color="CCECFF"/>
            </w:tcBorders>
          </w:tcPr>
          <w:p>
            <w:pPr>
              <w:spacing w:after="0"/>
              <w:rPr>
                <w:sz w:val="15"/>
                <w:szCs w:val="15"/>
                <w:color w:val="auto"/>
              </w:rPr>
            </w:pPr>
          </w:p>
        </w:tc>
        <w:tc>
          <w:tcPr>
            <w:tcW w:w="90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Borders>
              <w:top w:val="single" w:sz="8" w:color="CCECFF"/>
            </w:tcBorders>
          </w:tcPr>
          <w:p>
            <w:pPr>
              <w:spacing w:after="0"/>
              <w:rPr>
                <w:sz w:val="15"/>
                <w:szCs w:val="15"/>
                <w:color w:val="auto"/>
              </w:rPr>
            </w:pPr>
          </w:p>
        </w:tc>
        <w:tc>
          <w:tcPr>
            <w:tcW w:w="320" w:type="dxa"/>
            <w:vAlign w:val="bottom"/>
            <w:tcBorders>
              <w:top w:val="single" w:sz="8" w:color="CCECFF"/>
            </w:tcBorders>
          </w:tcPr>
          <w:p>
            <w:pPr>
              <w:jc w:val="right"/>
              <w:ind w:right="103"/>
              <w:spacing w:after="0"/>
              <w:rPr>
                <w:sz w:val="20"/>
                <w:szCs w:val="20"/>
                <w:color w:val="auto"/>
              </w:rPr>
            </w:pPr>
            <w:r>
              <w:rPr>
                <w:rFonts w:ascii="Times New Roman" w:cs="Times New Roman" w:eastAsia="Times New Roman" w:hAnsi="Times New Roman"/>
                <w:sz w:val="15"/>
                <w:szCs w:val="15"/>
                <w:color w:val="auto"/>
                <w:w w:val="95"/>
              </w:rPr>
              <w:t>%</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160" w:type="dxa"/>
            <w:vAlign w:val="bottom"/>
            <w:tcBorders>
              <w:top w:val="single" w:sz="8" w:color="CCECFF"/>
            </w:tcBorders>
          </w:tcPr>
          <w:p>
            <w:pPr>
              <w:spacing w:after="0"/>
              <w:rPr>
                <w:sz w:val="15"/>
                <w:szCs w:val="15"/>
                <w:color w:val="auto"/>
              </w:rPr>
            </w:pPr>
          </w:p>
        </w:tc>
        <w:tc>
          <w:tcPr>
            <w:tcW w:w="90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Borders>
              <w:top w:val="single" w:sz="8" w:color="CCECFF"/>
            </w:tcBorders>
          </w:tcPr>
          <w:p>
            <w:pPr>
              <w:spacing w:after="0"/>
              <w:rPr>
                <w:sz w:val="15"/>
                <w:szCs w:val="15"/>
                <w:color w:val="auto"/>
              </w:rPr>
            </w:pPr>
          </w:p>
        </w:tc>
        <w:tc>
          <w:tcPr>
            <w:tcW w:w="520" w:type="dxa"/>
            <w:vAlign w:val="bottom"/>
            <w:tcBorders>
              <w:top w:val="single" w:sz="8" w:color="CCECFF"/>
            </w:tcBorders>
          </w:tcPr>
          <w:p>
            <w:pPr>
              <w:jc w:val="right"/>
              <w:ind w:right="303"/>
              <w:spacing w:after="0"/>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 by segment: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CCS</w:t>
            </w:r>
          </w:p>
        </w:tc>
        <w:tc>
          <w:tcPr>
            <w:tcW w:w="20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shd w:val="clear" w:color="auto" w:fill="CCECFF"/>
          </w:tcPr>
          <w:p>
            <w:pPr>
              <w:spacing w:after="0"/>
              <w:rPr>
                <w:sz w:val="16"/>
                <w:szCs w:val="16"/>
                <w:color w:val="auto"/>
              </w:rPr>
            </w:pPr>
          </w:p>
        </w:tc>
        <w:tc>
          <w:tcPr>
            <w:tcW w:w="340" w:type="dxa"/>
            <w:vAlign w:val="bottom"/>
            <w:shd w:val="clear" w:color="auto" w:fill="CCECFF"/>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4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95"/>
              </w:rPr>
              <w:t>%</w:t>
            </w:r>
          </w:p>
        </w:tc>
        <w:tc>
          <w:tcPr>
            <w:tcW w:w="20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6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80" w:type="dxa"/>
            <w:vAlign w:val="bottom"/>
            <w:shd w:val="clear" w:color="auto" w:fill="CCECFF"/>
          </w:tcPr>
          <w:p>
            <w:pPr>
              <w:spacing w:after="0"/>
              <w:rPr>
                <w:sz w:val="16"/>
                <w:szCs w:val="16"/>
                <w:color w:val="auto"/>
              </w:rPr>
            </w:pPr>
          </w:p>
        </w:tc>
        <w:tc>
          <w:tcPr>
            <w:tcW w:w="520" w:type="dxa"/>
            <w:vAlign w:val="bottom"/>
            <w:shd w:val="clear" w:color="auto" w:fill="CCECFF"/>
          </w:tcPr>
          <w:p>
            <w:pPr>
              <w:jc w:val="right"/>
              <w:ind w:right="303"/>
              <w:spacing w:after="0"/>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86"/>
        </w:trPr>
        <w:tc>
          <w:tcPr>
            <w:tcW w:w="3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OWN</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NICS</w:t>
            </w:r>
          </w:p>
        </w:tc>
        <w:tc>
          <w:tcPr>
            <w:tcW w:w="20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5"/>
                <w:szCs w:val="15"/>
                <w:color w:val="auto"/>
              </w:rPr>
              <w:t>(43.0 )</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(22.9 )</w:t>
            </w: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(60.4 )</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(31.6 )</w:t>
            </w: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(28.8 )</w:t>
            </w:r>
          </w:p>
        </w:tc>
        <w:tc>
          <w:tcPr>
            <w:tcW w:w="5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160"/>
              <w:spacing w:after="0" w:line="151" w:lineRule="exact"/>
              <w:rPr>
                <w:sz w:val="20"/>
                <w:szCs w:val="20"/>
                <w:color w:val="auto"/>
              </w:rPr>
            </w:pPr>
            <w:r>
              <w:rPr>
                <w:rFonts w:ascii="Times New Roman" w:cs="Times New Roman" w:eastAsia="Times New Roman" w:hAnsi="Times New Roman"/>
                <w:sz w:val="15"/>
                <w:szCs w:val="15"/>
                <w:color w:val="auto"/>
              </w:rPr>
              <w:t>ANS</w:t>
            </w:r>
          </w:p>
        </w:tc>
        <w:tc>
          <w:tcPr>
            <w:tcW w:w="200" w:type="dxa"/>
            <w:vAlign w:val="bottom"/>
          </w:tcPr>
          <w:p>
            <w:pPr>
              <w:spacing w:after="0"/>
              <w:rPr>
                <w:sz w:val="13"/>
                <w:szCs w:val="13"/>
                <w:color w:val="auto"/>
              </w:rPr>
            </w:pPr>
          </w:p>
        </w:tc>
        <w:tc>
          <w:tcPr>
            <w:tcW w:w="10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5"/>
                <w:szCs w:val="15"/>
                <w:color w:val="auto"/>
              </w:rPr>
              <w:t>(6.6 )</w:t>
            </w:r>
          </w:p>
        </w:tc>
        <w:tc>
          <w:tcPr>
            <w:tcW w:w="100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5"/>
                <w:szCs w:val="15"/>
                <w:color w:val="auto"/>
              </w:rPr>
              <w:t>(2.1 )</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23.9</w:t>
            </w:r>
          </w:p>
        </w:tc>
        <w:tc>
          <w:tcPr>
            <w:tcW w:w="14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3"/>
              <w:spacing w:after="0" w:line="151" w:lineRule="exact"/>
              <w:rPr>
                <w:sz w:val="20"/>
                <w:szCs w:val="20"/>
                <w:color w:val="auto"/>
              </w:rPr>
            </w:pPr>
            <w:r>
              <w:rPr>
                <w:rFonts w:ascii="Times New Roman" w:cs="Times New Roman" w:eastAsia="Times New Roman" w:hAnsi="Times New Roman"/>
                <w:sz w:val="15"/>
                <w:szCs w:val="15"/>
                <w:color w:val="auto"/>
              </w:rPr>
              <w:t>(30.5 )</w:t>
            </w:r>
          </w:p>
        </w:tc>
        <w:tc>
          <w:tcPr>
            <w:tcW w:w="98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5"/>
                <w:szCs w:val="15"/>
                <w:color w:val="auto"/>
              </w:rPr>
              <w:t>(127.6 )</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 xml:space="preserve">Core operating income </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Home</w:t>
            </w:r>
          </w:p>
        </w:tc>
        <w:tc>
          <w:tcPr>
            <w:tcW w:w="2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(2.8 )</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(31.5 )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(6.3 )</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(56.2 )</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Consolidated operating income</w:t>
            </w:r>
          </w:p>
        </w:tc>
        <w:tc>
          <w:tcPr>
            <w:tcW w:w="200" w:type="dxa"/>
            <w:vAlign w:val="bottom"/>
            <w:tcBorders>
              <w:top w:val="single" w:sz="8" w:color="auto"/>
              <w:bottom w:val="single" w:sz="8" w:color="auto"/>
            </w:tcBorders>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18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auto"/>
              <w:bottom w:val="single" w:sz="8" w:color="auto"/>
            </w:tcBorders>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4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w w:val="95"/>
              </w:rPr>
              <w:t>%</w:t>
            </w:r>
          </w:p>
        </w:tc>
        <w:tc>
          <w:tcPr>
            <w:tcW w:w="200" w:type="dxa"/>
            <w:vAlign w:val="bottom"/>
            <w:tcBorders>
              <w:top w:val="single" w:sz="8" w:color="auto"/>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6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201.1</w:t>
            </w:r>
          </w:p>
        </w:tc>
        <w:tc>
          <w:tcPr>
            <w:tcW w:w="8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CCECFF"/>
            </w:tcBorders>
            <w:shd w:val="clear" w:color="auto" w:fill="CCECFF"/>
          </w:tcPr>
          <w:p>
            <w:pPr>
              <w:jc w:val="right"/>
              <w:ind w:right="303"/>
              <w:spacing w:after="0"/>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Adjusted EBITDA by segment:</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CCS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tcPr>
          <w:p>
            <w:pPr>
              <w:spacing w:after="0"/>
              <w:rPr>
                <w:sz w:val="16"/>
                <w:szCs w:val="16"/>
                <w:color w:val="auto"/>
              </w:rPr>
            </w:pPr>
          </w:p>
        </w:tc>
        <w:tc>
          <w:tcPr>
            <w:tcW w:w="34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tcPr>
          <w:p>
            <w:pPr>
              <w:spacing w:after="0"/>
              <w:rPr>
                <w:sz w:val="16"/>
                <w:szCs w:val="16"/>
                <w:color w:val="auto"/>
              </w:rPr>
            </w:pPr>
          </w:p>
        </w:tc>
        <w:tc>
          <w:tcPr>
            <w:tcW w:w="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95"/>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(7.4 )</w:t>
            </w:r>
          </w:p>
        </w:tc>
        <w:tc>
          <w:tcPr>
            <w:tcW w:w="1500" w:type="dxa"/>
            <w:vAlign w:val="bottom"/>
            <w:gridSpan w:val="3"/>
          </w:tcPr>
          <w:p>
            <w:pPr>
              <w:jc w:val="right"/>
              <w:ind w:right="303"/>
              <w:spacing w:after="0"/>
              <w:rPr>
                <w:sz w:val="20"/>
                <w:szCs w:val="20"/>
                <w:color w:val="auto"/>
              </w:rPr>
            </w:pPr>
            <w:r>
              <w:rPr>
                <w:rFonts w:ascii="Times New Roman" w:cs="Times New Roman" w:eastAsia="Times New Roman" w:hAnsi="Times New Roman"/>
                <w:sz w:val="15"/>
                <w:szCs w:val="15"/>
                <w:color w:val="auto"/>
              </w:rPr>
              <w:t>(7.0 ) %</w:t>
            </w:r>
          </w:p>
        </w:tc>
        <w:tc>
          <w:tcPr>
            <w:tcW w:w="0" w:type="dxa"/>
            <w:vAlign w:val="bottom"/>
          </w:tcPr>
          <w:p>
            <w:pPr>
              <w:spacing w:after="0"/>
              <w:rPr>
                <w:sz w:val="1"/>
                <w:szCs w:val="1"/>
                <w:color w:val="auto"/>
              </w:rPr>
            </w:pPr>
          </w:p>
        </w:tc>
      </w:tr>
      <w:tr>
        <w:trPr>
          <w:trHeight w:val="186"/>
        </w:trPr>
        <w:tc>
          <w:tcPr>
            <w:tcW w:w="35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OWN</w:t>
            </w: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14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
              <w:spacing w:after="0"/>
              <w:rPr>
                <w:sz w:val="20"/>
                <w:szCs w:val="20"/>
                <w:color w:val="auto"/>
              </w:rPr>
            </w:pPr>
            <w:r>
              <w:rPr>
                <w:rFonts w:ascii="Times New Roman" w:cs="Times New Roman" w:eastAsia="Times New Roman" w:hAnsi="Times New Roman"/>
                <w:sz w:val="15"/>
                <w:szCs w:val="15"/>
                <w:color w:val="auto"/>
              </w:rPr>
              <w:t>(2.7 )</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(3.7 )</w:t>
            </w:r>
          </w:p>
        </w:tc>
        <w:tc>
          <w:tcPr>
            <w:tcW w:w="5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NICS</w:t>
            </w:r>
          </w:p>
        </w:tc>
        <w:tc>
          <w:tcPr>
            <w:tcW w:w="2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(7.3 )</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(17.4 )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(9.1 )</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(20.7 )</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160"/>
              <w:spacing w:after="0" w:line="151" w:lineRule="exact"/>
              <w:rPr>
                <w:sz w:val="20"/>
                <w:szCs w:val="20"/>
                <w:color w:val="auto"/>
              </w:rPr>
            </w:pPr>
            <w:r>
              <w:rPr>
                <w:rFonts w:ascii="Times New Roman" w:cs="Times New Roman" w:eastAsia="Times New Roman" w:hAnsi="Times New Roman"/>
                <w:sz w:val="15"/>
                <w:szCs w:val="15"/>
                <w:color w:val="auto"/>
              </w:rPr>
              <w:t>ANS</w:t>
            </w:r>
          </w:p>
        </w:tc>
        <w:tc>
          <w:tcPr>
            <w:tcW w:w="20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74.2</w:t>
            </w:r>
          </w:p>
        </w:tc>
        <w:tc>
          <w:tcPr>
            <w:tcW w:w="18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23.4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108.0</w:t>
            </w:r>
          </w:p>
        </w:tc>
        <w:tc>
          <w:tcPr>
            <w:tcW w:w="14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28.5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3"/>
              <w:spacing w:after="0" w:line="151" w:lineRule="exact"/>
              <w:rPr>
                <w:sz w:val="20"/>
                <w:szCs w:val="20"/>
                <w:color w:val="auto"/>
              </w:rPr>
            </w:pPr>
            <w:r>
              <w:rPr>
                <w:rFonts w:ascii="Times New Roman" w:cs="Times New Roman" w:eastAsia="Times New Roman" w:hAnsi="Times New Roman"/>
                <w:sz w:val="15"/>
                <w:szCs w:val="15"/>
                <w:color w:val="auto"/>
              </w:rPr>
              <w:t>(33.8 )</w:t>
            </w:r>
          </w:p>
        </w:tc>
        <w:tc>
          <w:tcPr>
            <w:tcW w:w="98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5"/>
                <w:szCs w:val="15"/>
                <w:color w:val="auto"/>
              </w:rPr>
              <w:t>(31.3 )</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 xml:space="preserve">Core adjusted EBITDA </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(14.9 )</w:t>
            </w: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230.0</w:t>
            </w: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270.3</w:t>
            </w: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6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8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Home</w:t>
            </w:r>
          </w:p>
        </w:tc>
        <w:tc>
          <w:tcPr>
            <w:tcW w:w="200" w:type="dxa"/>
            <w:vAlign w:val="bottom"/>
            <w:tcBorders>
              <w:bottom w:val="single" w:sz="8" w:color="auto"/>
            </w:tcBorders>
            <w:shd w:val="clear" w:color="auto" w:fill="CCECFF"/>
          </w:tcPr>
          <w:p>
            <w:pPr>
              <w:spacing w:after="0"/>
              <w:rPr>
                <w:sz w:val="16"/>
                <w:szCs w:val="16"/>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80" w:type="dxa"/>
            <w:vAlign w:val="bottom"/>
            <w:tcBorders>
              <w:bottom w:val="single" w:sz="8" w:color="CCECFF"/>
            </w:tcBorders>
            <w:shd w:val="clear" w:color="auto" w:fill="CCECFF"/>
          </w:tcPr>
          <w:p>
            <w:pPr>
              <w:spacing w:after="0"/>
              <w:rPr>
                <w:sz w:val="16"/>
                <w:szCs w:val="16"/>
                <w:color w:val="auto"/>
              </w:rPr>
            </w:pPr>
          </w:p>
        </w:tc>
        <w:tc>
          <w:tcPr>
            <w:tcW w:w="9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CFF"/>
            </w:tcBorders>
            <w:shd w:val="clear" w:color="auto" w:fill="CCECFF"/>
          </w:tcPr>
          <w:p>
            <w:pPr>
              <w:spacing w:after="0"/>
              <w:rPr>
                <w:sz w:val="16"/>
                <w:szCs w:val="16"/>
                <w:color w:val="auto"/>
              </w:rPr>
            </w:pPr>
          </w:p>
        </w:tc>
        <w:tc>
          <w:tcPr>
            <w:tcW w:w="34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14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bottom w:val="single" w:sz="8" w:color="CCECFF"/>
            </w:tcBorders>
            <w:shd w:val="clear" w:color="auto" w:fill="CCECFF"/>
          </w:tcPr>
          <w:p>
            <w:pPr>
              <w:spacing w:after="0"/>
              <w:rPr>
                <w:sz w:val="16"/>
                <w:szCs w:val="16"/>
                <w:color w:val="auto"/>
              </w:rPr>
            </w:pPr>
          </w:p>
        </w:tc>
        <w:tc>
          <w:tcPr>
            <w:tcW w:w="32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6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tcBorders>
              <w:bottom w:val="single" w:sz="8" w:color="CCECFF"/>
            </w:tcBorders>
            <w:shd w:val="clear" w:color="auto" w:fill="CCECFF"/>
          </w:tcPr>
          <w:p>
            <w:pPr>
              <w:spacing w:after="0"/>
              <w:rPr>
                <w:sz w:val="16"/>
                <w:szCs w:val="16"/>
                <w:color w:val="auto"/>
              </w:rPr>
            </w:pPr>
          </w:p>
        </w:tc>
        <w:tc>
          <w:tcPr>
            <w:tcW w:w="52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line="131" w:lineRule="exact"/>
              <w:rPr>
                <w:sz w:val="20"/>
                <w:szCs w:val="20"/>
                <w:color w:val="auto"/>
              </w:rPr>
            </w:pPr>
            <w:r>
              <w:rPr>
                <w:rFonts w:ascii="Times New Roman" w:cs="Times New Roman" w:eastAsia="Times New Roman" w:hAnsi="Times New Roman"/>
                <w:sz w:val="15"/>
                <w:szCs w:val="15"/>
                <w:color w:val="auto"/>
              </w:rPr>
              <w:t>Non-GAAP consolidated adjusted</w:t>
            </w: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253.3</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289.7</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(36.4 )</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80" w:type="dxa"/>
            <w:vAlign w:val="bottom"/>
          </w:tcPr>
          <w:p>
            <w:pPr>
              <w:ind w:left="200"/>
              <w:spacing w:after="0" w:line="174" w:lineRule="exact"/>
              <w:rPr>
                <w:sz w:val="20"/>
                <w:szCs w:val="20"/>
                <w:color w:val="auto"/>
              </w:rPr>
            </w:pPr>
            <w:r>
              <w:rPr>
                <w:rFonts w:ascii="Times New Roman" w:cs="Times New Roman" w:eastAsia="Times New Roman" w:hAnsi="Times New Roman"/>
                <w:sz w:val="15"/>
                <w:szCs w:val="15"/>
                <w:color w:val="auto"/>
              </w:rPr>
              <w:t xml:space="preserve">EBITDA </w:t>
            </w:r>
            <w:r>
              <w:rPr>
                <w:rFonts w:ascii="Times New Roman" w:cs="Times New Roman" w:eastAsia="Times New Roman" w:hAnsi="Times New Roman"/>
                <w:sz w:val="20"/>
                <w:szCs w:val="20"/>
                <w:color w:val="auto"/>
                <w:vertAlign w:val="superscript"/>
              </w:rPr>
              <w:t>(2)</w:t>
            </w:r>
          </w:p>
        </w:tc>
        <w:tc>
          <w:tcPr>
            <w:tcW w:w="2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Pr>
          <w:p>
            <w:pPr>
              <w:spacing w:after="0"/>
              <w:rPr>
                <w:sz w:val="15"/>
                <w:szCs w:val="15"/>
                <w:color w:val="auto"/>
              </w:rPr>
            </w:pPr>
          </w:p>
        </w:tc>
        <w:tc>
          <w:tcPr>
            <w:tcW w:w="34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5"/>
                <w:szCs w:val="15"/>
                <w:color w:val="auto"/>
              </w:rPr>
            </w:pPr>
          </w:p>
        </w:tc>
        <w:tc>
          <w:tcPr>
            <w:tcW w:w="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95"/>
              </w:rPr>
              <w:t>%</w:t>
            </w:r>
          </w:p>
        </w:tc>
        <w:tc>
          <w:tcPr>
            <w:tcW w:w="2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500" w:type="dxa"/>
            <w:vAlign w:val="bottom"/>
            <w:gridSpan w:val="3"/>
          </w:tcPr>
          <w:p>
            <w:pPr>
              <w:jc w:val="right"/>
              <w:ind w:right="303"/>
              <w:spacing w:after="0"/>
              <w:rPr>
                <w:sz w:val="20"/>
                <w:szCs w:val="20"/>
                <w:color w:val="auto"/>
              </w:rPr>
            </w:pPr>
            <w:r>
              <w:rPr>
                <w:rFonts w:ascii="Times New Roman" w:cs="Times New Roman" w:eastAsia="Times New Roman" w:hAnsi="Times New Roman"/>
                <w:sz w:val="15"/>
                <w:szCs w:val="15"/>
                <w:color w:val="auto"/>
              </w:rPr>
              <w:t>(12.6 )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-2783205</wp:posOffset>
            </wp:positionV>
            <wp:extent cx="7151370" cy="1250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1370" cy="12509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-2422525</wp:posOffset>
            </wp:positionV>
            <wp:extent cx="5905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-2422525</wp:posOffset>
            </wp:positionV>
            <wp:extent cx="5143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-2422525</wp:posOffset>
            </wp:positionV>
            <wp:extent cx="5143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-1560830</wp:posOffset>
            </wp:positionV>
            <wp:extent cx="7151370" cy="1181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1370" cy="11811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-1200150</wp:posOffset>
            </wp:positionV>
            <wp:extent cx="590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-1184910</wp:posOffset>
            </wp:positionV>
            <wp:extent cx="5905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-1200150</wp:posOffset>
            </wp:positionV>
            <wp:extent cx="5143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-1184910</wp:posOffset>
            </wp:positionV>
            <wp:extent cx="5143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-1200150</wp:posOffset>
            </wp:positionV>
            <wp:extent cx="5143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-1184910</wp:posOffset>
            </wp:positionV>
            <wp:extent cx="5143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-588645</wp:posOffset>
            </wp:positionV>
            <wp:extent cx="7151370" cy="125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1370" cy="12509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-227965</wp:posOffset>
            </wp:positionV>
            <wp:extent cx="5905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-227965</wp:posOffset>
            </wp:positionV>
            <wp:extent cx="5143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-227965</wp:posOffset>
            </wp:positionV>
            <wp:extent cx="5143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Components may not sum to total due to rounding.</w:t>
      </w:r>
    </w:p>
    <w:p>
      <w:pPr>
        <w:spacing w:after="0" w:line="48" w:lineRule="exact"/>
        <w:rPr>
          <w:sz w:val="20"/>
          <w:szCs w:val="20"/>
          <w:color w:val="auto"/>
        </w:rPr>
      </w:pPr>
    </w:p>
    <w:p>
      <w:pPr>
        <w:ind w:left="500" w:hanging="462"/>
        <w:spacing w:after="0"/>
        <w:tabs>
          <w:tab w:leader="none" w:pos="5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Core financial measures reflect the results of our CCS, OWN, NICS and ANS segments, in the aggregate. Core financial measures exclude the results of our Home segment.</w:t>
      </w:r>
    </w:p>
    <w:p>
      <w:pPr>
        <w:spacing w:after="0" w:line="17" w:lineRule="exact"/>
        <w:rPr>
          <w:rFonts w:ascii="Times New Roman" w:cs="Times New Roman" w:eastAsia="Times New Roman" w:hAnsi="Times New Roman"/>
          <w:sz w:val="15"/>
          <w:szCs w:val="15"/>
          <w:color w:val="auto"/>
        </w:rPr>
      </w:pPr>
    </w:p>
    <w:p>
      <w:pPr>
        <w:ind w:left="500" w:hanging="462"/>
        <w:spacing w:after="0"/>
        <w:tabs>
          <w:tab w:leader="none" w:pos="5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“Reconciliation of Non-GAAP Measures.”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Connectivity and Cable Solutions Segment</w:t>
      </w:r>
    </w:p>
    <w:p>
      <w:pPr>
        <w:spacing w:after="0" w:line="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5"/>
          <w:szCs w:val="15"/>
          <w:color w:val="auto"/>
        </w:rPr>
        <w:t>Net sales for the CCS segment increased for the three months ended March 31, 2022 compared to the prior year period due to increased demand for our products and services as service providers continued to enhance their networks to keep pace with increasing broadband demand. CCS segment net sales also benefitted from pricing increases as well as additional production enabled by our capacity expansion. We continue to experience supply shortages with certain of our network cable products, which hindered our ability to meet customer demand for our CCS segment products during the three months ended March 31, 2022, and these shortages could extend into the remainder of 2022. From a regional perspective, for the three months ended March 31, 2022, net sales increased in the U.S. by $139.8 million, the EMEA region by $9.9 million, the CALA region by $7.8 million and Canada by $7.5 million but decreased in the APAC region by $3.9 million. Foreign exchange rate changes impacted CCS segment net sales unfavorably by approximately 1% during the three months ended March 31, 2022 compared to the prior year period.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480" w:right="319" w:bottom="1440" w:gutter="0" w:footer="0" w:header="0"/>
        </w:sectPr>
      </w:pPr>
    </w:p>
    <w:bookmarkStart w:id="29" w:name="page30"/>
    <w:bookmarkEnd w:id="29"/>
    <w:p>
      <w:pPr>
        <w:spacing w:after="0" w:line="256" w:lineRule="auto"/>
        <w:rPr>
          <w:sz w:val="20"/>
          <w:szCs w:val="20"/>
          <w:color w:val="auto"/>
        </w:rPr>
      </w:pPr>
      <w:r>
        <w:rPr>
          <w:rFonts w:ascii="Times New Roman" w:cs="Times New Roman" w:eastAsia="Times New Roman" w:hAnsi="Times New Roman"/>
          <w:sz w:val="15"/>
          <w:szCs w:val="15"/>
          <w:color w:val="auto"/>
        </w:rPr>
        <w:t>For the three months ended March 31, 2022, CCS segment operating income and adjusted EBITDA both benefitted from pricing increases and higher sales volumes. However, these benefits were more than offset by higher material and freight costs and increases in SG&amp;A and R&amp;D costs. Compared to the prior year period, CCS segment operating income for the three months ended March 31, 2022 was favorably impacted by a $13.8 million reduction in restructuring expense and a $10.8 million reduction in amortization expense but was unfavorably impacted by a $4.9 million charge to establish an allowance against certain accounts receivable determined to be uncollectible as a result of the Russia/Ukraine conflict. Restructuring expense, amortization expense and the charge related to certain uncollectible accounts receivable resulting from the Russia/Ukraine conflict are not reflected in adjusted EBITDA. See “Reconciliation of Segment Adjusted EBITDA” below.</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Outdoor Wireless Networks Segment</w:t>
      </w:r>
    </w:p>
    <w:p>
      <w:pPr>
        <w:spacing w:after="0" w:line="1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5"/>
          <w:szCs w:val="15"/>
          <w:color w:val="auto"/>
        </w:rPr>
        <w:t>For the three months ended March 31, 2022, OWN segment net sales increased compared to the prior year period primarily due to an increase in customer demand for both metro and macro cell solutions and favorable pricing impacts. From a regional perspective, for the three months ended March 31, 2022, OWN segment net sales increased in the U.S. by $80.5 million and the EMEA region by $8.0 million but decreased in the APAC region by $13.9 million, Canada by $6.3 million and the CALA region by $2.4 million compared to the prior year period. Foreign exchange rate changes impacted OWN segment net sales unfavorably by approximately 1% during the three months ended March 31, 2022 compared to the same prior year period.</w:t>
      </w:r>
    </w:p>
    <w:p>
      <w:pPr>
        <w:spacing w:after="0" w:line="1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For the three months ended March 31, 2022, OWN segment operating income and adjusted EBITDA both benefitted from increased sales volumes and favorable pricing impacts, but these benefits were more than offset by higher material and freight costs. Compared to the prior year period, OWN segment operating income for the three months ended March 31, 2022 was favorably impacted by a $3.6 million reduction in restructuring expense which is not reflected in adjusted EBITDA. See “Reconciliation of Segment Adjusted EBITDA” below.</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Networking, Intelligent Cellular and Security Solutions Segment</w:t>
      </w:r>
    </w:p>
    <w:p>
      <w:pPr>
        <w:spacing w:after="0" w:line="11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5"/>
          <w:szCs w:val="15"/>
          <w:color w:val="auto"/>
        </w:rPr>
        <w:t>For the three months ended March 31, 2022, NICS segment net sales decreased slightly compared to the prior year period. Sales of our Ruckus products were unfavorably impacted by material shortages, but the decrease was partially offset by the favorable impacts of pricing. NICS segment net sales also benefitted from increased demand for our distributed antenna systems and small cell products. We believe the material shortages experienced by our Ruckus business could continue for the remainder of 2022 and into 2023. From a regional perspective, for the three months ended March 31, 2022, net sales decreased in Canada by $4.5 million, the U.S. by $1.1 million and the CALA region by $1.1 million but increased in the EMEA region by $2.8 million and the APAC region by $0.7 million compared to the prior year period. Foreign exchange rate changes impacted NICS segment net sales unfavorably by approximately 1% during the three months ended March 31, 2022 compared to the prior year period.</w:t>
      </w:r>
    </w:p>
    <w:p>
      <w:pPr>
        <w:spacing w:after="0" w:line="16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5"/>
          <w:szCs w:val="15"/>
          <w:color w:val="auto"/>
        </w:rPr>
        <w:t>For the three months ended March 31, 2022, NICS segment operating loss decreased and adjusted EBITDA increased compared to the prior year period primarily due to favorable pricing impacts on certain products, favorable product mix and lower selling expenses, partially offset by lower sales volumes, higher material costs and higher R&amp;D costs. Compared to the prior year period, NICS segment operating loss was favorably impacted by a $7.6 million reduction in restructuring expense and a $2.5 million reduction in amortization expense which are not reflected in adjusted EBITDA. See “Reconciliation of Segment Adjusted EBITDA”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Access Network Solutions Segment</w:t>
      </w:r>
    </w:p>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For the three months ended March 31, 2022, net sales decreased in the ANS segment due to the negative impact of supply shortages resulting in delays on our ability to meet customer demand. These shortages could continue for the remainder of 2022. From a regional perspective, for the three months ended March 31, 2022, net sales decreased in the U.S. by $57.5 million, the APAC region by $7.4 million and the CALA region by $6.0 million but increased in the EMEA region by $5.4 million and Canada by $3.6 million compared to the prior year period. Foreign exchange rate changes had no significant impact on ANS segment net sales during the three months ended March 31, 2022 compared to the prior year period.</w:t>
      </w:r>
    </w:p>
    <w:p>
      <w:pPr>
        <w:spacing w:after="0" w:line="3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For the three months ended March 31, 2022, ANS segment operating loss increased and adjusted EBITDA decreased compared to the prior year period primarily due to lower sales volumes and unfavorable geographic and product mix, partially offset by lower material and freight costs and lower SG&amp;A and R&amp;D costs. Compared to the prior year period, ANS segment operating loss was unfavorably impacted by a $3.8 million transformation cost related to the termination of a supply agreement as part of CommScope NEXT but was favorably impacted by a $2.2 million reduction in restructuring expense. Neither of these items is reflected in adjusted EBITDA. See “Reconciliation of Segment Adjusted EBITDA” below.</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bookmarkStart w:id="30" w:name="page31"/>
    <w:bookmarkEnd w:id="30"/>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Home Networks Segment</w:t>
      </w:r>
    </w:p>
    <w:p>
      <w:pPr>
        <w:spacing w:after="0" w:line="110" w:lineRule="exact"/>
        <w:rPr>
          <w:sz w:val="20"/>
          <w:szCs w:val="20"/>
          <w:color w:val="auto"/>
        </w:rPr>
      </w:pPr>
    </w:p>
    <w:p>
      <w:pPr>
        <w:ind w:left="7"/>
        <w:spacing w:after="0" w:line="252" w:lineRule="auto"/>
        <w:rPr>
          <w:sz w:val="20"/>
          <w:szCs w:val="20"/>
          <w:color w:val="auto"/>
        </w:rPr>
      </w:pPr>
      <w:r>
        <w:rPr>
          <w:rFonts w:ascii="Times New Roman" w:cs="Times New Roman" w:eastAsia="Times New Roman" w:hAnsi="Times New Roman"/>
          <w:sz w:val="15"/>
          <w:szCs w:val="15"/>
          <w:color w:val="auto"/>
        </w:rPr>
        <w:t>Net sales for the Home segment decreased slightly for the three months ended March 31, 2022 compared to the prior year period. While net sales of broadband solution products benefitted from favorable pricing impacts, these increases were more than offset by lower net sales volumes of our other Home products due to continued supply shortages, which delayed our ability to meet customer demand. Although we are working to secure components from key suppliers, we still expect to experience supply chain challenges through 2022 and into 2023. From a regional perspective, for the three months ended March 31, 2022, net sales decreased in the CALA region by $29.8 million, the U.S. by $6.5 million and the EMEA region by $5.4 million but increased in Canada by $32.2 million and the APAC region by $2.5 million compared to the prior year period. Foreign exchange rate changes impacted Home segment net sales unfavorably by less than 1% during the three months ended March 31, 2022 compared to the prior year period.</w:t>
      </w:r>
    </w:p>
    <w:p>
      <w:pPr>
        <w:spacing w:after="0" w:line="166" w:lineRule="exact"/>
        <w:rPr>
          <w:sz w:val="20"/>
          <w:szCs w:val="20"/>
          <w:color w:val="auto"/>
        </w:rPr>
      </w:pPr>
    </w:p>
    <w:p>
      <w:pPr>
        <w:ind w:left="7"/>
        <w:spacing w:after="0" w:line="255" w:lineRule="auto"/>
        <w:rPr>
          <w:sz w:val="20"/>
          <w:szCs w:val="20"/>
          <w:color w:val="auto"/>
        </w:rPr>
      </w:pPr>
      <w:r>
        <w:rPr>
          <w:rFonts w:ascii="Times New Roman" w:cs="Times New Roman" w:eastAsia="Times New Roman" w:hAnsi="Times New Roman"/>
          <w:sz w:val="15"/>
          <w:szCs w:val="15"/>
          <w:color w:val="auto"/>
        </w:rPr>
        <w:t>For the three months ended March 31, 2022, Home segment operating loss decreased and adjusted EBITDA increased compared to the prior year period primarily due to favorable pricing impacts, benefits from cost savings initiatives, lower warranty costs and favorable product mix. These benefits were partially offset by higher component and freight costs and lower sales volumes. Compared to the prior year period, Home segment operating loss for the three months ended March 31, 2022 was favorably impacted by a reduction of $5.1 million in restructuring expense and a $3.4 million reduction in transaction, transformation and integration costs which are not reflected in adjusted EBITDA. See “Reconciliation of Segment Adjusted EBITDA” below.</w:t>
      </w:r>
    </w:p>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9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summarizes certain key measures of our liquidity and capital resources (in millions, except percentage data).</w:t>
      </w:r>
    </w:p>
    <w:p>
      <w:pPr>
        <w:spacing w:after="0" w:line="343" w:lineRule="exact"/>
        <w:rPr>
          <w:sz w:val="20"/>
          <w:szCs w:val="20"/>
          <w:color w:val="auto"/>
        </w:rPr>
      </w:pPr>
    </w:p>
    <w:tbl>
      <w:tblPr>
        <w:tblLayout w:type="fixed"/>
        <w:tblInd w:w="67" w:type="dxa"/>
        <w:tblCellMar>
          <w:top w:w="0" w:type="dxa"/>
          <w:left w:w="0" w:type="dxa"/>
          <w:bottom w:w="0" w:type="dxa"/>
          <w:right w:w="0" w:type="dxa"/>
        </w:tblCellMar>
      </w:tblPr>
      <w:tr>
        <w:trPr>
          <w:trHeight w:val="138"/>
        </w:trPr>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60" w:type="dxa"/>
            <w:vAlign w:val="bottom"/>
          </w:tcPr>
          <w:p>
            <w:pPr>
              <w:spacing w:after="0"/>
              <w:rPr>
                <w:sz w:val="12"/>
                <w:szCs w:val="12"/>
                <w:color w:val="auto"/>
              </w:rPr>
            </w:pPr>
          </w:p>
        </w:tc>
        <w:tc>
          <w:tcPr>
            <w:tcW w:w="1340" w:type="dxa"/>
            <w:vAlign w:val="bottom"/>
            <w:gridSpan w:val="2"/>
          </w:tcPr>
          <w:p>
            <w:pPr>
              <w:jc w:val="right"/>
              <w:ind w:right="49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60" w:type="dxa"/>
            <w:vAlign w:val="bottom"/>
          </w:tcPr>
          <w:p>
            <w:pPr>
              <w:spacing w:after="0"/>
              <w:rPr>
                <w:sz w:val="12"/>
                <w:szCs w:val="12"/>
                <w:color w:val="auto"/>
              </w:rPr>
            </w:pPr>
          </w:p>
        </w:tc>
        <w:tc>
          <w:tcPr>
            <w:tcW w:w="980" w:type="dxa"/>
            <w:vAlign w:val="bottom"/>
            <w:vMerge w:val="restart"/>
          </w:tcPr>
          <w:p>
            <w:pPr>
              <w:jc w:val="right"/>
              <w:ind w:right="385"/>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vMerge w:val="restart"/>
          </w:tcPr>
          <w:p>
            <w:pPr>
              <w:spacing w:after="0"/>
              <w:rPr>
                <w:sz w:val="12"/>
                <w:szCs w:val="12"/>
                <w:color w:val="auto"/>
              </w:rPr>
            </w:pPr>
          </w:p>
        </w:tc>
        <w:tc>
          <w:tcPr>
            <w:tcW w:w="840" w:type="dxa"/>
            <w:vAlign w:val="bottom"/>
            <w:vMerge w:val="restart"/>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3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2"/>
                <w:szCs w:val="12"/>
                <w:b w:val="1"/>
                <w:bCs w:val="1"/>
                <w:color w:val="auto"/>
              </w:rPr>
              <w:t>2022</w:t>
            </w: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2"/>
                <w:szCs w:val="12"/>
                <w:b w:val="1"/>
                <w:bCs w:val="1"/>
                <w:color w:val="auto"/>
              </w:rPr>
              <w:t>2021</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(dollars</w:t>
            </w:r>
          </w:p>
        </w:tc>
        <w:tc>
          <w:tcPr>
            <w:tcW w:w="700" w:type="dxa"/>
            <w:vAlign w:val="bottom"/>
            <w:gridSpan w:val="2"/>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w w:val="96"/>
              </w:rPr>
              <w:t>in millions)</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314.7</w:t>
            </w:r>
          </w:p>
        </w:tc>
        <w:tc>
          <w:tcPr>
            <w:tcW w:w="340" w:type="dxa"/>
            <w:vAlign w:val="bottom"/>
            <w:shd w:val="clear" w:color="auto" w:fill="CCECFF"/>
          </w:tcPr>
          <w:p>
            <w:pPr>
              <w:spacing w:after="0"/>
              <w:rPr>
                <w:sz w:val="16"/>
                <w:szCs w:val="16"/>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360.3</w:t>
            </w:r>
          </w:p>
        </w:tc>
        <w:tc>
          <w:tcPr>
            <w:tcW w:w="340" w:type="dxa"/>
            <w:vAlign w:val="bottom"/>
            <w:shd w:val="clear" w:color="auto" w:fill="CCECFF"/>
          </w:tcPr>
          <w:p>
            <w:pPr>
              <w:spacing w:after="0"/>
              <w:rPr>
                <w:sz w:val="16"/>
                <w:szCs w:val="16"/>
                <w:color w:val="auto"/>
              </w:rPr>
            </w:pPr>
          </w:p>
        </w:tc>
        <w:tc>
          <w:tcPr>
            <w:tcW w:w="360" w:type="dxa"/>
            <w:vAlign w:val="bottom"/>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(45.6 )</w:t>
            </w: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5"/>
                <w:szCs w:val="15"/>
                <w:color w:val="auto"/>
              </w:rPr>
              <w:t>(12.7 ) %</w:t>
            </w:r>
          </w:p>
        </w:tc>
        <w:tc>
          <w:tcPr>
            <w:tcW w:w="0" w:type="dxa"/>
            <w:vAlign w:val="bottom"/>
          </w:tcPr>
          <w:p>
            <w:pPr>
              <w:spacing w:after="0"/>
              <w:rPr>
                <w:sz w:val="1"/>
                <w:szCs w:val="1"/>
                <w:color w:val="auto"/>
              </w:rPr>
            </w:pPr>
          </w:p>
        </w:tc>
      </w:tr>
      <w:tr>
        <w:trPr>
          <w:trHeight w:val="148"/>
        </w:trPr>
        <w:tc>
          <w:tcPr>
            <w:tcW w:w="53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 xml:space="preserve">Working capital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excluding cash and cash</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equivalents and current portion of long-term debt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1,068.9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34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Availability under revolving credit facility</w:t>
            </w:r>
          </w:p>
        </w:tc>
        <w:tc>
          <w:tcPr>
            <w:tcW w:w="20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715.6</w:t>
            </w:r>
          </w:p>
        </w:tc>
        <w:tc>
          <w:tcPr>
            <w:tcW w:w="3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684.1</w:t>
            </w:r>
          </w:p>
        </w:tc>
        <w:tc>
          <w:tcPr>
            <w:tcW w:w="3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26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3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including current portion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9,508.3</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9,510.5</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(2.2 )</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5340" w:type="dxa"/>
            <w:vAlign w:val="bottom"/>
            <w:shd w:val="clear" w:color="auto" w:fill="CCECFF"/>
          </w:tcPr>
          <w:p>
            <w:pPr>
              <w:spacing w:after="0" w:line="185" w:lineRule="exact"/>
              <w:rPr>
                <w:sz w:val="20"/>
                <w:szCs w:val="20"/>
                <w:color w:val="auto"/>
              </w:rPr>
            </w:pPr>
            <w:r>
              <w:rPr>
                <w:rFonts w:ascii="Times New Roman" w:cs="Times New Roman" w:eastAsia="Times New Roman" w:hAnsi="Times New Roman"/>
                <w:sz w:val="15"/>
                <w:szCs w:val="15"/>
                <w:color w:val="auto"/>
              </w:rPr>
              <w:t xml:space="preserve">Total capitalization </w:t>
            </w:r>
            <w:r>
              <w:rPr>
                <w:rFonts w:ascii="Times New Roman" w:cs="Times New Roman" w:eastAsia="Times New Roman" w:hAnsi="Times New Roman"/>
                <w:sz w:val="20"/>
                <w:szCs w:val="20"/>
                <w:color w:val="auto"/>
                <w:vertAlign w:val="superscript"/>
              </w:rPr>
              <w:t>(2)</w:t>
            </w:r>
          </w:p>
        </w:tc>
        <w:tc>
          <w:tcPr>
            <w:tcW w:w="20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10,264.8</w:t>
            </w:r>
          </w:p>
        </w:tc>
        <w:tc>
          <w:tcPr>
            <w:tcW w:w="3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10,410.0</w:t>
            </w:r>
          </w:p>
        </w:tc>
        <w:tc>
          <w:tcPr>
            <w:tcW w:w="3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5"/>
                <w:szCs w:val="15"/>
                <w:color w:val="auto"/>
              </w:rPr>
              <w:t>(145.2 )</w:t>
            </w:r>
          </w:p>
        </w:tc>
        <w:tc>
          <w:tcPr>
            <w:tcW w:w="12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5"/>
                <w:szCs w:val="15"/>
                <w:color w:val="auto"/>
              </w:rPr>
              <w:t>(1.4 )</w:t>
            </w:r>
          </w:p>
        </w:tc>
        <w:tc>
          <w:tcPr>
            <w:tcW w:w="0" w:type="dxa"/>
            <w:vAlign w:val="bottom"/>
          </w:tcPr>
          <w:p>
            <w:pPr>
              <w:spacing w:after="0"/>
              <w:rPr>
                <w:sz w:val="1"/>
                <w:szCs w:val="1"/>
                <w:color w:val="auto"/>
              </w:rPr>
            </w:pPr>
          </w:p>
        </w:tc>
      </w:tr>
      <w:tr>
        <w:trPr>
          <w:trHeight w:val="200"/>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as a percentage of total capitalization</w:t>
            </w:r>
          </w:p>
        </w:tc>
        <w:tc>
          <w:tcPr>
            <w:tcW w:w="2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92.6 %</w:t>
            </w:r>
          </w:p>
        </w:tc>
        <w:tc>
          <w:tcPr>
            <w:tcW w:w="16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91.4 %</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07" w:right="500" w:hanging="307"/>
        <w:spacing w:after="0" w:line="280" w:lineRule="auto"/>
        <w:tabs>
          <w:tab w:leader="none" w:pos="22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Working capital consisted of current assets of $3,643.4 million less current liabilities of $2,221.9 million at March 31, 2022. Working capital consisted of current assets of $3,579.7 million less current liabilities of $2,182.5 million at December 31, 2021.</w:t>
      </w:r>
    </w:p>
    <w:p>
      <w:pPr>
        <w:spacing w:after="0" w:line="38" w:lineRule="exact"/>
        <w:rPr>
          <w:rFonts w:ascii="Times New Roman" w:cs="Times New Roman" w:eastAsia="Times New Roman" w:hAnsi="Times New Roman"/>
          <w:sz w:val="15"/>
          <w:szCs w:val="15"/>
          <w:color w:val="auto"/>
        </w:rPr>
      </w:pPr>
    </w:p>
    <w:p>
      <w:pPr>
        <w:ind w:left="307" w:right="520" w:hanging="307"/>
        <w:spacing w:after="0" w:line="296" w:lineRule="auto"/>
        <w:tabs>
          <w:tab w:leader="none" w:pos="22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capitalization includes long-term debt, including the current portion, Series A convertible preferred stock (the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-547370</wp:posOffset>
            </wp:positionV>
            <wp:extent cx="119316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00" w:lineRule="exact"/>
        <w:rPr>
          <w:sz w:val="20"/>
          <w:szCs w:val="20"/>
          <w:color w:val="auto"/>
        </w:rPr>
      </w:pPr>
    </w:p>
    <w:p>
      <w:pPr>
        <w:ind w:left="7" w:right="180"/>
        <w:spacing w:after="0" w:line="280" w:lineRule="auto"/>
        <w:rPr>
          <w:sz w:val="20"/>
          <w:szCs w:val="20"/>
          <w:color w:val="auto"/>
        </w:rPr>
      </w:pPr>
      <w:r>
        <w:rPr>
          <w:rFonts w:ascii="Times New Roman" w:cs="Times New Roman" w:eastAsia="Times New Roman" w:hAnsi="Times New Roman"/>
          <w:sz w:val="15"/>
          <w:szCs w:val="15"/>
          <w:color w:val="auto"/>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spacing w:after="0" w:line="143" w:lineRule="exact"/>
        <w:rPr>
          <w:sz w:val="20"/>
          <w:szCs w:val="20"/>
          <w:color w:val="auto"/>
        </w:rPr>
      </w:pPr>
    </w:p>
    <w:p>
      <w:pPr>
        <w:ind w:left="7" w:right="40"/>
        <w:spacing w:after="0" w:line="250" w:lineRule="auto"/>
        <w:rPr>
          <w:sz w:val="20"/>
          <w:szCs w:val="20"/>
          <w:color w:val="auto"/>
        </w:rPr>
      </w:pPr>
      <w:r>
        <w:rPr>
          <w:rFonts w:ascii="Times New Roman" w:cs="Times New Roman" w:eastAsia="Times New Roman" w:hAnsi="Times New Roman"/>
          <w:sz w:val="15"/>
          <w:szCs w:val="15"/>
          <w:color w:val="auto"/>
        </w:rPr>
        <w:t>The primary uses of liquidity include debt service requirements, voluntary debt repayments or redemptions, working capital requirements, capital expenditures, business separation transaction costs, transformation costs, acquisition integration costs, dividends related to the Convertible Preferred Stock if we elect to pay such dividends in cash, litigation settlements, income tax payments and other contractual obligations. We expect the interest payments on our senior secured term loan due in 2026 (2026 Term Loan) and our senior secured asset-based revolving credit facility (Revolving Credit Facility) to increase in 2022 as a result of the Federal Reserve’s increase in interest rates in March 2022 and the expectation that they will continue to raise interest rates further in 2022. See Part II, Item 7A, “Quantitative and Qualitative Disclosure About Market Risk” in our 2021 Annual Report for further discussion of our interest rate risk. We believe that our existing cash, cash equivalents and cash flows from operations, combined with availability under our Revolving Credit Facility, will be sufficient to meet our presently anticipated future cash needs. We may experience volatility in cash flows between periods due to, among other reasons, variability in the timing of vendor payments and customer receipts. We may, from time to time, borrow additional amounts under our Revolving Credit Facility or issue debt or equity securities, if market conditions are favorable, to meet future cash needs or to reduce our borrowing costs.</w:t>
      </w:r>
    </w:p>
    <w:p>
      <w:pPr>
        <w:spacing w:after="0" w:line="16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717677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7"/>
          </w:cols>
          <w:pgMar w:left="313" w:top="573" w:right="339" w:bottom="1440" w:gutter="0" w:footer="0" w:header="0"/>
        </w:sectPr>
      </w:pPr>
    </w:p>
    <w:bookmarkStart w:id="31" w:name="page32"/>
    <w:bookmarkEnd w:id="31"/>
    <w:p>
      <w:pPr>
        <w:ind w:right="20"/>
        <w:spacing w:after="0" w:line="254" w:lineRule="auto"/>
        <w:rPr>
          <w:sz w:val="20"/>
          <w:szCs w:val="20"/>
          <w:color w:val="auto"/>
        </w:rPr>
      </w:pPr>
      <w:r>
        <w:rPr>
          <w:rFonts w:ascii="Times New Roman" w:cs="Times New Roman" w:eastAsia="Times New Roman" w:hAnsi="Times New Roman"/>
          <w:sz w:val="15"/>
          <w:szCs w:val="15"/>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March 31, 2022, our non-GAAP pro forma adjusted EBITDA, as measured pursuant to the indentures governing our notes, was $1,132.6 million, which included annualized savings expected from cost reduction initiatives ($52.0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at March 31, 2022.</w:t>
      </w:r>
    </w:p>
    <w:p>
      <w:pPr>
        <w:spacing w:after="0" w:line="33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5"/>
          <w:szCs w:val="15"/>
          <w:color w:val="auto"/>
        </w:rPr>
        <w:t>Cash and cash equivalents decreased during the three months ended March 31, 2022 primarily driven by cash used for operating activities of $14.6 million, capital expenditures of $27.4 million and tax withholding payments for vested equity-based compensation awards of $10.6 million. As of March 31, 2022, approximately 71% of our cash and cash equivalents were held outside the U.S.</w:t>
      </w:r>
    </w:p>
    <w:p>
      <w:pPr>
        <w:spacing w:after="0" w:line="15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5"/>
          <w:szCs w:val="15"/>
          <w:color w:val="auto"/>
        </w:rPr>
        <w:t>Working capital, excluding cash and cash equivalents and the current portion of long-term debt, increased during the three months ended March 31, 2022 primarily due to higher inventory balances as a result of rising material costs and increases in stock as we build inventory waiting for certain materials or components to complete our products for sale. Offsetting the increase in inventory was an increase in accounts payable mainly driven by higher inventory balances and a shift in payments timing. In the first quarter of 2022, we sold approximately $82 million of accounts receivable under customer-sponsored supplier financing agreements. Approximately $60 million of that amount impacted working capital, excluding cash and cash equivalents and the current portion of long-term debt, as of March 31, 2022. Under these agreements, we are able to sell certain accounts receivable to a bank, and we retain no interest in and have no servicing responsibilities for the accounts receivable sold.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net reduction in total capitalization during the three months ended March 31, 2022 reflected the net loss for the period.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 Overview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6"/>
          </w:tcPr>
          <w:p>
            <w:pPr>
              <w:jc w:val="center"/>
              <w:ind w:right="39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6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6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00" w:type="dxa"/>
            <w:vAlign w:val="bottom"/>
          </w:tcPr>
          <w:p>
            <w:pPr>
              <w:spacing w:after="0"/>
              <w:rPr>
                <w:sz w:val="12"/>
                <w:szCs w:val="12"/>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20" w:type="dxa"/>
            <w:vAlign w:val="bottom"/>
            <w:gridSpan w:val="2"/>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(dollars in</w:t>
            </w:r>
          </w:p>
        </w:tc>
        <w:tc>
          <w:tcPr>
            <w:tcW w:w="800" w:type="dxa"/>
            <w:vAlign w:val="bottom"/>
            <w:gridSpan w:val="4"/>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w w:val="93"/>
              </w:rPr>
              <w:t>millions)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6"/>
        </w:trPr>
        <w:tc>
          <w:tcPr>
            <w:tcW w:w="69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0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gridSpan w:val="3"/>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(14.6 )   $</w:t>
            </w:r>
          </w:p>
        </w:tc>
        <w:tc>
          <w:tcPr>
            <w:tcW w:w="960" w:type="dxa"/>
            <w:vAlign w:val="bottom"/>
            <w:gridSpan w:val="3"/>
            <w:shd w:val="clear" w:color="auto" w:fill="CCECFF"/>
          </w:tcPr>
          <w:p>
            <w:pPr>
              <w:jc w:val="right"/>
              <w:ind w:right="138"/>
              <w:spacing w:after="0"/>
              <w:rPr>
                <w:sz w:val="20"/>
                <w:szCs w:val="20"/>
                <w:color w:val="auto"/>
              </w:rPr>
            </w:pPr>
            <w:r>
              <w:rPr>
                <w:rFonts w:ascii="Times New Roman" w:cs="Times New Roman" w:eastAsia="Times New Roman" w:hAnsi="Times New Roman"/>
                <w:sz w:val="15"/>
                <w:szCs w:val="15"/>
                <w:color w:val="auto"/>
              </w:rPr>
              <w:t>(124.0 )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4"/>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109.4</w:t>
            </w:r>
          </w:p>
        </w:tc>
        <w:tc>
          <w:tcPr>
            <w:tcW w:w="200" w:type="dxa"/>
            <w:vAlign w:val="bottom"/>
            <w:shd w:val="clear" w:color="auto" w:fill="CCECFF"/>
          </w:tcPr>
          <w:p>
            <w:pPr>
              <w:spacing w:after="0"/>
              <w:rPr>
                <w:sz w:val="16"/>
                <w:szCs w:val="16"/>
                <w:color w:val="auto"/>
              </w:rPr>
            </w:pPr>
          </w:p>
        </w:tc>
        <w:tc>
          <w:tcPr>
            <w:tcW w:w="8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5"/>
                <w:szCs w:val="15"/>
                <w:color w:val="auto"/>
              </w:rPr>
              <w:t>(88.2 )%</w:t>
            </w:r>
          </w:p>
        </w:tc>
        <w:tc>
          <w:tcPr>
            <w:tcW w:w="80" w:type="dxa"/>
            <w:vAlign w:val="bottom"/>
            <w:shd w:val="clear" w:color="auto" w:fill="CCECFF"/>
          </w:tcPr>
          <w:p>
            <w:pPr>
              <w:spacing w:after="0"/>
              <w:rPr>
                <w:sz w:val="16"/>
                <w:szCs w:val="16"/>
                <w:color w:val="auto"/>
              </w:rPr>
            </w:pPr>
          </w:p>
        </w:tc>
      </w:tr>
      <w:tr>
        <w:trPr>
          <w:trHeight w:val="186"/>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0" w:type="dxa"/>
            <w:vAlign w:val="bottom"/>
          </w:tcPr>
          <w:p>
            <w:pPr>
              <w:spacing w:after="0"/>
              <w:rPr>
                <w:sz w:val="16"/>
                <w:szCs w:val="16"/>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(16.0 )</w:t>
            </w:r>
          </w:p>
        </w:tc>
        <w:tc>
          <w:tcPr>
            <w:tcW w:w="260" w:type="dxa"/>
            <w:vAlign w:val="bottom"/>
          </w:tcPr>
          <w:p>
            <w:pPr>
              <w:spacing w:after="0"/>
              <w:rPr>
                <w:sz w:val="16"/>
                <w:szCs w:val="16"/>
                <w:color w:val="auto"/>
              </w:rPr>
            </w:pPr>
          </w:p>
        </w:tc>
        <w:tc>
          <w:tcPr>
            <w:tcW w:w="960" w:type="dxa"/>
            <w:vAlign w:val="bottom"/>
            <w:gridSpan w:val="3"/>
          </w:tcPr>
          <w:p>
            <w:pPr>
              <w:jc w:val="right"/>
              <w:ind w:right="138"/>
              <w:spacing w:after="0"/>
              <w:rPr>
                <w:sz w:val="20"/>
                <w:szCs w:val="20"/>
                <w:color w:val="auto"/>
              </w:rPr>
            </w:pPr>
            <w:r>
              <w:rPr>
                <w:rFonts w:ascii="Times New Roman" w:cs="Times New Roman" w:eastAsia="Times New Roman" w:hAnsi="Times New Roman"/>
                <w:sz w:val="15"/>
                <w:szCs w:val="15"/>
                <w:color w:val="auto"/>
              </w:rPr>
              <w:t>(25.4 )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9.4</w:t>
            </w:r>
          </w:p>
        </w:tc>
        <w:tc>
          <w:tcPr>
            <w:tcW w:w="20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(37.0 )</w:t>
            </w:r>
          </w:p>
        </w:tc>
        <w:tc>
          <w:tcPr>
            <w:tcW w:w="80" w:type="dxa"/>
            <w:vAlign w:val="bottom"/>
          </w:tcPr>
          <w:p>
            <w:pPr>
              <w:spacing w:after="0"/>
              <w:rPr>
                <w:sz w:val="16"/>
                <w:szCs w:val="16"/>
                <w:color w:val="auto"/>
              </w:rPr>
            </w:pPr>
          </w:p>
        </w:tc>
      </w:tr>
      <w:tr>
        <w:trPr>
          <w:trHeight w:val="186"/>
        </w:trPr>
        <w:tc>
          <w:tcPr>
            <w:tcW w:w="69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00" w:type="dxa"/>
            <w:vAlign w:val="bottom"/>
            <w:shd w:val="clear" w:color="auto" w:fill="CCECFF"/>
          </w:tcPr>
          <w:p>
            <w:pPr>
              <w:spacing w:after="0"/>
              <w:rPr>
                <w:sz w:val="16"/>
                <w:szCs w:val="16"/>
                <w:color w:val="auto"/>
              </w:rPr>
            </w:pPr>
          </w:p>
        </w:tc>
        <w:tc>
          <w:tcPr>
            <w:tcW w:w="94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(17.2 )</w:t>
            </w:r>
          </w:p>
        </w:tc>
        <w:tc>
          <w:tcPr>
            <w:tcW w:w="260" w:type="dxa"/>
            <w:vAlign w:val="bottom"/>
            <w:shd w:val="clear" w:color="auto" w:fill="CCECFF"/>
          </w:tcPr>
          <w:p>
            <w:pPr>
              <w:spacing w:after="0"/>
              <w:rPr>
                <w:sz w:val="16"/>
                <w:szCs w:val="16"/>
                <w:color w:val="auto"/>
              </w:rPr>
            </w:pPr>
          </w:p>
        </w:tc>
        <w:tc>
          <w:tcPr>
            <w:tcW w:w="960" w:type="dxa"/>
            <w:vAlign w:val="bottom"/>
            <w:gridSpan w:val="3"/>
            <w:shd w:val="clear" w:color="auto" w:fill="CCECFF"/>
          </w:tcPr>
          <w:p>
            <w:pPr>
              <w:jc w:val="right"/>
              <w:ind w:right="138"/>
              <w:spacing w:after="0"/>
              <w:rPr>
                <w:sz w:val="20"/>
                <w:szCs w:val="20"/>
                <w:color w:val="auto"/>
              </w:rPr>
            </w:pPr>
            <w:r>
              <w:rPr>
                <w:rFonts w:ascii="Times New Roman" w:cs="Times New Roman" w:eastAsia="Times New Roman" w:hAnsi="Times New Roman"/>
                <w:sz w:val="15"/>
                <w:szCs w:val="15"/>
                <w:color w:val="auto"/>
              </w:rPr>
              <w:t>(42.7 )</w:t>
            </w: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25.5</w:t>
            </w:r>
          </w:p>
        </w:tc>
        <w:tc>
          <w:tcPr>
            <w:tcW w:w="200" w:type="dxa"/>
            <w:vAlign w:val="bottom"/>
            <w:shd w:val="clear" w:color="auto" w:fill="CCECFF"/>
          </w:tcPr>
          <w:p>
            <w:pPr>
              <w:spacing w:after="0"/>
              <w:rPr>
                <w:sz w:val="16"/>
                <w:szCs w:val="16"/>
                <w:color w:val="auto"/>
              </w:rPr>
            </w:pPr>
          </w:p>
        </w:tc>
        <w:tc>
          <w:tcPr>
            <w:tcW w:w="8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5"/>
                <w:szCs w:val="15"/>
                <w:color w:val="auto"/>
              </w:rPr>
              <w:t>(59.7 )</w:t>
            </w:r>
          </w:p>
        </w:tc>
        <w:tc>
          <w:tcPr>
            <w:tcW w:w="80" w:type="dxa"/>
            <w:vAlign w:val="bottom"/>
            <w:shd w:val="clear" w:color="auto" w:fill="CCECFF"/>
          </w:tcPr>
          <w:p>
            <w:pPr>
              <w:spacing w:after="0"/>
              <w:rPr>
                <w:sz w:val="16"/>
                <w:szCs w:val="16"/>
                <w:color w:val="auto"/>
              </w:rPr>
            </w:pPr>
          </w:p>
        </w:tc>
      </w:tr>
      <w:tr>
        <w:trPr>
          <w:trHeight w:val="464"/>
        </w:trPr>
        <w:tc>
          <w:tcPr>
            <w:tcW w:w="69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9"/>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1"/>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5"/>
          </w:tcPr>
          <w:p>
            <w:pPr>
              <w:jc w:val="center"/>
              <w:ind w:left="27"/>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6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6"/>
        </w:trPr>
        <w:tc>
          <w:tcPr>
            <w:tcW w:w="69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25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CFF"/>
          </w:tcPr>
          <w:p>
            <w:pPr>
              <w:spacing w:after="0"/>
              <w:rPr>
                <w:sz w:val="16"/>
                <w:szCs w:val="16"/>
                <w:color w:val="auto"/>
              </w:rPr>
            </w:pPr>
          </w:p>
        </w:tc>
        <w:tc>
          <w:tcPr>
            <w:tcW w:w="54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(139.9 )</w:t>
            </w:r>
          </w:p>
        </w:tc>
        <w:tc>
          <w:tcPr>
            <w:tcW w:w="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CFF"/>
          </w:tcPr>
          <w:p>
            <w:pPr>
              <w:spacing w:after="0"/>
              <w:rPr>
                <w:sz w:val="16"/>
                <w:szCs w:val="16"/>
                <w:color w:val="auto"/>
              </w:rPr>
            </w:pP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(97.6 )</w:t>
            </w:r>
          </w:p>
        </w:tc>
      </w:tr>
      <w:tr>
        <w:trPr>
          <w:trHeight w:val="186"/>
        </w:trPr>
        <w:tc>
          <w:tcPr>
            <w:tcW w:w="6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Adjustments to reconcile net loss to net cash generated by operating activities: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690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180.2</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199.2</w:t>
            </w:r>
          </w:p>
        </w:tc>
        <w:tc>
          <w:tcPr>
            <w:tcW w:w="80" w:type="dxa"/>
            <w:vAlign w:val="bottom"/>
            <w:shd w:val="clear" w:color="auto" w:fill="CCECFF"/>
          </w:tcPr>
          <w:p>
            <w:pPr>
              <w:spacing w:after="0"/>
              <w:rPr>
                <w:sz w:val="16"/>
                <w:szCs w:val="16"/>
                <w:color w:val="auto"/>
              </w:rPr>
            </w:pPr>
          </w:p>
        </w:tc>
      </w:tr>
      <w:tr>
        <w:trPr>
          <w:trHeight w:val="186"/>
        </w:trPr>
        <w:tc>
          <w:tcPr>
            <w:tcW w:w="6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Equity-based compensation</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23.5</w:t>
            </w:r>
          </w:p>
        </w:tc>
        <w:tc>
          <w:tcPr>
            <w:tcW w:w="80" w:type="dxa"/>
            <w:vAlign w:val="bottom"/>
          </w:tcPr>
          <w:p>
            <w:pPr>
              <w:spacing w:after="0"/>
              <w:rPr>
                <w:sz w:val="16"/>
                <w:szCs w:val="16"/>
                <w:color w:val="auto"/>
              </w:rPr>
            </w:pPr>
          </w:p>
        </w:tc>
      </w:tr>
      <w:tr>
        <w:trPr>
          <w:trHeight w:val="186"/>
        </w:trPr>
        <w:tc>
          <w:tcPr>
            <w:tcW w:w="690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(53.4 )</w:t>
            </w:r>
          </w:p>
        </w:tc>
      </w:tr>
      <w:tr>
        <w:trPr>
          <w:trHeight w:val="186"/>
        </w:trPr>
        <w:tc>
          <w:tcPr>
            <w:tcW w:w="6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69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5"/>
                <w:szCs w:val="15"/>
                <w:color w:val="auto"/>
              </w:rPr>
              <w:t>Accounts receivable</w:t>
            </w:r>
          </w:p>
        </w:tc>
        <w:tc>
          <w:tcPr>
            <w:tcW w:w="20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94"/>
              </w:rPr>
              <w:t>(60.5 )</w:t>
            </w:r>
          </w:p>
        </w:tc>
        <w:tc>
          <w:tcPr>
            <w:tcW w:w="1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(164.2 )</w:t>
            </w:r>
          </w:p>
        </w:tc>
      </w:tr>
      <w:tr>
        <w:trPr>
          <w:trHeight w:val="186"/>
        </w:trPr>
        <w:tc>
          <w:tcPr>
            <w:tcW w:w="69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Inventories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4"/>
              </w:rPr>
              <w:t>(73.7 )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(10.7 )</w:t>
            </w:r>
          </w:p>
        </w:tc>
      </w:tr>
      <w:tr>
        <w:trPr>
          <w:trHeight w:val="186"/>
        </w:trPr>
        <w:tc>
          <w:tcPr>
            <w:tcW w:w="69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0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CFF"/>
          </w:tcPr>
          <w:p>
            <w:pPr>
              <w:spacing w:after="0"/>
              <w:rPr>
                <w:sz w:val="16"/>
                <w:szCs w:val="16"/>
                <w:color w:val="auto"/>
              </w:rPr>
            </w:pPr>
          </w:p>
        </w:tc>
      </w:tr>
      <w:tr>
        <w:trPr>
          <w:trHeight w:val="186"/>
        </w:trPr>
        <w:tc>
          <w:tcPr>
            <w:tcW w:w="69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(23.9 )</w:t>
            </w:r>
          </w:p>
        </w:tc>
      </w:tr>
      <w:tr>
        <w:trPr>
          <w:trHeight w:val="186"/>
        </w:trPr>
        <w:tc>
          <w:tcPr>
            <w:tcW w:w="690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(1.0 )</w:t>
            </w:r>
          </w:p>
        </w:tc>
      </w:tr>
      <w:tr>
        <w:trPr>
          <w:trHeight w:val="20"/>
        </w:trPr>
        <w:tc>
          <w:tcPr>
            <w:tcW w:w="690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r>
      <w:tr>
        <w:trPr>
          <w:trHeight w:val="177"/>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4"/>
              </w:rPr>
              <w:t>(14.6 )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(124.0 )</w:t>
            </w: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-146685</wp:posOffset>
            </wp:positionV>
            <wp:extent cx="5143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-146685</wp:posOffset>
            </wp:positionV>
            <wp:extent cx="5143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1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5"/>
          <w:szCs w:val="15"/>
          <w:color w:val="auto"/>
        </w:rPr>
        <w:t>During the three months ended March 31, 2022, cash used for operating activities decreased compared to the prior year period primarily as a result of higher collections of accounts receivable and a shift in the timing of certain variable incentive compensation payments, partially offset by higher inventory costs.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284480</wp:posOffset>
            </wp:positionV>
            <wp:extent cx="7176770" cy="400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484" w:right="319"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85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858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80" w:type="dxa"/>
            <w:vAlign w:val="bottom"/>
          </w:tcPr>
          <w:p>
            <w:pPr>
              <w:spacing w:after="0"/>
              <w:rPr>
                <w:sz w:val="12"/>
                <w:szCs w:val="12"/>
                <w:color w:val="auto"/>
              </w:rPr>
            </w:pPr>
          </w:p>
        </w:tc>
      </w:tr>
      <w:tr>
        <w:trPr>
          <w:trHeight w:val="177"/>
        </w:trPr>
        <w:tc>
          <w:tcPr>
            <w:tcW w:w="8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85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720" w:type="dxa"/>
            <w:vAlign w:val="bottom"/>
            <w:shd w:val="clear" w:color="auto" w:fill="CCECFF"/>
          </w:tcPr>
          <w:p>
            <w:pPr>
              <w:jc w:val="right"/>
              <w:ind w:right="5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(27.4 )</w:t>
            </w:r>
          </w:p>
        </w:tc>
        <w:tc>
          <w:tcPr>
            <w:tcW w:w="460" w:type="dxa"/>
            <w:vAlign w:val="bottom"/>
            <w:shd w:val="clear" w:color="auto" w:fill="CCECFF"/>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(26.4 )</w:t>
            </w:r>
          </w:p>
        </w:tc>
      </w:tr>
      <w:tr>
        <w:trPr>
          <w:trHeight w:val="186"/>
        </w:trPr>
        <w:tc>
          <w:tcPr>
            <w:tcW w:w="85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sale of property, plant and equipment</w:t>
            </w:r>
          </w:p>
        </w:tc>
        <w:tc>
          <w:tcPr>
            <w:tcW w:w="72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6"/>
                <w:szCs w:val="16"/>
                <w:color w:val="auto"/>
              </w:rPr>
            </w:pPr>
          </w:p>
        </w:tc>
      </w:tr>
      <w:tr>
        <w:trPr>
          <w:trHeight w:val="186"/>
        </w:trPr>
        <w:tc>
          <w:tcPr>
            <w:tcW w:w="858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Other</w:t>
            </w:r>
          </w:p>
        </w:tc>
        <w:tc>
          <w:tcPr>
            <w:tcW w:w="720" w:type="dxa"/>
            <w:vAlign w:val="bottom"/>
            <w:tcBorders>
              <w:bottom w:val="single" w:sz="8" w:color="auto"/>
            </w:tcBorders>
            <w:shd w:val="clear" w:color="auto" w:fill="CCECFF"/>
          </w:tcPr>
          <w:p>
            <w:pPr>
              <w:spacing w:after="0"/>
              <w:rPr>
                <w:sz w:val="16"/>
                <w:szCs w:val="16"/>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80" w:type="dxa"/>
            <w:vAlign w:val="bottom"/>
            <w:tcBorders>
              <w:bottom w:val="single" w:sz="8" w:color="CCECFF"/>
            </w:tcBorders>
            <w:shd w:val="clear" w:color="auto" w:fill="CCECFF"/>
          </w:tcPr>
          <w:p>
            <w:pPr>
              <w:spacing w:after="0"/>
              <w:rPr>
                <w:sz w:val="16"/>
                <w:szCs w:val="16"/>
                <w:color w:val="auto"/>
              </w:rPr>
            </w:pPr>
          </w:p>
        </w:tc>
        <w:tc>
          <w:tcPr>
            <w:tcW w:w="460" w:type="dxa"/>
            <w:vAlign w:val="bottom"/>
            <w:tcBorders>
              <w:bottom w:val="single" w:sz="8" w:color="auto"/>
            </w:tcBorders>
            <w:shd w:val="clear" w:color="auto" w:fill="CCECFF"/>
          </w:tcPr>
          <w:p>
            <w:pPr>
              <w:spacing w:after="0"/>
              <w:rPr>
                <w:sz w:val="16"/>
                <w:szCs w:val="16"/>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77"/>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(16.0 )</w:t>
            </w:r>
          </w:p>
        </w:tc>
        <w:tc>
          <w:tcPr>
            <w:tcW w:w="46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(25.4 )</w:t>
            </w:r>
          </w:p>
        </w:tc>
      </w:tr>
      <w:tr>
        <w:trPr>
          <w:trHeight w:val="20"/>
        </w:trPr>
        <w:tc>
          <w:tcPr>
            <w:tcW w:w="8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-146685</wp:posOffset>
            </wp:positionV>
            <wp:extent cx="5143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-146685</wp:posOffset>
            </wp:positionV>
            <wp:extent cx="5143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1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5"/>
          <w:szCs w:val="15"/>
          <w:color w:val="auto"/>
        </w:rPr>
        <w:t>During the three months ended March 31, 2022, the decrease in cash used in investing activities compared to the prior year period was primarily driven by proceeds of $6.9 million on the sale of an equity method investment and a return of $4.5 million on equity method investments.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940" w:type="dxa"/>
            <w:vAlign w:val="bottom"/>
            <w:gridSpan w:val="4"/>
          </w:tcPr>
          <w:p>
            <w:pPr>
              <w:jc w:val="center"/>
              <w:ind w:left="31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88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168"/>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886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8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gridSpan w:val="3"/>
          </w:tcPr>
          <w:p>
            <w:pPr>
              <w:jc w:val="center"/>
              <w:ind w:right="188"/>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8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Long-term debt repaid</w:t>
            </w:r>
          </w:p>
        </w:tc>
        <w:tc>
          <w:tcPr>
            <w:tcW w:w="640" w:type="dxa"/>
            <w:vAlign w:val="bottom"/>
            <w:shd w:val="clear" w:color="auto" w:fill="CCECFF"/>
          </w:tcPr>
          <w:p>
            <w:pPr>
              <w:jc w:val="right"/>
              <w:ind w:right="47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99"/>
              </w:rPr>
              <w:t>(93.0 )</w:t>
            </w:r>
          </w:p>
        </w:tc>
        <w:tc>
          <w:tcPr>
            <w:tcW w:w="680" w:type="dxa"/>
            <w:vAlign w:val="bottom"/>
            <w:shd w:val="clear" w:color="auto" w:fill="CCECFF"/>
          </w:tcPr>
          <w:p>
            <w:pPr>
              <w:jc w:val="right"/>
              <w:ind w:right="528"/>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(8.0 )</w:t>
            </w:r>
          </w:p>
        </w:tc>
      </w:tr>
      <w:tr>
        <w:trPr>
          <w:trHeight w:val="186"/>
        </w:trPr>
        <w:tc>
          <w:tcPr>
            <w:tcW w:w="8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Long-term debt proceeds</w:t>
            </w:r>
          </w:p>
        </w:tc>
        <w:tc>
          <w:tcPr>
            <w:tcW w:w="6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8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Dividends paid on Series A convertible preferred stock</w:t>
            </w:r>
          </w:p>
        </w:tc>
        <w:tc>
          <w:tcPr>
            <w:tcW w:w="64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CFF"/>
          </w:tcPr>
          <w:p>
            <w:pPr>
              <w:spacing w:after="0"/>
              <w:rPr>
                <w:sz w:val="16"/>
                <w:szCs w:val="16"/>
                <w:color w:val="auto"/>
              </w:rPr>
            </w:pPr>
          </w:p>
        </w:tc>
        <w:tc>
          <w:tcPr>
            <w:tcW w:w="4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(14.3 )</w:t>
            </w:r>
          </w:p>
        </w:tc>
      </w:tr>
      <w:tr>
        <w:trPr>
          <w:trHeight w:val="186"/>
        </w:trPr>
        <w:tc>
          <w:tcPr>
            <w:tcW w:w="8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the issuance of common shares under equity-based compensation plans</w:t>
            </w:r>
          </w:p>
        </w:tc>
        <w:tc>
          <w:tcPr>
            <w:tcW w:w="6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6"/>
                <w:szCs w:val="16"/>
                <w:color w:val="auto"/>
              </w:rPr>
            </w:pPr>
          </w:p>
        </w:tc>
      </w:tr>
      <w:tr>
        <w:trPr>
          <w:trHeight w:val="186"/>
        </w:trPr>
        <w:tc>
          <w:tcPr>
            <w:tcW w:w="8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Tax withholding payments for vested equity-based compensation awards</w:t>
            </w:r>
          </w:p>
        </w:tc>
        <w:tc>
          <w:tcPr>
            <w:tcW w:w="64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99"/>
              </w:rPr>
              <w:t>(10.6 )</w:t>
            </w:r>
          </w:p>
        </w:tc>
        <w:tc>
          <w:tcPr>
            <w:tcW w:w="680" w:type="dxa"/>
            <w:vAlign w:val="bottom"/>
            <w:shd w:val="clear" w:color="auto" w:fill="CCECFF"/>
          </w:tcPr>
          <w:p>
            <w:pPr>
              <w:spacing w:after="0"/>
              <w:rPr>
                <w:sz w:val="16"/>
                <w:szCs w:val="16"/>
                <w:color w:val="auto"/>
              </w:rPr>
            </w:pPr>
          </w:p>
        </w:tc>
        <w:tc>
          <w:tcPr>
            <w:tcW w:w="4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(24.3 )</w:t>
            </w:r>
          </w:p>
        </w:tc>
      </w:tr>
      <w:tr>
        <w:trPr>
          <w:trHeight w:val="186"/>
        </w:trPr>
        <w:tc>
          <w:tcPr>
            <w:tcW w:w="8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w:t>
            </w:r>
          </w:p>
        </w:tc>
        <w:tc>
          <w:tcPr>
            <w:tcW w:w="6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88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640" w:type="dxa"/>
            <w:vAlign w:val="bottom"/>
            <w:tcBorders>
              <w:top w:val="single" w:sz="8" w:color="auto"/>
              <w:bottom w:val="single" w:sz="8" w:color="auto"/>
            </w:tcBorders>
            <w:shd w:val="clear" w:color="auto" w:fill="CCECFF"/>
          </w:tcPr>
          <w:p>
            <w:pPr>
              <w:jc w:val="right"/>
              <w:ind w:right="47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260" w:type="dxa"/>
            <w:vAlign w:val="bottom"/>
            <w:tcBorders>
              <w:bottom w:val="single" w:sz="8" w:color="CCECFF"/>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CFF"/>
          </w:tcPr>
          <w:p>
            <w:pPr>
              <w:jc w:val="right"/>
              <w:ind w:right="528"/>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-21590</wp:posOffset>
            </wp:positionV>
            <wp:extent cx="5905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-6985</wp:posOffset>
            </wp:positionV>
            <wp:extent cx="5905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-21590</wp:posOffset>
            </wp:positionV>
            <wp:extent cx="5143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-6985</wp:posOffset>
            </wp:positionV>
            <wp:extent cx="5143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16"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5"/>
          <w:szCs w:val="15"/>
          <w:color w:val="auto"/>
        </w:rPr>
        <w:t>During the three months ended March 31, 2022, we borrowed and repaid $85.0 million under the Revolving Credit Facility. We also paid the quarterly scheduled amortization payment of $8.0 million on the senior secured term loan due in 2026 during the three months ended March 31, 2022.</w:t>
      </w:r>
    </w:p>
    <w:p>
      <w:pPr>
        <w:spacing w:after="0" w:line="120"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5"/>
          <w:szCs w:val="15"/>
          <w:color w:val="auto"/>
        </w:rPr>
        <w:t>As of March 31, 2022, we had no outstanding borrowings under the Revolving Credit Facility and the remaining availability was $715.6 million, reflecting a borrowing base of $807.5 million reduced by $91.9 million of letters of credit issued under the Revolving Credit Facility.</w:t>
      </w:r>
    </w:p>
    <w:p>
      <w:pPr>
        <w:spacing w:after="0" w:line="131"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5"/>
          <w:szCs w:val="15"/>
          <w:color w:val="auto"/>
        </w:rPr>
        <w:t>During the three months ended March 31, 2022, we received proceeds of $0.1 million related to the exercise of stock options compared to $3.9 million in the prior year period. Also during the three months ended March 31, 2022, employees surrendered shares of our common stock to satisfy their tax withholding requirements on vested restricted stock units and performance share units, which reduced cash flows by $10.6 million compared to $24.3 million in the prior year period.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33" w:name="page34"/>
    <w:bookmarkEnd w:id="33"/>
    <w:p>
      <w:pPr>
        <w:ind w:left="7"/>
        <w:spacing w:after="0"/>
        <w:rPr>
          <w:sz w:val="20"/>
          <w:szCs w:val="20"/>
          <w:color w:val="auto"/>
        </w:rPr>
      </w:pPr>
      <w:r>
        <w:rPr>
          <w:rFonts w:ascii="Times New Roman" w:cs="Times New Roman" w:eastAsia="Times New Roman" w:hAnsi="Times New Roman"/>
          <w:sz w:val="15"/>
          <w:szCs w:val="15"/>
          <w:b w:val="1"/>
          <w:bCs w:val="1"/>
          <w:color w:val="auto"/>
        </w:rPr>
        <w:t>Reconciliation of Non-GAAP Measures</w:t>
      </w:r>
    </w:p>
    <w:p>
      <w:pPr>
        <w:spacing w:after="0" w:line="110" w:lineRule="exact"/>
        <w:rPr>
          <w:sz w:val="20"/>
          <w:szCs w:val="20"/>
          <w:color w:val="auto"/>
        </w:rPr>
      </w:pPr>
    </w:p>
    <w:p>
      <w:pPr>
        <w:jc w:val="both"/>
        <w:ind w:left="7" w:right="20"/>
        <w:spacing w:after="0" w:line="261" w:lineRule="auto"/>
        <w:rPr>
          <w:sz w:val="20"/>
          <w:szCs w:val="20"/>
          <w:color w:val="auto"/>
        </w:rPr>
      </w:pPr>
      <w:r>
        <w:rPr>
          <w:rFonts w:ascii="Times New Roman" w:cs="Times New Roman" w:eastAsia="Times New Roman" w:hAnsi="Times New Roman"/>
          <w:sz w:val="15"/>
          <w:szCs w:val="15"/>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56" w:lineRule="exact"/>
        <w:rPr>
          <w:sz w:val="20"/>
          <w:szCs w:val="20"/>
          <w:color w:val="auto"/>
        </w:rPr>
      </w:pPr>
    </w:p>
    <w:p>
      <w:pPr>
        <w:ind w:left="7" w:right="220"/>
        <w:spacing w:after="0" w:line="261" w:lineRule="auto"/>
        <w:rPr>
          <w:sz w:val="20"/>
          <w:szCs w:val="20"/>
          <w:color w:val="auto"/>
        </w:rPr>
      </w:pPr>
      <w:r>
        <w:rPr>
          <w:rFonts w:ascii="Times New Roman" w:cs="Times New Roman" w:eastAsia="Times New Roman" w:hAnsi="Times New Roman"/>
          <w:sz w:val="15"/>
          <w:szCs w:val="15"/>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56" w:lineRule="exact"/>
        <w:rPr>
          <w:sz w:val="20"/>
          <w:szCs w:val="20"/>
          <w:color w:val="auto"/>
        </w:rPr>
      </w:pPr>
    </w:p>
    <w:p>
      <w:pPr>
        <w:ind w:left="7" w:right="60"/>
        <w:spacing w:after="0" w:line="261" w:lineRule="auto"/>
        <w:rPr>
          <w:sz w:val="20"/>
          <w:szCs w:val="20"/>
          <w:color w:val="auto"/>
        </w:rPr>
      </w:pPr>
      <w:r>
        <w:rPr>
          <w:rFonts w:ascii="Times New Roman" w:cs="Times New Roman" w:eastAsia="Times New Roman" w:hAnsi="Times New Roman"/>
          <w:sz w:val="15"/>
          <w:szCs w:val="15"/>
          <w:color w:val="auto"/>
        </w:rPr>
        <w:t>We also believe presenting these non-GAAP results for the twelve months ended March 31, 2022 provides an additional tool for assessing our recent performance. Such amounts are unaudited and are derived by subtracting the data for the three months ended March 31, 2021 from the data for the year ended December 31, 2021 and then adding the data for the three months ended March 31, 2022.</w:t>
      </w:r>
    </w:p>
    <w:p>
      <w:pPr>
        <w:spacing w:after="0" w:line="145" w:lineRule="exact"/>
        <w:rPr>
          <w:sz w:val="20"/>
          <w:szCs w:val="20"/>
          <w:color w:val="auto"/>
        </w:rPr>
      </w:pPr>
    </w:p>
    <w:p>
      <w:pPr>
        <w:jc w:val="both"/>
        <w:ind w:left="7" w:right="220"/>
        <w:spacing w:after="0" w:line="269" w:lineRule="auto"/>
        <w:rPr>
          <w:sz w:val="20"/>
          <w:szCs w:val="20"/>
          <w:color w:val="auto"/>
        </w:rPr>
      </w:pPr>
      <w:r>
        <w:rPr>
          <w:rFonts w:ascii="Times New Roman" w:cs="Times New Roman" w:eastAsia="Times New Roman" w:hAnsi="Times New Roman"/>
          <w:sz w:val="15"/>
          <w:szCs w:val="15"/>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2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Consolidated</w:t>
      </w:r>
    </w:p>
    <w:p>
      <w:pPr>
        <w:spacing w:after="0" w:line="31" w:lineRule="exact"/>
        <w:rPr>
          <w:sz w:val="20"/>
          <w:szCs w:val="20"/>
          <w:color w:val="auto"/>
        </w:rPr>
      </w:pPr>
    </w:p>
    <w:tbl>
      <w:tblPr>
        <w:tblLayout w:type="fixed"/>
        <w:tblInd w:w="7" w:type="dxa"/>
        <w:tblCellMar>
          <w:top w:w="0" w:type="dxa"/>
          <w:left w:w="0" w:type="dxa"/>
          <w:bottom w:w="0" w:type="dxa"/>
          <w:right w:w="0" w:type="dxa"/>
        </w:tblCellMar>
      </w:tblPr>
      <w:tr>
        <w:trPr>
          <w:trHeight w:val="141"/>
        </w:trPr>
        <w:tc>
          <w:tcPr>
            <w:tcW w:w="5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left="346"/>
              <w:spacing w:after="0"/>
              <w:rPr>
                <w:sz w:val="20"/>
                <w:szCs w:val="20"/>
                <w:color w:val="auto"/>
              </w:rPr>
            </w:pPr>
            <w:r>
              <w:rPr>
                <w:rFonts w:ascii="Times New Roman" w:cs="Times New Roman" w:eastAsia="Times New Roman" w:hAnsi="Times New Roman"/>
                <w:sz w:val="12"/>
                <w:szCs w:val="12"/>
                <w:b w:val="1"/>
                <w:bCs w:val="1"/>
                <w:color w:val="auto"/>
              </w:rPr>
              <w:t>Three Months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Twelve Months</w:t>
            </w:r>
          </w:p>
        </w:tc>
      </w:tr>
      <w:tr>
        <w:trPr>
          <w:trHeight w:val="151"/>
        </w:trPr>
        <w:tc>
          <w:tcPr>
            <w:tcW w:w="5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center"/>
              <w:ind w:left="346"/>
              <w:spacing w:after="0"/>
              <w:rPr>
                <w:sz w:val="20"/>
                <w:szCs w:val="20"/>
                <w:color w:val="auto"/>
              </w:rPr>
            </w:pPr>
            <w:r>
              <w:rPr>
                <w:rFonts w:ascii="Times New Roman" w:cs="Times New Roman" w:eastAsia="Times New Roman" w:hAnsi="Times New Roman"/>
                <w:sz w:val="12"/>
                <w:szCs w:val="12"/>
                <w:b w:val="1"/>
                <w:bCs w:val="1"/>
                <w:color w:val="auto"/>
              </w:rPr>
              <w:t>Ended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61"/>
        </w:trPr>
        <w:tc>
          <w:tcPr>
            <w:tcW w:w="5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34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March 31,</w:t>
            </w:r>
          </w:p>
        </w:tc>
      </w:tr>
      <w:tr>
        <w:trPr>
          <w:trHeight w:val="142"/>
        </w:trPr>
        <w:tc>
          <w:tcPr>
            <w:tcW w:w="5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w w:val="97"/>
              </w:rPr>
              <w:t>(in millions)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6"/>
        </w:trPr>
        <w:tc>
          <w:tcPr>
            <w:tcW w:w="58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shd w:val="clear" w:color="auto" w:fill="CCEC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5"/>
                <w:szCs w:val="15"/>
                <w:color w:val="auto"/>
              </w:rPr>
              <w:t>(139.9 )</w:t>
            </w:r>
          </w:p>
        </w:tc>
        <w:tc>
          <w:tcPr>
            <w:tcW w:w="300" w:type="dxa"/>
            <w:vAlign w:val="bottom"/>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5"/>
                <w:szCs w:val="15"/>
                <w:color w:val="auto"/>
              </w:rPr>
              <w:t>(97.6 )</w:t>
            </w:r>
          </w:p>
        </w:tc>
        <w:tc>
          <w:tcPr>
            <w:tcW w:w="28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5"/>
                <w:szCs w:val="15"/>
                <w:color w:val="auto"/>
              </w:rPr>
              <w:t>(462.6 )</w:t>
            </w:r>
          </w:p>
        </w:tc>
        <w:tc>
          <w:tcPr>
            <w:tcW w:w="20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(504.9 )</w:t>
            </w:r>
          </w:p>
        </w:tc>
      </w:tr>
      <w:tr>
        <w:trPr>
          <w:trHeight w:val="186"/>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(29.5 )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(71.9 )</w:t>
            </w:r>
          </w:p>
        </w:tc>
        <w:tc>
          <w:tcPr>
            <w:tcW w:w="20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(11.5 )</w:t>
            </w:r>
          </w:p>
        </w:tc>
      </w:tr>
      <w:tr>
        <w:trPr>
          <w:trHeight w:val="186"/>
        </w:trPr>
        <w:tc>
          <w:tcPr>
            <w:tcW w:w="58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4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5"/>
                <w:szCs w:val="15"/>
                <w:color w:val="auto"/>
              </w:rPr>
              <w:t>(0.7 )</w:t>
            </w:r>
          </w:p>
        </w:tc>
        <w:tc>
          <w:tcPr>
            <w:tcW w:w="300" w:type="dxa"/>
            <w:vAlign w:val="bottom"/>
            <w:shd w:val="clear" w:color="auto" w:fill="CCECFF"/>
          </w:tcPr>
          <w:p>
            <w:pPr>
              <w:spacing w:after="0"/>
              <w:rPr>
                <w:sz w:val="16"/>
                <w:szCs w:val="16"/>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5"/>
                <w:szCs w:val="15"/>
                <w:color w:val="auto"/>
              </w:rPr>
              <w:t>(0.5 )</w:t>
            </w: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5"/>
                <w:szCs w:val="15"/>
                <w:color w:val="auto"/>
              </w:rPr>
              <w:t>(1.9 )</w:t>
            </w:r>
          </w:p>
        </w:tc>
        <w:tc>
          <w:tcPr>
            <w:tcW w:w="200" w:type="dxa"/>
            <w:vAlign w:val="bottom"/>
            <w:shd w:val="clear" w:color="auto" w:fill="CCECFF"/>
          </w:tcPr>
          <w:p>
            <w:pPr>
              <w:spacing w:after="0"/>
              <w:rPr>
                <w:sz w:val="16"/>
                <w:szCs w:val="16"/>
                <w:color w:val="auto"/>
              </w:rPr>
            </w:pPr>
          </w:p>
        </w:tc>
        <w:tc>
          <w:tcPr>
            <w:tcW w:w="12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(2.1 )</w:t>
            </w:r>
          </w:p>
        </w:tc>
      </w:tr>
      <w:tr>
        <w:trPr>
          <w:trHeight w:val="186"/>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561.2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560.2</w:t>
            </w:r>
          </w:p>
        </w:tc>
        <w:tc>
          <w:tcPr>
            <w:tcW w:w="80" w:type="dxa"/>
            <w:vAlign w:val="bottom"/>
          </w:tcPr>
          <w:p>
            <w:pPr>
              <w:spacing w:after="0"/>
              <w:rPr>
                <w:sz w:val="16"/>
                <w:szCs w:val="16"/>
                <w:color w:val="auto"/>
              </w:rPr>
            </w:pPr>
          </w:p>
        </w:tc>
      </w:tr>
      <w:tr>
        <w:trPr>
          <w:trHeight w:val="186"/>
        </w:trPr>
        <w:tc>
          <w:tcPr>
            <w:tcW w:w="58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24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5"/>
                <w:szCs w:val="15"/>
                <w:color w:val="auto"/>
              </w:rPr>
              <w:t>(1.0 )</w:t>
            </w: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80" w:type="dxa"/>
            <w:vAlign w:val="bottom"/>
            <w:shd w:val="clear" w:color="auto" w:fill="CCECFF"/>
          </w:tcPr>
          <w:p>
            <w:pPr>
              <w:spacing w:after="0"/>
              <w:rPr>
                <w:sz w:val="16"/>
                <w:szCs w:val="16"/>
                <w:color w:val="auto"/>
              </w:rPr>
            </w:pPr>
          </w:p>
        </w:tc>
      </w:tr>
      <w:tr>
        <w:trPr>
          <w:trHeight w:val="177"/>
        </w:trPr>
        <w:tc>
          <w:tcPr>
            <w:tcW w:w="588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4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200" w:type="dxa"/>
            <w:vAlign w:val="bottom"/>
            <w:tcBorders>
              <w:top w:val="single" w:sz="8" w:color="CCECFF"/>
            </w:tcBorders>
          </w:tcPr>
          <w:p>
            <w:pPr>
              <w:spacing w:after="0"/>
              <w:rPr>
                <w:sz w:val="15"/>
                <w:szCs w:val="15"/>
                <w:color w:val="auto"/>
              </w:rPr>
            </w:pPr>
          </w:p>
        </w:tc>
        <w:tc>
          <w:tcPr>
            <w:tcW w:w="30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top w:val="single" w:sz="8" w:color="CCECFF"/>
            </w:tcBorders>
          </w:tcPr>
          <w:p>
            <w:pPr>
              <w:spacing w:after="0"/>
              <w:rPr>
                <w:sz w:val="15"/>
                <w:szCs w:val="15"/>
                <w:color w:val="auto"/>
              </w:rPr>
            </w:pPr>
          </w:p>
        </w:tc>
        <w:tc>
          <w:tcPr>
            <w:tcW w:w="60" w:type="dxa"/>
            <w:vAlign w:val="bottom"/>
            <w:tcBorders>
              <w:top w:val="single" w:sz="8" w:color="CCECFF"/>
            </w:tcBorders>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180" w:type="dxa"/>
            <w:vAlign w:val="bottom"/>
            <w:tcBorders>
              <w:top w:val="single" w:sz="8" w:color="CCECFF"/>
            </w:tcBorders>
          </w:tcPr>
          <w:p>
            <w:pPr>
              <w:spacing w:after="0"/>
              <w:rPr>
                <w:sz w:val="15"/>
                <w:szCs w:val="15"/>
                <w:color w:val="auto"/>
              </w:rPr>
            </w:pPr>
          </w:p>
        </w:tc>
        <w:tc>
          <w:tcPr>
            <w:tcW w:w="2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80" w:type="dxa"/>
            <w:vAlign w:val="bottom"/>
            <w:tcBorders>
              <w:top w:val="single" w:sz="8" w:color="CCECFF"/>
            </w:tcBorders>
          </w:tcPr>
          <w:p>
            <w:pPr>
              <w:spacing w:after="0"/>
              <w:rPr>
                <w:sz w:val="15"/>
                <w:szCs w:val="15"/>
                <w:color w:val="auto"/>
              </w:rPr>
            </w:pPr>
          </w:p>
        </w:tc>
      </w:tr>
      <w:tr>
        <w:trPr>
          <w:trHeight w:val="186"/>
        </w:trPr>
        <w:tc>
          <w:tcPr>
            <w:tcW w:w="58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Adjustments:</w:t>
            </w:r>
          </w:p>
        </w:tc>
        <w:tc>
          <w:tcPr>
            <w:tcW w:w="24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6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86"/>
        </w:trPr>
        <w:tc>
          <w:tcPr>
            <w:tcW w:w="5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599.0</w:t>
            </w:r>
          </w:p>
        </w:tc>
        <w:tc>
          <w:tcPr>
            <w:tcW w:w="80" w:type="dxa"/>
            <w:vAlign w:val="bottom"/>
          </w:tcPr>
          <w:p>
            <w:pPr>
              <w:spacing w:after="0"/>
              <w:rPr>
                <w:sz w:val="16"/>
                <w:szCs w:val="16"/>
                <w:color w:val="auto"/>
              </w:rPr>
            </w:pPr>
          </w:p>
        </w:tc>
      </w:tr>
      <w:tr>
        <w:trPr>
          <w:trHeight w:val="186"/>
        </w:trPr>
        <w:tc>
          <w:tcPr>
            <w:tcW w:w="58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Restructuring costs, net</w:t>
            </w:r>
          </w:p>
        </w:tc>
        <w:tc>
          <w:tcPr>
            <w:tcW w:w="24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10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1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80" w:type="dxa"/>
            <w:vAlign w:val="bottom"/>
            <w:shd w:val="clear" w:color="auto" w:fill="CCECFF"/>
          </w:tcPr>
          <w:p>
            <w:pPr>
              <w:spacing w:after="0"/>
              <w:rPr>
                <w:sz w:val="16"/>
                <w:szCs w:val="16"/>
                <w:color w:val="auto"/>
              </w:rPr>
            </w:pPr>
          </w:p>
        </w:tc>
      </w:tr>
      <w:tr>
        <w:trPr>
          <w:trHeight w:val="186"/>
        </w:trPr>
        <w:tc>
          <w:tcPr>
            <w:tcW w:w="5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80" w:type="dxa"/>
            <w:vAlign w:val="bottom"/>
          </w:tcPr>
          <w:p>
            <w:pPr>
              <w:spacing w:after="0"/>
              <w:rPr>
                <w:sz w:val="16"/>
                <w:szCs w:val="16"/>
                <w:color w:val="auto"/>
              </w:rPr>
            </w:pPr>
          </w:p>
        </w:tc>
      </w:tr>
      <w:tr>
        <w:trPr>
          <w:trHeight w:val="139"/>
        </w:trPr>
        <w:tc>
          <w:tcPr>
            <w:tcW w:w="5880" w:type="dxa"/>
            <w:vAlign w:val="bottom"/>
          </w:tcPr>
          <w:p>
            <w:pPr>
              <w:ind w:left="160"/>
              <w:spacing w:after="0" w:line="139" w:lineRule="exact"/>
              <w:rPr>
                <w:sz w:val="20"/>
                <w:szCs w:val="20"/>
                <w:color w:val="auto"/>
              </w:rPr>
            </w:pPr>
            <w:r>
              <w:rPr>
                <w:rFonts w:ascii="Times New Roman" w:cs="Times New Roman" w:eastAsia="Times New Roman" w:hAnsi="Times New Roman"/>
                <w:sz w:val="15"/>
                <w:szCs w:val="15"/>
                <w:color w:val="auto"/>
              </w:rPr>
              <w:t>Asset impairments</w:t>
            </w: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2"/>
                <w:szCs w:val="12"/>
                <w:color w:val="auto"/>
              </w:rPr>
            </w:pPr>
          </w:p>
        </w:tc>
        <w:tc>
          <w:tcPr>
            <w:tcW w:w="7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13.7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13.7</w:t>
            </w:r>
          </w:p>
        </w:tc>
        <w:tc>
          <w:tcPr>
            <w:tcW w:w="80" w:type="dxa"/>
            <w:vAlign w:val="bottom"/>
          </w:tcPr>
          <w:p>
            <w:pPr>
              <w:spacing w:after="0"/>
              <w:rPr>
                <w:sz w:val="12"/>
                <w:szCs w:val="12"/>
                <w:color w:val="auto"/>
              </w:rPr>
            </w:pPr>
          </w:p>
        </w:tc>
      </w:tr>
      <w:tr>
        <w:trPr>
          <w:trHeight w:val="232"/>
        </w:trPr>
        <w:tc>
          <w:tcPr>
            <w:tcW w:w="5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xml:space="preserve">Transaction, transformation and integration costs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80" w:type="dxa"/>
            <w:vAlign w:val="bottom"/>
          </w:tcPr>
          <w:p>
            <w:pPr>
              <w:spacing w:after="0"/>
              <w:rPr>
                <w:sz w:val="20"/>
                <w:szCs w:val="20"/>
                <w:color w:val="auto"/>
              </w:rPr>
            </w:pPr>
          </w:p>
        </w:tc>
      </w:tr>
      <w:tr>
        <w:trPr>
          <w:trHeight w:val="186"/>
        </w:trPr>
        <w:tc>
          <w:tcPr>
            <w:tcW w:w="5880" w:type="dxa"/>
            <w:vAlign w:val="bottom"/>
            <w:shd w:val="clear" w:color="auto" w:fill="CCECFF"/>
          </w:tcPr>
          <w:p>
            <w:pPr>
              <w:ind w:left="160"/>
              <w:spacing w:after="0" w:line="186" w:lineRule="exact"/>
              <w:rPr>
                <w:sz w:val="20"/>
                <w:szCs w:val="20"/>
                <w:color w:val="auto"/>
              </w:rPr>
            </w:pPr>
            <w:r>
              <w:rPr>
                <w:rFonts w:ascii="Times New Roman" w:cs="Times New Roman" w:eastAsia="Times New Roman" w:hAnsi="Times New Roman"/>
                <w:sz w:val="15"/>
                <w:szCs w:val="15"/>
                <w:color w:val="auto"/>
              </w:rPr>
              <w:t xml:space="preserve">Acquisition accounting adjustments </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shd w:val="clear" w:color="auto" w:fill="CCECFF"/>
          </w:tcPr>
          <w:p>
            <w:pPr>
              <w:spacing w:after="0"/>
              <w:rPr>
                <w:sz w:val="16"/>
                <w:szCs w:val="16"/>
                <w:color w:val="auto"/>
              </w:rPr>
            </w:pPr>
          </w:p>
        </w:tc>
      </w:tr>
      <w:tr>
        <w:trPr>
          <w:trHeight w:val="186"/>
        </w:trPr>
        <w:tc>
          <w:tcPr>
            <w:tcW w:w="5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Patent claims and litigation settlements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16"/>
                <w:szCs w:val="16"/>
                <w:color w:val="auto"/>
              </w:rPr>
            </w:pPr>
          </w:p>
        </w:tc>
      </w:tr>
      <w:tr>
        <w:trPr>
          <w:trHeight w:val="186"/>
        </w:trPr>
        <w:tc>
          <w:tcPr>
            <w:tcW w:w="58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Reserve for Russian accounts receivable</w:t>
            </w:r>
          </w:p>
        </w:tc>
        <w:tc>
          <w:tcPr>
            <w:tcW w:w="24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CFF"/>
          </w:tcPr>
          <w:p>
            <w:pPr>
              <w:spacing w:after="0"/>
              <w:rPr>
                <w:sz w:val="16"/>
                <w:szCs w:val="16"/>
                <w:color w:val="auto"/>
              </w:rPr>
            </w:pPr>
          </w:p>
        </w:tc>
      </w:tr>
      <w:tr>
        <w:trPr>
          <w:trHeight w:val="186"/>
        </w:trPr>
        <w:tc>
          <w:tcPr>
            <w:tcW w:w="5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136.7</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132.0</w:t>
            </w:r>
          </w:p>
        </w:tc>
        <w:tc>
          <w:tcPr>
            <w:tcW w:w="80" w:type="dxa"/>
            <w:vAlign w:val="bottom"/>
          </w:tcPr>
          <w:p>
            <w:pPr>
              <w:spacing w:after="0"/>
              <w:rPr>
                <w:sz w:val="16"/>
                <w:szCs w:val="16"/>
                <w:color w:val="auto"/>
              </w:rPr>
            </w:pPr>
          </w:p>
        </w:tc>
      </w:tr>
      <w:tr>
        <w:trPr>
          <w:trHeight w:val="217"/>
        </w:trPr>
        <w:tc>
          <w:tcPr>
            <w:tcW w:w="58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Non-GAAP adjusted EBITDA</w:t>
            </w:r>
          </w:p>
        </w:tc>
        <w:tc>
          <w:tcPr>
            <w:tcW w:w="240" w:type="dxa"/>
            <w:vAlign w:val="bottom"/>
            <w:tcBorders>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253.3</w:t>
            </w:r>
          </w:p>
        </w:tc>
        <w:tc>
          <w:tcPr>
            <w:tcW w:w="2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289.7</w:t>
            </w:r>
          </w:p>
        </w:tc>
        <w:tc>
          <w:tcPr>
            <w:tcW w:w="100" w:type="dxa"/>
            <w:vAlign w:val="bottom"/>
            <w:tcBorders>
              <w:bottom w:val="single" w:sz="8" w:color="CCECFF"/>
            </w:tcBorders>
            <w:shd w:val="clear" w:color="auto" w:fill="CCECFF"/>
          </w:tcPr>
          <w:p>
            <w:pPr>
              <w:spacing w:after="0"/>
              <w:rPr>
                <w:sz w:val="18"/>
                <w:szCs w:val="18"/>
                <w:color w:val="auto"/>
              </w:rPr>
            </w:pPr>
          </w:p>
        </w:tc>
        <w:tc>
          <w:tcPr>
            <w:tcW w:w="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1,117.0</w:t>
            </w:r>
          </w:p>
        </w:tc>
        <w:tc>
          <w:tcPr>
            <w:tcW w:w="1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1,080.6</w:t>
            </w:r>
          </w:p>
        </w:tc>
        <w:tc>
          <w:tcPr>
            <w:tcW w:w="8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-1450340</wp:posOffset>
            </wp:positionV>
            <wp:extent cx="5905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-1450340</wp:posOffset>
            </wp:positionV>
            <wp:extent cx="5143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6105525</wp:posOffset>
            </wp:positionH>
            <wp:positionV relativeFrom="paragraph">
              <wp:posOffset>-1450340</wp:posOffset>
            </wp:positionV>
            <wp:extent cx="5143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7099935</wp:posOffset>
            </wp:positionH>
            <wp:positionV relativeFrom="paragraph">
              <wp:posOffset>-1450340</wp:posOffset>
            </wp:positionV>
            <wp:extent cx="5143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-853440</wp:posOffset>
            </wp:positionV>
            <wp:extent cx="7151370" cy="1181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1370" cy="11811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-21590</wp:posOffset>
            </wp:positionV>
            <wp:extent cx="5905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-6985</wp:posOffset>
            </wp:positionV>
            <wp:extent cx="5905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-21590</wp:posOffset>
            </wp:positionV>
            <wp:extent cx="5143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-6985</wp:posOffset>
            </wp:positionV>
            <wp:extent cx="5143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6105525</wp:posOffset>
            </wp:positionH>
            <wp:positionV relativeFrom="paragraph">
              <wp:posOffset>-21590</wp:posOffset>
            </wp:positionV>
            <wp:extent cx="5143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6105525</wp:posOffset>
            </wp:positionH>
            <wp:positionV relativeFrom="paragraph">
              <wp:posOffset>-6985</wp:posOffset>
            </wp:positionV>
            <wp:extent cx="5143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7099935</wp:posOffset>
            </wp:positionH>
            <wp:positionV relativeFrom="paragraph">
              <wp:posOffset>-21590</wp:posOffset>
            </wp:positionV>
            <wp:extent cx="5143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7099935</wp:posOffset>
            </wp:positionH>
            <wp:positionV relativeFrom="paragraph">
              <wp:posOffset>-6985</wp:posOffset>
            </wp:positionV>
            <wp:extent cx="5143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Note: Components may not sum to total due to rounding.</w:t>
      </w:r>
    </w:p>
    <w:p>
      <w:pPr>
        <w:spacing w:after="0" w:line="94" w:lineRule="exact"/>
        <w:rPr>
          <w:sz w:val="20"/>
          <w:szCs w:val="20"/>
          <w:color w:val="auto"/>
        </w:rPr>
      </w:pPr>
    </w:p>
    <w:p>
      <w:pPr>
        <w:ind w:left="507" w:right="140" w:hanging="507"/>
        <w:spacing w:after="0" w:line="278" w:lineRule="auto"/>
        <w:tabs>
          <w:tab w:leader="none" w:pos="50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2022, primarily reflects transformation costs related to CommScope NEXT and integration costs related to the ARRIS acquisition. In 2021, primarily reflects transaction costs related to the planned spin-off of the Home Networks business, transformation costs related to CommScope NEXT and integration costs related to the ARRIS acquisition.</w:t>
      </w:r>
    </w:p>
    <w:p>
      <w:pPr>
        <w:spacing w:after="0" w:line="226" w:lineRule="exact"/>
        <w:rPr>
          <w:rFonts w:ascii="Times New Roman" w:cs="Times New Roman" w:eastAsia="Times New Roman" w:hAnsi="Times New Roman"/>
          <w:sz w:val="15"/>
          <w:szCs w:val="15"/>
          <w:color w:val="auto"/>
        </w:rPr>
      </w:pPr>
    </w:p>
    <w:p>
      <w:pPr>
        <w:ind w:left="507" w:hanging="507"/>
        <w:spacing w:after="0"/>
        <w:tabs>
          <w:tab w:leader="none" w:pos="50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2022 and 2021, reflects acquisition accounting adjustments related to reducing deferred revenue to its estimated fair value.</w:t>
      </w:r>
    </w:p>
    <w:p>
      <w:pPr>
        <w:spacing w:after="0" w:line="1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292100</wp:posOffset>
            </wp:positionV>
            <wp:extent cx="717677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57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color w:val="auto"/>
        </w:rPr>
        <w:t>Reconciliation of Segment Adjusted EBITDA</w:t>
      </w:r>
    </w:p>
    <w:p>
      <w:pPr>
        <w:spacing w:after="0" w:line="1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5"/>
          <w:szCs w:val="15"/>
          <w:color w:val="auto"/>
        </w:rPr>
        <w:t>Segment adjusted EBITDA is provided as a performance measure in Note 7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loss in that footnote.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Connectivity and Cable Solutions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w w:val="99"/>
              </w:rPr>
              <w:t>(in</w:t>
            </w:r>
          </w:p>
        </w:tc>
        <w:tc>
          <w:tcPr>
            <w:tcW w:w="840" w:type="dxa"/>
            <w:vAlign w:val="bottom"/>
            <w:gridSpan w:val="2"/>
          </w:tcPr>
          <w:p>
            <w:pPr>
              <w:jc w:val="right"/>
              <w:ind w:right="283"/>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980" w:type="dxa"/>
            <w:vAlign w:val="bottom"/>
            <w:gridSpan w:val="3"/>
            <w:shd w:val="clear" w:color="auto" w:fill="CCECFF"/>
          </w:tcPr>
          <w:p>
            <w:pPr>
              <w:jc w:val="right"/>
              <w:ind w:right="852"/>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Adjustments: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Restructuring costs, net</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Transaction, transformation and integration costs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Patent claims and litigation settlements</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1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Reserve for Russian accounts receivable</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480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Depreciation</w:t>
            </w:r>
          </w:p>
        </w:tc>
        <w:tc>
          <w:tcPr>
            <w:tcW w:w="268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auto"/>
            </w:tcBorders>
            <w:shd w:val="clear" w:color="auto" w:fill="CCECFF"/>
          </w:tcPr>
          <w:p>
            <w:pPr>
              <w:spacing w:after="0"/>
              <w:rPr>
                <w:sz w:val="16"/>
                <w:szCs w:val="16"/>
                <w:color w:val="auto"/>
              </w:rPr>
            </w:pPr>
          </w:p>
        </w:tc>
        <w:tc>
          <w:tcPr>
            <w:tcW w:w="5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340" w:type="dxa"/>
            <w:vAlign w:val="bottom"/>
            <w:tcBorders>
              <w:bottom w:val="single" w:sz="8" w:color="CCECFF"/>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spacing w:after="0"/>
              <w:rPr>
                <w:sz w:val="16"/>
                <w:szCs w:val="16"/>
                <w:color w:val="auto"/>
              </w:rPr>
            </w:pPr>
          </w:p>
        </w:tc>
        <w:tc>
          <w:tcPr>
            <w:tcW w:w="10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6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3980" w:type="dxa"/>
            <w:vAlign w:val="bottom"/>
            <w:gridSpan w:val="3"/>
          </w:tcPr>
          <w:p>
            <w:pPr>
              <w:jc w:val="right"/>
              <w:ind w:right="852"/>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340" w:type="dxa"/>
            <w:vAlign w:val="bottom"/>
          </w:tcPr>
          <w:p>
            <w:pPr>
              <w:spacing w:after="0"/>
              <w:rPr>
                <w:sz w:val="15"/>
                <w:szCs w:val="15"/>
                <w:color w:val="auto"/>
              </w:rPr>
            </w:pP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Outdoor Wireless Networks Segment</w:t>
            </w: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80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w w:val="99"/>
              </w:rPr>
              <w:t>(in</w:t>
            </w:r>
          </w:p>
        </w:tc>
        <w:tc>
          <w:tcPr>
            <w:tcW w:w="840" w:type="dxa"/>
            <w:vAlign w:val="bottom"/>
            <w:gridSpan w:val="2"/>
          </w:tcPr>
          <w:p>
            <w:pPr>
              <w:jc w:val="right"/>
              <w:ind w:right="283"/>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980" w:type="dxa"/>
            <w:vAlign w:val="bottom"/>
            <w:gridSpan w:val="3"/>
            <w:shd w:val="clear" w:color="auto" w:fill="CCECFF"/>
          </w:tcPr>
          <w:p>
            <w:pPr>
              <w:jc w:val="right"/>
              <w:ind w:right="852"/>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Adjustments: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Restructuring costs, net</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Transaction, transformation and integration costs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Reserve for Russian accounts receivable</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1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26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jc w:val="right"/>
              <w:ind w:right="852"/>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34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auto"/>
            </w:tcBorders>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8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Networking Intelligent Cellular and Security Solutions Segment</w:t>
            </w: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w w:val="85"/>
              </w:rPr>
              <w:t>(in</w:t>
            </w:r>
          </w:p>
        </w:tc>
        <w:tc>
          <w:tcPr>
            <w:tcW w:w="860" w:type="dxa"/>
            <w:vAlign w:val="bottom"/>
            <w:gridSpan w:val="3"/>
          </w:tcPr>
          <w:p>
            <w:pPr>
              <w:jc w:val="right"/>
              <w:ind w:right="303"/>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3980" w:type="dxa"/>
            <w:vAlign w:val="bottom"/>
            <w:gridSpan w:val="3"/>
            <w:shd w:val="clear" w:color="auto" w:fill="CCECFF"/>
          </w:tcPr>
          <w:p>
            <w:pPr>
              <w:jc w:val="right"/>
              <w:ind w:right="852"/>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CECFF"/>
          </w:tcPr>
          <w:p>
            <w:pPr>
              <w:jc w:val="right"/>
              <w:ind w:right="238"/>
              <w:spacing w:after="0"/>
              <w:rPr>
                <w:sz w:val="20"/>
                <w:szCs w:val="20"/>
                <w:color w:val="auto"/>
              </w:rPr>
            </w:pPr>
            <w:r>
              <w:rPr>
                <w:rFonts w:ascii="Times New Roman" w:cs="Times New Roman" w:eastAsia="Times New Roman" w:hAnsi="Times New Roman"/>
                <w:sz w:val="15"/>
                <w:szCs w:val="15"/>
                <w:color w:val="auto"/>
              </w:rPr>
              <w:t>(43.0 )</w:t>
            </w:r>
          </w:p>
        </w:tc>
        <w:tc>
          <w:tcPr>
            <w:tcW w:w="500" w:type="dxa"/>
            <w:vAlign w:val="bottom"/>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(60.4 )</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Adjustments: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Restructuring costs, net</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Transaction, transformation and integration costs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Acquisition accounting adjustments</w:t>
            </w:r>
          </w:p>
        </w:tc>
        <w:tc>
          <w:tcPr>
            <w:tcW w:w="2680" w:type="dxa"/>
            <w:vAlign w:val="bottom"/>
            <w:shd w:val="clear" w:color="auto" w:fill="CCECFF"/>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Patent claims and litigation settlements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gridSpan w:val="3"/>
          </w:tcPr>
          <w:p>
            <w:pPr>
              <w:jc w:val="right"/>
              <w:ind w:right="318"/>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Reserve for Russian accounts receivable</w:t>
            </w:r>
          </w:p>
        </w:tc>
        <w:tc>
          <w:tcPr>
            <w:tcW w:w="26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2960" w:type="dxa"/>
            <w:vAlign w:val="bottom"/>
            <w:tcBorders>
              <w:bottom w:val="single" w:sz="8" w:color="CCECFF"/>
            </w:tcBorders>
            <w:gridSpan w:val="2"/>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jc w:val="right"/>
              <w:ind w:right="852"/>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360" w:type="dxa"/>
            <w:vAlign w:val="bottom"/>
            <w:tcBorders>
              <w:bottom w:val="single" w:sz="8" w:color="CCECFF"/>
            </w:tcBorders>
            <w:gridSpan w:val="2"/>
            <w:shd w:val="clear" w:color="auto" w:fill="CCECFF"/>
          </w:tcPr>
          <w:p>
            <w:pPr>
              <w:jc w:val="right"/>
              <w:ind w:right="238"/>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tcBorders>
              <w:bottom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531"/>
        </w:trPr>
        <w:tc>
          <w:tcPr>
            <w:tcW w:w="4800" w:type="dxa"/>
            <w:vAlign w:val="bottom"/>
          </w:tcPr>
          <w:p>
            <w:pPr>
              <w:spacing w:after="0"/>
              <w:rPr>
                <w:sz w:val="24"/>
                <w:szCs w:val="24"/>
                <w:color w:val="auto"/>
              </w:rPr>
            </w:pPr>
          </w:p>
        </w:tc>
        <w:tc>
          <w:tcPr>
            <w:tcW w:w="2680" w:type="dxa"/>
            <w:vAlign w:val="bottom"/>
          </w:tcPr>
          <w:p>
            <w:pPr>
              <w:jc w:val="right"/>
              <w:ind w:right="1703"/>
              <w:spacing w:after="0"/>
              <w:rPr>
                <w:sz w:val="20"/>
                <w:szCs w:val="20"/>
                <w:color w:val="auto"/>
              </w:rPr>
            </w:pPr>
            <w:r>
              <w:rPr>
                <w:rFonts w:ascii="Times New Roman" w:cs="Times New Roman" w:eastAsia="Times New Roman" w:hAnsi="Times New Roman"/>
                <w:sz w:val="15"/>
                <w:szCs w:val="15"/>
                <w:color w:val="auto"/>
              </w:rPr>
              <w:t>34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8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5916930</wp:posOffset>
            </wp:positionH>
            <wp:positionV relativeFrom="paragraph">
              <wp:posOffset>-4749800</wp:posOffset>
            </wp:positionV>
            <wp:extent cx="4445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-4749800</wp:posOffset>
            </wp:positionV>
            <wp:extent cx="3683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-2761615</wp:posOffset>
            </wp:positionV>
            <wp:extent cx="4445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-2746375</wp:posOffset>
            </wp:positionV>
            <wp:extent cx="4445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-2761615</wp:posOffset>
            </wp:positionV>
            <wp:extent cx="3683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-2746375</wp:posOffset>
            </wp:positionV>
            <wp:extent cx="3683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-669290</wp:posOffset>
            </wp:positionV>
            <wp:extent cx="5905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-654685</wp:posOffset>
            </wp:positionV>
            <wp:extent cx="5905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-669290</wp:posOffset>
            </wp:positionV>
            <wp:extent cx="5143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-654685</wp:posOffset>
            </wp:positionV>
            <wp:extent cx="5143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i w:val="1"/>
          <w:iCs w:val="1"/>
          <w:color w:val="auto"/>
        </w:rPr>
        <w:t>Access Network Solutions Segment</w:t>
      </w:r>
    </w:p>
    <w:p>
      <w:pPr>
        <w:spacing w:after="0" w:line="172"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w:t>
            </w:r>
          </w:p>
        </w:tc>
        <w:tc>
          <w:tcPr>
            <w:tcW w:w="860" w:type="dxa"/>
            <w:vAlign w:val="bottom"/>
            <w:gridSpan w:val="2"/>
          </w:tcPr>
          <w:p>
            <w:pPr>
              <w:jc w:val="right"/>
              <w:ind w:right="283"/>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6"/>
        </w:trPr>
        <w:tc>
          <w:tcPr>
            <w:tcW w:w="776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020" w:type="dxa"/>
            <w:vAlign w:val="bottom"/>
            <w:shd w:val="clear" w:color="auto" w:fill="CCECFF"/>
          </w:tcPr>
          <w:p>
            <w:pPr>
              <w:jc w:val="right"/>
              <w:ind w:right="848"/>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CFF"/>
          </w:tcPr>
          <w:p>
            <w:pPr>
              <w:jc w:val="right"/>
              <w:ind w:right="238"/>
              <w:spacing w:after="0"/>
              <w:rPr>
                <w:sz w:val="20"/>
                <w:szCs w:val="20"/>
                <w:color w:val="auto"/>
              </w:rPr>
            </w:pPr>
            <w:r>
              <w:rPr>
                <w:rFonts w:ascii="Times New Roman" w:cs="Times New Roman" w:eastAsia="Times New Roman" w:hAnsi="Times New Roman"/>
                <w:sz w:val="15"/>
                <w:szCs w:val="15"/>
                <w:color w:val="auto"/>
              </w:rPr>
              <w:t>(6.6 )</w:t>
            </w:r>
          </w:p>
        </w:tc>
        <w:tc>
          <w:tcPr>
            <w:tcW w:w="500" w:type="dxa"/>
            <w:vAlign w:val="bottom"/>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23.9</w:t>
            </w:r>
          </w:p>
        </w:tc>
        <w:tc>
          <w:tcPr>
            <w:tcW w:w="60" w:type="dxa"/>
            <w:vAlign w:val="bottom"/>
            <w:shd w:val="clear" w:color="auto" w:fill="CCECFF"/>
          </w:tcPr>
          <w:p>
            <w:pPr>
              <w:spacing w:after="0"/>
              <w:rPr>
                <w:sz w:val="16"/>
                <w:szCs w:val="16"/>
                <w:color w:val="auto"/>
              </w:rPr>
            </w:pPr>
          </w:p>
        </w:tc>
      </w:tr>
      <w:tr>
        <w:trPr>
          <w:trHeight w:val="186"/>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Adjustments:</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7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3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61.7</w:t>
            </w:r>
          </w:p>
        </w:tc>
        <w:tc>
          <w:tcPr>
            <w:tcW w:w="60" w:type="dxa"/>
            <w:vAlign w:val="bottom"/>
            <w:shd w:val="clear" w:color="auto" w:fill="CCECFF"/>
          </w:tcPr>
          <w:p>
            <w:pPr>
              <w:spacing w:after="0"/>
              <w:rPr>
                <w:sz w:val="16"/>
                <w:szCs w:val="16"/>
                <w:color w:val="auto"/>
              </w:rPr>
            </w:pPr>
          </w:p>
        </w:tc>
      </w:tr>
      <w:tr>
        <w:trPr>
          <w:trHeight w:val="186"/>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Restructuring costs, net</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4.8</w:t>
            </w:r>
          </w:p>
        </w:tc>
        <w:tc>
          <w:tcPr>
            <w:tcW w:w="60" w:type="dxa"/>
            <w:vAlign w:val="bottom"/>
          </w:tcPr>
          <w:p>
            <w:pPr>
              <w:spacing w:after="0"/>
              <w:rPr>
                <w:sz w:val="16"/>
                <w:szCs w:val="16"/>
                <w:color w:val="auto"/>
              </w:rPr>
            </w:pPr>
          </w:p>
        </w:tc>
      </w:tr>
      <w:tr>
        <w:trPr>
          <w:trHeight w:val="186"/>
        </w:trPr>
        <w:tc>
          <w:tcPr>
            <w:tcW w:w="7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3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6.3</w:t>
            </w:r>
          </w:p>
        </w:tc>
        <w:tc>
          <w:tcPr>
            <w:tcW w:w="60" w:type="dxa"/>
            <w:vAlign w:val="bottom"/>
            <w:shd w:val="clear" w:color="auto" w:fill="CCECFF"/>
          </w:tcPr>
          <w:p>
            <w:pPr>
              <w:spacing w:after="0"/>
              <w:rPr>
                <w:sz w:val="16"/>
                <w:szCs w:val="16"/>
                <w:color w:val="auto"/>
              </w:rPr>
            </w:pPr>
          </w:p>
        </w:tc>
      </w:tr>
      <w:tr>
        <w:trPr>
          <w:trHeight w:val="186"/>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Transaction, transformation and integration costs</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w:t>
            </w:r>
          </w:p>
        </w:tc>
        <w:tc>
          <w:tcPr>
            <w:tcW w:w="60" w:type="dxa"/>
            <w:vAlign w:val="bottom"/>
          </w:tcPr>
          <w:p>
            <w:pPr>
              <w:spacing w:after="0"/>
              <w:rPr>
                <w:sz w:val="16"/>
                <w:szCs w:val="16"/>
                <w:color w:val="auto"/>
              </w:rPr>
            </w:pPr>
          </w:p>
        </w:tc>
      </w:tr>
      <w:tr>
        <w:trPr>
          <w:trHeight w:val="186"/>
        </w:trPr>
        <w:tc>
          <w:tcPr>
            <w:tcW w:w="7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Acquisition accounting adjustments</w:t>
            </w: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3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1.2</w:t>
            </w:r>
          </w:p>
        </w:tc>
        <w:tc>
          <w:tcPr>
            <w:tcW w:w="60" w:type="dxa"/>
            <w:vAlign w:val="bottom"/>
            <w:shd w:val="clear" w:color="auto" w:fill="CCECFF"/>
          </w:tcPr>
          <w:p>
            <w:pPr>
              <w:spacing w:after="0"/>
              <w:rPr>
                <w:sz w:val="16"/>
                <w:szCs w:val="16"/>
                <w:color w:val="auto"/>
              </w:rPr>
            </w:pPr>
          </w:p>
        </w:tc>
      </w:tr>
      <w:tr>
        <w:trPr>
          <w:trHeight w:val="186"/>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3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7.8</w:t>
            </w:r>
          </w:p>
        </w:tc>
        <w:tc>
          <w:tcPr>
            <w:tcW w:w="60" w:type="dxa"/>
            <w:vAlign w:val="bottom"/>
          </w:tcPr>
          <w:p>
            <w:pPr>
              <w:spacing w:after="0"/>
              <w:rPr>
                <w:sz w:val="16"/>
                <w:szCs w:val="16"/>
                <w:color w:val="auto"/>
              </w:rPr>
            </w:pPr>
          </w:p>
        </w:tc>
      </w:tr>
      <w:tr>
        <w:trPr>
          <w:trHeight w:val="217"/>
        </w:trPr>
        <w:tc>
          <w:tcPr>
            <w:tcW w:w="77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1020" w:type="dxa"/>
            <w:vAlign w:val="bottom"/>
            <w:tcBorders>
              <w:bottom w:val="single" w:sz="8" w:color="auto"/>
            </w:tcBorders>
            <w:shd w:val="clear" w:color="auto" w:fill="CCECFF"/>
          </w:tcPr>
          <w:p>
            <w:pPr>
              <w:jc w:val="right"/>
              <w:ind w:right="848"/>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36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auto"/>
            </w:tcBorders>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108.0</w:t>
            </w:r>
          </w:p>
        </w:tc>
        <w:tc>
          <w:tcPr>
            <w:tcW w:w="60" w:type="dxa"/>
            <w:vAlign w:val="bottom"/>
            <w:tcBorders>
              <w:bottom w:val="single" w:sz="8" w:color="CCECFF"/>
            </w:tcBorders>
            <w:shd w:val="clear" w:color="auto" w:fill="CCECFF"/>
          </w:tcPr>
          <w:p>
            <w:pPr>
              <w:spacing w:after="0"/>
              <w:rPr>
                <w:sz w:val="18"/>
                <w:szCs w:val="18"/>
                <w:color w:val="auto"/>
              </w:rPr>
            </w:pPr>
          </w:p>
        </w:tc>
      </w:tr>
      <w:tr>
        <w:trPr>
          <w:trHeight w:val="438"/>
        </w:trPr>
        <w:tc>
          <w:tcPr>
            <w:tcW w:w="77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Home Networks Segment</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9"/>
        </w:trPr>
        <w:tc>
          <w:tcPr>
            <w:tcW w:w="7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80" w:type="dxa"/>
            <w:vAlign w:val="bottom"/>
            <w:gridSpan w:val="3"/>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61"/>
        </w:trPr>
        <w:tc>
          <w:tcPr>
            <w:tcW w:w="7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7760" w:type="dxa"/>
            <w:vAlign w:val="bottom"/>
          </w:tcPr>
          <w:p>
            <w:pPr>
              <w:spacing w:after="0"/>
              <w:rPr>
                <w:sz w:val="12"/>
                <w:szCs w:val="12"/>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w:t>
            </w:r>
          </w:p>
        </w:tc>
        <w:tc>
          <w:tcPr>
            <w:tcW w:w="860" w:type="dxa"/>
            <w:vAlign w:val="bottom"/>
            <w:gridSpan w:val="2"/>
          </w:tcPr>
          <w:p>
            <w:pPr>
              <w:jc w:val="right"/>
              <w:ind w:right="303"/>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6"/>
        </w:trPr>
        <w:tc>
          <w:tcPr>
            <w:tcW w:w="776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1020" w:type="dxa"/>
            <w:vAlign w:val="bottom"/>
            <w:shd w:val="clear" w:color="auto" w:fill="CCECFF"/>
          </w:tcPr>
          <w:p>
            <w:pPr>
              <w:jc w:val="right"/>
              <w:ind w:right="848"/>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CFF"/>
          </w:tcPr>
          <w:p>
            <w:pPr>
              <w:jc w:val="right"/>
              <w:ind w:right="238"/>
              <w:spacing w:after="0"/>
              <w:rPr>
                <w:sz w:val="20"/>
                <w:szCs w:val="20"/>
                <w:color w:val="auto"/>
              </w:rPr>
            </w:pPr>
            <w:r>
              <w:rPr>
                <w:rFonts w:ascii="Times New Roman" w:cs="Times New Roman" w:eastAsia="Times New Roman" w:hAnsi="Times New Roman"/>
                <w:sz w:val="15"/>
                <w:szCs w:val="15"/>
                <w:color w:val="auto"/>
              </w:rPr>
              <w:t>(13.8 )</w:t>
            </w:r>
          </w:p>
        </w:tc>
        <w:tc>
          <w:tcPr>
            <w:tcW w:w="500" w:type="dxa"/>
            <w:vAlign w:val="bottom"/>
            <w:shd w:val="clear" w:color="auto" w:fill="CCEC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5"/>
                <w:szCs w:val="15"/>
                <w:color w:val="auto"/>
              </w:rPr>
              <w:t>(31.5 )</w:t>
            </w:r>
          </w:p>
        </w:tc>
      </w:tr>
      <w:tr>
        <w:trPr>
          <w:trHeight w:val="186"/>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Adjustments:</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7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Amortization of purchased intangible assets</w:t>
            </w: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3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r>
      <w:tr>
        <w:trPr>
          <w:trHeight w:val="186"/>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Restructuring costs, net</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7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3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r>
      <w:tr>
        <w:trPr>
          <w:trHeight w:val="186"/>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Transaction, transformation and integration costs</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7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Acquisition accounting adjustments</w:t>
            </w: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r>
      <w:tr>
        <w:trPr>
          <w:trHeight w:val="186"/>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Patent claims and litigation settlements</w:t>
            </w:r>
          </w:p>
        </w:tc>
        <w:tc>
          <w:tcPr>
            <w:tcW w:w="1020" w:type="dxa"/>
            <w:vAlign w:val="bottom"/>
          </w:tcPr>
          <w:p>
            <w:pPr>
              <w:spacing w:after="0"/>
              <w:rPr>
                <w:sz w:val="16"/>
                <w:szCs w:val="16"/>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(0.4 )</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776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5"/>
                <w:szCs w:val="15"/>
                <w:color w:val="auto"/>
              </w:rPr>
              <w:t>Depreciation</w:t>
            </w:r>
          </w:p>
        </w:tc>
        <w:tc>
          <w:tcPr>
            <w:tcW w:w="1020" w:type="dxa"/>
            <w:vAlign w:val="bottom"/>
            <w:tcBorders>
              <w:bottom w:val="single" w:sz="8" w:color="auto"/>
            </w:tcBorders>
            <w:shd w:val="clear" w:color="auto" w:fill="CCECFF"/>
          </w:tcPr>
          <w:p>
            <w:pPr>
              <w:spacing w:after="0"/>
              <w:rPr>
                <w:sz w:val="16"/>
                <w:szCs w:val="16"/>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360" w:type="dxa"/>
            <w:vAlign w:val="bottom"/>
            <w:tcBorders>
              <w:bottom w:val="single" w:sz="8" w:color="CCECFF"/>
            </w:tcBorders>
            <w:shd w:val="clear" w:color="auto" w:fill="CCECFF"/>
          </w:tcPr>
          <w:p>
            <w:pPr>
              <w:spacing w:after="0"/>
              <w:rPr>
                <w:sz w:val="16"/>
                <w:szCs w:val="16"/>
                <w:color w:val="auto"/>
              </w:rPr>
            </w:pPr>
          </w:p>
        </w:tc>
        <w:tc>
          <w:tcPr>
            <w:tcW w:w="500" w:type="dxa"/>
            <w:vAlign w:val="bottom"/>
            <w:tcBorders>
              <w:bottom w:val="single" w:sz="8" w:color="auto"/>
            </w:tcBorders>
            <w:shd w:val="clear" w:color="auto" w:fill="CCECFF"/>
          </w:tcPr>
          <w:p>
            <w:pPr>
              <w:spacing w:after="0"/>
              <w:rPr>
                <w:sz w:val="16"/>
                <w:szCs w:val="16"/>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CCECFF"/>
            </w:tcBorders>
            <w:shd w:val="clear" w:color="auto" w:fill="CCECFF"/>
          </w:tcPr>
          <w:p>
            <w:pPr>
              <w:spacing w:after="0"/>
              <w:rPr>
                <w:sz w:val="16"/>
                <w:szCs w:val="16"/>
                <w:color w:val="auto"/>
              </w:rPr>
            </w:pPr>
          </w:p>
        </w:tc>
      </w:tr>
      <w:tr>
        <w:trPr>
          <w:trHeight w:val="177"/>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10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360" w:type="dxa"/>
            <w:vAlign w:val="bottom"/>
          </w:tcPr>
          <w:p>
            <w:pPr>
              <w:spacing w:after="0"/>
              <w:rPr>
                <w:sz w:val="15"/>
                <w:szCs w:val="15"/>
                <w:color w:val="auto"/>
              </w:rPr>
            </w:pPr>
          </w:p>
        </w:tc>
        <w:tc>
          <w:tcPr>
            <w:tcW w:w="5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-2002790</wp:posOffset>
            </wp:positionV>
            <wp:extent cx="5905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-1988185</wp:posOffset>
            </wp:positionV>
            <wp:extent cx="5905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-2002790</wp:posOffset>
            </wp:positionV>
            <wp:extent cx="3683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-1988185</wp:posOffset>
            </wp:positionV>
            <wp:extent cx="3683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-146685</wp:posOffset>
            </wp:positionV>
            <wp:extent cx="5905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055" cy="762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-146685</wp:posOffset>
            </wp:positionV>
            <wp:extent cx="5143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Components may not sum to total due to rounding.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1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5"/>
          <w:szCs w:val="15"/>
          <w:color w:val="auto"/>
        </w:rPr>
        <w:t>This Quarterly Report on Form 10-Q or any other oral or written statements made by us or on our behalf may include forward-looking statements that reflect our current views with respect to future events and financial performance. These statements may discuss goals,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6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These forward-looking statements are subject to various risks and uncertainties, many of which are outside our control, including, without limitation, risks related to the successful execution of CommScope NEXT; changes in cost and availability of key raw materials, components and commodities and the potential effect on customer pricing and timing of delivery of products to customers; risks associated with our dependence on a limited number of key suppliers for certain raw materials and components;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that we rely on, encounter capacity, production, quality, financial or other difficulties causing difficulty in meeting customer demands; substantial indebtedness and restrictive debt covenants; our ability to incur additional indebtedness; our ability to generate cash to service our indebtedness; the potential separation of the Home Networks business or any other potential separation, divestiture or discontinuance of a business or product line, including uncertainty regarding the timing of the separation, achieving the expected benefits and the potential disruption to the business; our ability to integrate and fully realize anticipated benefits from prior or future divestitures, acquisitions or equity investments; our dependence on customers’ capital spending on data and communication systems;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possible future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the potential impact of higher than normal inflation; our ability to comply with governmental anti-corruption laws and regulations and export and import controls and sanctions worldwide; our ability to compete in international markets due to export and import controls to which we may be subject; changes in the laws and policies in the United States affecting trade, including the risk and uncertainty related to tariffs or potential trade wars and potential changes to laws and policies, that may impact our products; cost of protecting or defending intellectual property; costs and challenges of compliance with domestic and foreign environmental laws; the impact of litigation and similar regulatory proceedings that we are involved in or may become involved in, including the costs of such litigation; the scope, duration and impact of disease outbreaks and pandemics, such as COVID-19, on our business including employees, sites, operations, customers, supply chain and the global economy; income tax rate variability and ability to recover amounts recorded as deferred tax assets; and other factors beyond our control. These and other factors are discussed in greater detail in our 2021 Annual Report,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report, except as otherwise may be required by law.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1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5"/>
          <w:szCs w:val="15"/>
          <w:color w:val="auto"/>
        </w:rPr>
        <w:t>There have been no material changes in the interest rate risk, commodity price risk or foreign currency exchange rate risk information previously reported under Item 7A of our 2021 Annual Report, as filed with the SEC on February 17, 2022.</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Disclosure Controls and Procedures</w:t>
      </w:r>
    </w:p>
    <w:p>
      <w:pPr>
        <w:spacing w:after="0" w:line="9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9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Reference should be made to our 2021 Annual Report for additional information regarding discussion of the effectiveness of the Company’s controls and procedures. There have been no changes in our internal control over financial reporting during the quarter ended March 31, 2022 that have materially affected, or are reasonably likely to materially affect, our internal control over financial reporting.</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180"/>
          </w:cols>
          <w:pgMar w:left="320" w:top="573" w:right="3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5"/>
          <w:szCs w:val="15"/>
          <w:b w:val="1"/>
          <w:bCs w:val="1"/>
          <w:color w:val="auto"/>
        </w:rPr>
        <w:t>PART II—OTHER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incur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could be material and may vary significantly from our estimates.</w:t>
      </w:r>
    </w:p>
    <w:p>
      <w:pPr>
        <w:spacing w:after="0" w:line="162"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5"/>
          <w:szCs w:val="15"/>
          <w:color w:val="auto"/>
        </w:rPr>
        <w:t>The Company is also either a plaintiff or a defendant in certain other pending legal matters in the normal course of business. Management believes none of these pending legal matters will have a material adverse effect on the Company’s business or financial condition upon final disposition.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the Company is subject to various federal, state, local and foreign laws and regulations governing the use, discharge, disposal and remediation of hazardous materials.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Compliance with current laws and regulations has not had, and is not expected to have, a materially adverse effect on the Company’s financial condition or results of operations.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98" w:lineRule="exact"/>
        <w:rPr>
          <w:sz w:val="20"/>
          <w:szCs w:val="20"/>
          <w:color w:val="auto"/>
        </w:rPr>
      </w:pPr>
    </w:p>
    <w:p>
      <w:pPr>
        <w:jc w:val="both"/>
        <w:ind w:right="300"/>
        <w:spacing w:after="0" w:line="269" w:lineRule="auto"/>
        <w:rPr>
          <w:sz w:val="20"/>
          <w:szCs w:val="20"/>
          <w:color w:val="auto"/>
        </w:rPr>
      </w:pPr>
      <w:r>
        <w:rPr>
          <w:rFonts w:ascii="Times New Roman" w:cs="Times New Roman" w:eastAsia="Times New Roman" w:hAnsi="Times New Roman"/>
          <w:sz w:val="15"/>
          <w:szCs w:val="15"/>
          <w:color w:val="212529"/>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 Item 1A, Risk Factors, of our Form 10-K for the year ended December 31, 2021.</w:t>
      </w:r>
    </w:p>
    <w:p>
      <w:pPr>
        <w:spacing w:after="0" w:line="228" w:lineRule="exact"/>
        <w:rPr>
          <w:sz w:val="20"/>
          <w:szCs w:val="20"/>
          <w:color w:val="auto"/>
        </w:rPr>
      </w:pPr>
    </w:p>
    <w:p>
      <w:pPr>
        <w:ind w:right="5140"/>
        <w:spacing w:after="0" w:line="382" w:lineRule="auto"/>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 Recent Sales of Unregistered Securities:</w:t>
      </w: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stock purchase activity for the three months ended March 31,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Total Number of Shares Purchased as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10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rPr>
              <w:t>Price Paid</w:t>
            </w:r>
          </w:p>
        </w:tc>
        <w:tc>
          <w:tcPr>
            <w:tcW w:w="16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Part of Publicly Announced Plans or</w:t>
            </w:r>
          </w:p>
        </w:tc>
        <w:tc>
          <w:tcPr>
            <w:tcW w:w="14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Maximum Value of Shares that May Yet be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line="163" w:lineRule="exact"/>
              <w:rPr>
                <w:sz w:val="20"/>
                <w:szCs w:val="20"/>
                <w:color w:val="auto"/>
              </w:rPr>
            </w:pPr>
            <w:r>
              <w:rPr>
                <w:rFonts w:ascii="Times New Roman" w:cs="Times New Roman" w:eastAsia="Times New Roman" w:hAnsi="Times New Roman"/>
                <w:sz w:val="12"/>
                <w:szCs w:val="12"/>
                <w:b w:val="1"/>
                <w:bCs w:val="1"/>
                <w:color w:val="auto"/>
                <w:w w:val="98"/>
              </w:rPr>
              <w:t xml:space="preserve">Purchased </w:t>
            </w:r>
            <w:r>
              <w:rPr>
                <w:rFonts w:ascii="Times New Roman" w:cs="Times New Roman" w:eastAsia="Times New Roman" w:hAnsi="Times New Roman"/>
                <w:sz w:val="18"/>
                <w:szCs w:val="18"/>
                <w:b w:val="1"/>
                <w:bCs w:val="1"/>
                <w:color w:val="auto"/>
                <w:w w:val="98"/>
                <w:vertAlign w:val="superscript"/>
              </w:rPr>
              <w:t>(1)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16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Programs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Purchased Under the Plans or Programs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1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January 1, 2022 - January 31, 2022</w:t>
            </w:r>
          </w:p>
        </w:tc>
        <w:tc>
          <w:tcPr>
            <w:tcW w:w="100" w:type="dxa"/>
            <w:vAlign w:val="bottom"/>
            <w:shd w:val="clear" w:color="auto" w:fill="CCECFF"/>
          </w:tcPr>
          <w:p>
            <w:pPr>
              <w:spacing w:after="0"/>
              <w:rPr>
                <w:sz w:val="15"/>
                <w:szCs w:val="15"/>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10,504</w:t>
            </w: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11.44</w:t>
            </w:r>
          </w:p>
        </w:tc>
        <w:tc>
          <w:tcPr>
            <w:tcW w:w="160" w:type="dxa"/>
            <w:vAlign w:val="bottom"/>
            <w:shd w:val="clear" w:color="auto" w:fill="CCECFF"/>
          </w:tcPr>
          <w:p>
            <w:pPr>
              <w:spacing w:after="0"/>
              <w:rPr>
                <w:sz w:val="15"/>
                <w:szCs w:val="15"/>
                <w:color w:val="auto"/>
              </w:rPr>
            </w:pPr>
          </w:p>
        </w:tc>
        <w:tc>
          <w:tcPr>
            <w:tcW w:w="2060" w:type="dxa"/>
            <w:vAlign w:val="bottom"/>
            <w:shd w:val="clear" w:color="auto" w:fill="CCECFF"/>
          </w:tcPr>
          <w:p>
            <w:pPr>
              <w:ind w:left="190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2240" w:type="dxa"/>
            <w:vAlign w:val="bottom"/>
            <w:shd w:val="clear" w:color="auto" w:fill="CCECFF"/>
          </w:tcPr>
          <w:p>
            <w:pPr>
              <w:ind w:left="2080"/>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February 1, 2022 - February 28, 2022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160" w:type="dxa"/>
            <w:vAlign w:val="bottom"/>
          </w:tcPr>
          <w:p>
            <w:pPr>
              <w:spacing w:after="0"/>
              <w:rPr>
                <w:sz w:val="16"/>
                <w:szCs w:val="16"/>
                <w:color w:val="auto"/>
              </w:rPr>
            </w:pPr>
          </w:p>
        </w:tc>
        <w:tc>
          <w:tcPr>
            <w:tcW w:w="2060" w:type="dxa"/>
            <w:vAlign w:val="bottom"/>
          </w:tcPr>
          <w:p>
            <w:pPr>
              <w:ind w:left="1900"/>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2240" w:type="dxa"/>
            <w:vAlign w:val="bottom"/>
          </w:tcPr>
          <w:p>
            <w:pPr>
              <w:ind w:left="2080"/>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March 1, 2022 - March 31, 2022</w:t>
            </w:r>
          </w:p>
        </w:tc>
        <w:tc>
          <w:tcPr>
            <w:tcW w:w="100" w:type="dxa"/>
            <w:vAlign w:val="bottom"/>
            <w:tcBorders>
              <w:bottom w:val="single" w:sz="8" w:color="CCECFF"/>
            </w:tcBorders>
            <w:shd w:val="clear" w:color="auto" w:fill="CCECFF"/>
          </w:tcPr>
          <w:p>
            <w:pPr>
              <w:spacing w:after="0"/>
              <w:rPr>
                <w:sz w:val="16"/>
                <w:szCs w:val="16"/>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1,216,754</w:t>
            </w:r>
          </w:p>
        </w:tc>
        <w:tc>
          <w:tcPr>
            <w:tcW w:w="26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8.62</w:t>
            </w:r>
          </w:p>
        </w:tc>
        <w:tc>
          <w:tcPr>
            <w:tcW w:w="160" w:type="dxa"/>
            <w:vAlign w:val="bottom"/>
            <w:tcBorders>
              <w:bottom w:val="single" w:sz="8" w:color="CCECFF"/>
            </w:tcBorders>
            <w:shd w:val="clear" w:color="auto" w:fill="CCECFF"/>
          </w:tcPr>
          <w:p>
            <w:pPr>
              <w:spacing w:after="0"/>
              <w:rPr>
                <w:sz w:val="16"/>
                <w:szCs w:val="16"/>
                <w:color w:val="auto"/>
              </w:rPr>
            </w:pPr>
          </w:p>
        </w:tc>
        <w:tc>
          <w:tcPr>
            <w:tcW w:w="2060" w:type="dxa"/>
            <w:vAlign w:val="bottom"/>
            <w:tcBorders>
              <w:bottom w:val="single" w:sz="8" w:color="auto"/>
            </w:tcBorders>
            <w:shd w:val="clear" w:color="auto" w:fill="CCECFF"/>
          </w:tcPr>
          <w:p>
            <w:pPr>
              <w:ind w:left="1900"/>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Borders>
              <w:bottom w:val="single" w:sz="8" w:color="CCECFF"/>
            </w:tcBorders>
            <w:gridSpan w:val="2"/>
            <w:shd w:val="clear" w:color="auto" w:fill="CCEC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2240" w:type="dxa"/>
            <w:vAlign w:val="bottom"/>
            <w:tcBorders>
              <w:bottom w:val="single" w:sz="8" w:color="CCECFF"/>
            </w:tcBorders>
            <w:shd w:val="clear" w:color="auto" w:fill="CCECFF"/>
          </w:tcPr>
          <w:p>
            <w:pPr>
              <w:ind w:left="2080"/>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1,231,239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160" w:type="dxa"/>
            <w:vAlign w:val="bottom"/>
          </w:tcPr>
          <w:p>
            <w:pPr>
              <w:spacing w:after="0"/>
              <w:rPr>
                <w:sz w:val="15"/>
                <w:szCs w:val="15"/>
                <w:color w:val="auto"/>
              </w:rPr>
            </w:pPr>
          </w:p>
        </w:tc>
        <w:tc>
          <w:tcPr>
            <w:tcW w:w="2060" w:type="dxa"/>
            <w:vAlign w:val="bottom"/>
          </w:tcPr>
          <w:p>
            <w:pPr>
              <w:ind w:left="190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-146685</wp:posOffset>
            </wp:positionV>
            <wp:extent cx="4445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-146685</wp:posOffset>
            </wp:positionV>
            <wp:extent cx="368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6830" cy="76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The shares purchased were withheld to satisfy the withholding tax obligations related to restricted stock units and performance share units that vested during the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 **</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Form of Performance Share Unit Award Certificate under the CommScope Holding Company, Inc. Amended and Restated 2019 Long-Term Incentive Plan.</w:t>
            </w:r>
          </w:p>
        </w:tc>
        <w:tc>
          <w:tcPr>
            <w:tcW w:w="0" w:type="dxa"/>
            <w:vAlign w:val="bottom"/>
          </w:tcPr>
          <w:p>
            <w:pPr>
              <w:spacing w:after="0"/>
              <w:rPr>
                <w:sz w:val="1"/>
                <w:szCs w:val="1"/>
                <w:color w:val="auto"/>
              </w:rPr>
            </w:pPr>
          </w:p>
        </w:tc>
      </w:tr>
      <w:tr>
        <w:trPr>
          <w:trHeight w:val="84"/>
        </w:trPr>
        <w:tc>
          <w:tcPr>
            <w:tcW w:w="1040" w:type="dxa"/>
            <w:vAlign w:val="bottom"/>
            <w:vMerge w:val="continue"/>
          </w:tcPr>
          <w:p>
            <w:pPr>
              <w:spacing w:after="0"/>
              <w:rPr>
                <w:sz w:val="7"/>
                <w:szCs w:val="7"/>
                <w:color w:val="auto"/>
              </w:rPr>
            </w:pPr>
          </w:p>
        </w:tc>
        <w:tc>
          <w:tcPr>
            <w:tcW w:w="438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4600" w:type="dxa"/>
            <w:vAlign w:val="bottom"/>
            <w:tcBorders>
              <w:top w:val="single" w:sz="8" w:color="0000FF"/>
            </w:tcBorders>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31.1 **</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Certification of Principal Executive Officer pursuant to Rule 13a-14(a).</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31.2 **</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Certification of Principal Financial Officer pursuant to Rule 13a-14(a).</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32.1 **</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Certification of Principal Executive Officer and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10160" w:type="dxa"/>
            <w:vAlign w:val="bottom"/>
            <w:gridSpan w:val="4"/>
          </w:tcPr>
          <w:p>
            <w:pPr>
              <w:spacing w:after="0" w:line="143" w:lineRule="exact"/>
              <w:rPr>
                <w:sz w:val="20"/>
                <w:szCs w:val="20"/>
                <w:color w:val="auto"/>
              </w:rPr>
            </w:pPr>
            <w:r>
              <w:rPr>
                <w:rFonts w:ascii="Times New Roman" w:cs="Times New Roman" w:eastAsia="Times New Roman" w:hAnsi="Times New Roman"/>
                <w:sz w:val="15"/>
                <w:szCs w:val="15"/>
                <w:color w:val="0000FF"/>
              </w:rPr>
              <w:t>Oxley Act of 2002 (furnished pursuant to Item 601(b)(32)(ii) of Regulation S-K).</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XBRL document.</w:t>
            </w: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Inline XBRL Schema Document, furnished herewith.</w:t>
            </w: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101.PRE</w:t>
            </w:r>
          </w:p>
        </w:tc>
        <w:tc>
          <w:tcPr>
            <w:tcW w:w="101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20" w:hanging="1016"/>
        <w:spacing w:after="0"/>
        <w:tabs>
          <w:tab w:leader="none" w:pos="10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94" w:lineRule="exact"/>
        <w:rPr>
          <w:rFonts w:ascii="Times New Roman" w:cs="Times New Roman" w:eastAsia="Times New Roman" w:hAnsi="Times New Roman"/>
          <w:sz w:val="15"/>
          <w:szCs w:val="15"/>
          <w:color w:val="auto"/>
        </w:rPr>
      </w:pPr>
    </w:p>
    <w:p>
      <w:pPr>
        <w:ind w:left="1020" w:hanging="173"/>
        <w:spacing w:after="0"/>
        <w:tabs>
          <w:tab w:leader="none" w:pos="10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76770" cy="4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00"/>
          </w:cols>
          <w:pgMar w:left="320" w:top="573"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10"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COMMSCOPE HOLDING COMPANY, INC.</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May 4, 2022</w:t>
            </w:r>
          </w:p>
        </w:tc>
        <w:tc>
          <w:tcPr>
            <w:tcW w:w="304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Kyle D. Lorentzen</w:t>
            </w:r>
          </w:p>
        </w:tc>
      </w:tr>
      <w:tr>
        <w:trPr>
          <w:trHeight w:val="159"/>
        </w:trPr>
        <w:tc>
          <w:tcPr>
            <w:tcW w:w="31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Date</w:t>
            </w:r>
          </w:p>
        </w:tc>
        <w:tc>
          <w:tcPr>
            <w:tcW w:w="3040" w:type="dxa"/>
            <w:vAlign w:val="bottom"/>
          </w:tcPr>
          <w:p>
            <w:pPr>
              <w:spacing w:after="0"/>
              <w:rPr>
                <w:sz w:val="13"/>
                <w:szCs w:val="13"/>
                <w:color w:val="auto"/>
              </w:rPr>
            </w:pPr>
          </w:p>
        </w:tc>
        <w:tc>
          <w:tcPr>
            <w:tcW w:w="50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Kyle D. Lorentzen</w:t>
            </w:r>
          </w:p>
        </w:tc>
      </w:tr>
      <w:tr>
        <w:trPr>
          <w:trHeight w:val="186"/>
        </w:trPr>
        <w:tc>
          <w:tcPr>
            <w:tcW w:w="3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Executive Vice President and Chief Financial Officer</w:t>
            </w:r>
          </w:p>
        </w:tc>
      </w:tr>
      <w:tr>
        <w:trPr>
          <w:trHeight w:val="204"/>
        </w:trPr>
        <w:tc>
          <w:tcPr>
            <w:tcW w:w="31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(Principal Financial Officer and duly authorized officer)</w:t>
            </w:r>
          </w:p>
        </w:tc>
      </w:tr>
      <w:tr>
        <w:trPr>
          <w:trHeight w:val="916"/>
        </w:trPr>
        <w:tc>
          <w:tcPr>
            <w:tcW w:w="3160" w:type="dxa"/>
            <w:vAlign w:val="bottom"/>
          </w:tcPr>
          <w:p>
            <w:pPr>
              <w:spacing w:after="0"/>
              <w:rPr>
                <w:sz w:val="24"/>
                <w:szCs w:val="24"/>
                <w:color w:val="auto"/>
              </w:rPr>
            </w:pPr>
          </w:p>
        </w:tc>
        <w:tc>
          <w:tcPr>
            <w:tcW w:w="304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40</w:t>
            </w:r>
          </w:p>
        </w:tc>
        <w:tc>
          <w:tcPr>
            <w:tcW w:w="5060" w:type="dxa"/>
            <w:vAlign w:val="bottom"/>
          </w:tcPr>
          <w:p>
            <w:pPr>
              <w:spacing w:after="0"/>
              <w:rPr>
                <w:sz w:val="24"/>
                <w:szCs w:val="24"/>
                <w:color w:val="auto"/>
              </w:rPr>
            </w:pPr>
          </w:p>
        </w:tc>
      </w:tr>
      <w:tr>
        <w:trPr>
          <w:trHeight w:val="456"/>
        </w:trPr>
        <w:tc>
          <w:tcPr>
            <w:tcW w:w="31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 E R F O R M A N C E S H A R E U N I T A W A R D C E R T I F I C A T 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Non-transferable</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G R A N T T O</w:t>
      </w:r>
    </w:p>
    <w:p>
      <w:pPr>
        <w:spacing w:after="0" w:line="1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u w:val="single" w:color="auto"/>
          <w:color w:val="auto"/>
        </w:rPr>
        <w:t>_____________________________</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Grantee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 CommScope Holding Company,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of</w:t>
      </w:r>
    </w:p>
    <w:p>
      <w:pPr>
        <w:spacing w:after="0" w:line="1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[________] performance share units convertible, on a one-for-one basis, into shares of Stock (the “</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Units are granted pursuant to and subject to the provisions of the CommScope Holding Company, Inc. Amended and Restated 2019 Long-Term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and to the terms and conditions set forth on the following pages (the “</w:t>
      </w:r>
      <w:r>
        <w:rPr>
          <w:rFonts w:ascii="Times New Roman" w:cs="Times New Roman" w:eastAsia="Times New Roman" w:hAnsi="Times New Roman"/>
          <w:sz w:val="17"/>
          <w:szCs w:val="17"/>
          <w:u w:val="single" w:color="auto"/>
          <w:color w:val="auto"/>
        </w:rPr>
        <w:t>Terms and Conditions</w:t>
      </w:r>
      <w:r>
        <w:rPr>
          <w:rFonts w:ascii="Times New Roman" w:cs="Times New Roman" w:eastAsia="Times New Roman" w:hAnsi="Times New Roman"/>
          <w:sz w:val="17"/>
          <w:szCs w:val="17"/>
          <w:color w:val="auto"/>
        </w:rPr>
        <w:t>”). By accepting the Units, Grantee shall be deemed to have agreed to the Terms and Conditions and the Plan. Capitalized terms used herein and not otherwise defined shall have the meanings assigned to such terms in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Grantee will have the right to earn between 0% and [___]% of the Units based on the Company’s achievement of performance goals relating to [________] for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 period covering [________] (the “</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as set forth on Appendix A.</w:t>
      </w:r>
    </w:p>
    <w:p>
      <w:pPr>
        <w:spacing w:after="0" w:line="16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Within [__] days after the Performance Period ends, the Committee will determine and certify the Company’s performance against the performance goals and will determine the number of Units eligible for vesting (the “</w:t>
      </w:r>
      <w:r>
        <w:rPr>
          <w:rFonts w:ascii="Times New Roman" w:cs="Times New Roman" w:eastAsia="Times New Roman" w:hAnsi="Times New Roman"/>
          <w:sz w:val="17"/>
          <w:szCs w:val="17"/>
          <w:u w:val="single" w:color="auto"/>
          <w:color w:val="auto"/>
        </w:rPr>
        <w:t>Confirmed Units</w:t>
      </w:r>
      <w:r>
        <w:rPr>
          <w:rFonts w:ascii="Times New Roman" w:cs="Times New Roman" w:eastAsia="Times New Roman" w:hAnsi="Times New Roman"/>
          <w:sz w:val="17"/>
          <w:szCs w:val="17"/>
          <w:color w:val="auto"/>
        </w:rPr>
        <w:t xml:space="preserve"> ”). The date such certification occurs is referred to in this certificate as the “</w:t>
      </w:r>
      <w:r>
        <w:rPr>
          <w:rFonts w:ascii="Times New Roman" w:cs="Times New Roman" w:eastAsia="Times New Roman" w:hAnsi="Times New Roman"/>
          <w:sz w:val="17"/>
          <w:szCs w:val="17"/>
          <w:u w:val="single" w:color="auto"/>
          <w:color w:val="auto"/>
        </w:rPr>
        <w:t>Certification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Unless vesting is accelerated as provided in the Plan or Section 2 of the Terms and Conditions, the Confirmed Units shall vest (become non-forfeitable) on [________], subject to Grantee’s Continuous Service on such date.</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WITNESS WHEREOF, CommScope Holding Company, Inc., acting by and through its duly authorized officers, has caused this Award Certificate to be duly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1209675</wp:posOffset>
            </wp:positionV>
            <wp:extent cx="151130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113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Its:</w:t>
      </w:r>
    </w:p>
    <w:p>
      <w:pPr>
        <w:spacing w:after="0" w:line="1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169545</wp:posOffset>
            </wp:positionV>
            <wp:extent cx="7176770"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2" w:name="page43"/>
    <w:bookmarkEnd w:id="42"/>
    <w:p>
      <w:pPr>
        <w:ind w:left="7"/>
        <w:spacing w:after="0"/>
        <w:rPr>
          <w:sz w:val="20"/>
          <w:szCs w:val="20"/>
          <w:color w:val="auto"/>
        </w:rPr>
      </w:pPr>
      <w:r>
        <w:rPr>
          <w:rFonts w:ascii="Times New Roman" w:cs="Times New Roman" w:eastAsia="Times New Roman" w:hAnsi="Times New Roman"/>
          <w:sz w:val="15"/>
          <w:szCs w:val="15"/>
          <w:color w:val="auto"/>
        </w:rPr>
        <w:t>TERMS AND CONDITIONS</w:t>
      </w:r>
    </w:p>
    <w:p>
      <w:pPr>
        <w:spacing w:after="0" w:line="94" w:lineRule="exact"/>
        <w:rPr>
          <w:sz w:val="20"/>
          <w:szCs w:val="20"/>
          <w:color w:val="auto"/>
        </w:rPr>
      </w:pPr>
    </w:p>
    <w:p>
      <w:pPr>
        <w:jc w:val="both"/>
        <w:ind w:left="7" w:hanging="7"/>
        <w:spacing w:after="0" w:line="260" w:lineRule="auto"/>
        <w:tabs>
          <w:tab w:leader="none" w:pos="32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and Certification</w:t>
      </w:r>
      <w:r>
        <w:rPr>
          <w:rFonts w:ascii="Times New Roman" w:cs="Times New Roman" w:eastAsia="Times New Roman" w:hAnsi="Times New Roman"/>
          <w:sz w:val="15"/>
          <w:szCs w:val="15"/>
          <w:color w:val="auto"/>
        </w:rPr>
        <w:t>. The Units will become eligible for vesting based upon the Company’s performance against the performance goals specified in Appendix A. Except as provided in Section 2(c) and (d), no Units will become Confirmed Units unless and until the Committee determines and certifies the performance following the Performance Period. To the extent the Company fails to achieve 100% of the performance conditions, Grantee shall forfeit all right, title and interest in and to the Units that do not become Confirmed Units as of the Certification Date and the non-Confirmed Units will be reconveyed to the Company without further consideration or any act or action by Grantee.</w:t>
      </w:r>
    </w:p>
    <w:p>
      <w:pPr>
        <w:spacing w:after="0" w:line="64" w:lineRule="exact"/>
        <w:rPr>
          <w:rFonts w:ascii="Times New Roman" w:cs="Times New Roman" w:eastAsia="Times New Roman" w:hAnsi="Times New Roman"/>
          <w:sz w:val="15"/>
          <w:szCs w:val="15"/>
          <w:color w:val="auto"/>
        </w:rPr>
      </w:pPr>
    </w:p>
    <w:p>
      <w:pPr>
        <w:ind w:left="307" w:hanging="307"/>
        <w:spacing w:after="0"/>
        <w:tabs>
          <w:tab w:leader="none" w:pos="30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of Confirmed Units</w:t>
      </w:r>
      <w:r>
        <w:rPr>
          <w:rFonts w:ascii="Times New Roman" w:cs="Times New Roman" w:eastAsia="Times New Roman" w:hAnsi="Times New Roman"/>
          <w:sz w:val="15"/>
          <w:szCs w:val="15"/>
          <w:color w:val="auto"/>
        </w:rPr>
        <w:t xml:space="preserve"> The Confirmed Units will vest and become non-forfeitable on the earliest to occur of the following (each, a “</w:t>
      </w:r>
      <w:r>
        <w:rPr>
          <w:rFonts w:ascii="Times New Roman" w:cs="Times New Roman" w:eastAsia="Times New Roman" w:hAnsi="Times New Roman"/>
          <w:sz w:val="15"/>
          <w:szCs w:val="15"/>
          <w:u w:val="single" w:color="auto"/>
          <w:color w:val="auto"/>
        </w:rPr>
        <w:t>Vesting Date</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ind w:left="307" w:hanging="307"/>
        <w:spacing w:after="0"/>
        <w:tabs>
          <w:tab w:leader="none" w:pos="307"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Confirmed Units will vest on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provided Grantee is then still providing Continuous Service to the Company.</w:t>
      </w:r>
    </w:p>
    <w:p>
      <w:pPr>
        <w:spacing w:after="0" w:line="98" w:lineRule="exact"/>
        <w:rPr>
          <w:rFonts w:ascii="Times New Roman" w:cs="Times New Roman" w:eastAsia="Times New Roman" w:hAnsi="Times New Roman"/>
          <w:sz w:val="15"/>
          <w:szCs w:val="15"/>
          <w:color w:val="auto"/>
        </w:rPr>
      </w:pPr>
    </w:p>
    <w:p>
      <w:pPr>
        <w:ind w:left="307" w:hanging="307"/>
        <w:spacing w:after="0"/>
        <w:tabs>
          <w:tab w:leader="none" w:pos="307"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Grantee’s Continuous Service is terminated by the Company due to the elimination of Grantee’s position or a reduction in force, or due to death or Disability, then:</w:t>
      </w:r>
    </w:p>
    <w:p>
      <w:pPr>
        <w:spacing w:after="0" w:line="94" w:lineRule="exact"/>
        <w:rPr>
          <w:rFonts w:ascii="Times New Roman" w:cs="Times New Roman" w:eastAsia="Times New Roman" w:hAnsi="Times New Roman"/>
          <w:sz w:val="15"/>
          <w:szCs w:val="15"/>
          <w:color w:val="auto"/>
        </w:rPr>
      </w:pPr>
    </w:p>
    <w:p>
      <w:pPr>
        <w:jc w:val="both"/>
        <w:ind w:left="367" w:right="20" w:firstLine="251"/>
        <w:spacing w:after="0" w:line="269" w:lineRule="auto"/>
        <w:tabs>
          <w:tab w:leader="none" w:pos="804"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termination occurs during the Performance Period, the Units shall not expire on account of Grantee’s termination and shall remain eligible to vest based upon actual performance over the Performance Period. To the extent the performance goals are met for the Performance Period, then the “Pro Rata Confirmed Units” (as defined herein) will vest on the Certification Date, and any non-Pro Rata Confirmed Units will be forfeited,</w:t>
      </w:r>
    </w:p>
    <w:p>
      <w:pPr>
        <w:spacing w:after="0" w:line="46" w:lineRule="exact"/>
        <w:rPr>
          <w:rFonts w:ascii="Times New Roman" w:cs="Times New Roman" w:eastAsia="Times New Roman" w:hAnsi="Times New Roman"/>
          <w:sz w:val="15"/>
          <w:szCs w:val="15"/>
          <w:color w:val="auto"/>
        </w:rPr>
      </w:pPr>
    </w:p>
    <w:p>
      <w:pPr>
        <w:ind w:left="367" w:right="40" w:firstLine="251"/>
        <w:spacing w:after="0" w:line="280" w:lineRule="auto"/>
        <w:tabs>
          <w:tab w:leader="none" w:pos="899"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termination occurs after the end of the Performance Period but prior to the Certification Date, then all of the Confirmed Units will vest on the Certification Date, and</w:t>
      </w:r>
    </w:p>
    <w:p>
      <w:pPr>
        <w:spacing w:after="0" w:line="45" w:lineRule="exact"/>
        <w:rPr>
          <w:rFonts w:ascii="Times New Roman" w:cs="Times New Roman" w:eastAsia="Times New Roman" w:hAnsi="Times New Roman"/>
          <w:sz w:val="15"/>
          <w:szCs w:val="15"/>
          <w:color w:val="auto"/>
        </w:rPr>
      </w:pPr>
    </w:p>
    <w:p>
      <w:pPr>
        <w:ind w:left="887" w:hanging="269"/>
        <w:spacing w:after="0"/>
        <w:tabs>
          <w:tab w:leader="none" w:pos="887"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such termination occurs after the Certification Date but prior to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then all of the Confirmed Units will vest on the date of such termination.</w:t>
      </w:r>
    </w:p>
    <w:p>
      <w:pPr>
        <w:spacing w:after="0" w:line="87" w:lineRule="exact"/>
        <w:rPr>
          <w:sz w:val="20"/>
          <w:szCs w:val="20"/>
          <w:color w:val="auto"/>
        </w:rPr>
      </w:pPr>
    </w:p>
    <w:p>
      <w:pPr>
        <w:jc w:val="both"/>
        <w:ind w:left="367" w:hanging="6"/>
        <w:spacing w:after="0" w:line="269" w:lineRule="auto"/>
        <w:rPr>
          <w:sz w:val="20"/>
          <w:szCs w:val="20"/>
          <w:color w:val="auto"/>
        </w:rPr>
      </w:pPr>
      <w:r>
        <w:rPr>
          <w:rFonts w:ascii="Times New Roman" w:cs="Times New Roman" w:eastAsia="Times New Roman" w:hAnsi="Times New Roman"/>
          <w:sz w:val="15"/>
          <w:szCs w:val="15"/>
          <w:color w:val="auto"/>
        </w:rPr>
        <w:t>For purposes of this Award Certificate, the “Pro Rata Confirmed Units” shall be equal to the product of (x) the total number of Confirmed Units and (y) a fraction, the numerator of which is the number of full calendar months that elapsed from the start of the Performance Period, until the date of the termination of Grantee’s Continuous Service due to the elimination of Grantee’s position, reduction in force, death or Disability, as the case may be, and the denominator of which is 36.</w:t>
      </w:r>
    </w:p>
    <w:p>
      <w:pPr>
        <w:spacing w:after="0" w:line="46" w:lineRule="exact"/>
        <w:rPr>
          <w:sz w:val="20"/>
          <w:szCs w:val="20"/>
          <w:color w:val="auto"/>
        </w:rPr>
      </w:pPr>
    </w:p>
    <w:p>
      <w:pPr>
        <w:ind w:left="367" w:right="20" w:hanging="367"/>
        <w:spacing w:after="0" w:line="268" w:lineRule="auto"/>
        <w:tabs>
          <w:tab w:leader="none" w:pos="301"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Change in Control occurs and the Units are not assumed by the surviving entity or otherwise equitably converted or substituted in connection with the Change in Control, then:</w:t>
      </w:r>
    </w:p>
    <w:p>
      <w:pPr>
        <w:spacing w:after="0" w:line="259" w:lineRule="exact"/>
        <w:rPr>
          <w:rFonts w:ascii="Times New Roman" w:cs="Times New Roman" w:eastAsia="Times New Roman" w:hAnsi="Times New Roman"/>
          <w:sz w:val="15"/>
          <w:szCs w:val="15"/>
          <w:color w:val="auto"/>
        </w:rPr>
      </w:pPr>
    </w:p>
    <w:p>
      <w:pPr>
        <w:jc w:val="both"/>
        <w:ind w:left="367" w:firstLine="251"/>
        <w:spacing w:after="0" w:line="260" w:lineRule="auto"/>
        <w:tabs>
          <w:tab w:leader="none" w:pos="80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Change in Control occurs during the first year of the Performance Period, then (A) the Performance Period shall end, (B) the number of Units shall be prorated by multiplying it by a fraction, the numerator of which is the number of full calendar months that elapsed from the start of the Performance Period through the date of the Change in Control, and the denominator of which is 36, (C) such prorated portion of the Units shall vest immediately prior to the Change in Control based upon deemed performance at the “target” level, and (D) the remaining unvested portion of the Units shall be forfeited and cancelled as of the Change in Control, and</w:t>
      </w:r>
    </w:p>
    <w:p>
      <w:pPr>
        <w:spacing w:after="0" w:line="52" w:lineRule="exact"/>
        <w:rPr>
          <w:rFonts w:ascii="Times New Roman" w:cs="Times New Roman" w:eastAsia="Times New Roman" w:hAnsi="Times New Roman"/>
          <w:sz w:val="15"/>
          <w:szCs w:val="15"/>
          <w:color w:val="auto"/>
        </w:rPr>
      </w:pPr>
    </w:p>
    <w:p>
      <w:pPr>
        <w:ind w:left="867" w:hanging="249"/>
        <w:spacing w:after="0"/>
        <w:tabs>
          <w:tab w:leader="none" w:pos="867"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Change in Control occurs during the second or third year of the Performance Period, then (A) the Performance Period shall end, (B) the Committee shall</w:t>
      </w:r>
    </w:p>
    <w:p>
      <w:pPr>
        <w:spacing w:after="0" w:line="19"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5"/>
          <w:szCs w:val="15"/>
          <w:color w:val="auto"/>
        </w:rPr>
        <w:t xml:space="preserve">determine the number of Confirmed Units taking into consideration actual performance through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xml:space="preserve"> (or using another methodology, in the Committee’s discretion),</w:t>
      </w:r>
    </w:p>
    <w:p>
      <w:pPr>
        <w:jc w:val="both"/>
        <w:ind w:left="367" w:right="20" w:firstLine="8"/>
        <w:spacing w:after="0" w:line="257" w:lineRule="auto"/>
        <w:tabs>
          <w:tab w:leader="none" w:pos="618"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such Confirmed Units shall be prorated by multiplying it by a fraction, the numerator of which is the number of full calendar months that elapsed from the start of the Performance Period through the date of the Change in Control, and the denominator of which is 36, (D) such prorated portion of the Confirmed Units shall vest immediately prior to the Change in Control, and (E) the remaining unvested portion of the Units shall be forfeited and cancelled as of the Change in Control, and</w:t>
      </w:r>
    </w:p>
    <w:p>
      <w:pPr>
        <w:spacing w:after="0" w:line="52" w:lineRule="exact"/>
        <w:rPr>
          <w:rFonts w:ascii="Times New Roman" w:cs="Times New Roman" w:eastAsia="Times New Roman" w:hAnsi="Times New Roman"/>
          <w:sz w:val="15"/>
          <w:szCs w:val="15"/>
          <w:color w:val="auto"/>
        </w:rPr>
      </w:pPr>
    </w:p>
    <w:p>
      <w:pPr>
        <w:ind w:left="367" w:firstLine="251"/>
        <w:spacing w:after="0" w:line="286" w:lineRule="auto"/>
        <w:tabs>
          <w:tab w:leader="none" w:pos="900" w:val="left"/>
        </w:tabs>
        <w:numPr>
          <w:ilvl w:val="2"/>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such Change in Control occurs after the Performance Period but prior to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then the Committee will determine the Confirmed Units and all of the Confirmed Units will vest immediately prior to the Change in Control.</w:t>
      </w:r>
    </w:p>
    <w:p>
      <w:pPr>
        <w:spacing w:after="0" w:line="41" w:lineRule="exact"/>
        <w:rPr>
          <w:rFonts w:ascii="Times New Roman" w:cs="Times New Roman" w:eastAsia="Times New Roman" w:hAnsi="Times New Roman"/>
          <w:sz w:val="15"/>
          <w:szCs w:val="15"/>
          <w:color w:val="auto"/>
        </w:rPr>
      </w:pPr>
    </w:p>
    <w:p>
      <w:pPr>
        <w:ind w:left="367" w:hanging="367"/>
        <w:spacing w:after="0" w:line="249" w:lineRule="auto"/>
        <w:tabs>
          <w:tab w:leader="none" w:pos="301"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 Change in Control occurs and the Units are assumed by the surviving entity or otherwise equitably converted or substituted in connection with the Change in Control, then the Performance Period shall end and (i) if such Change in Control occurs during the first year of the Performance Period, the Units shall become Confirmed Units at the time of the Change in Control based upon deemed performance at the “target” level, (ii) if such Change in Control occurs during the second or third year of the Performance Period, the Committee shall determine the number of Confirmed Units taking into consideration actual performance through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xml:space="preserve"> (or using another methodology, in the Committee’s discretion), and (iii) if such Change in Control occurs after the Performance Period but prior to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then the Committee will determine the Confirmed Units; and in any such case the Confirmed Units will vest and become non-forfeitable on the earliest to occur of the following Vesting Dates:</w:t>
      </w:r>
    </w:p>
    <w:p>
      <w:pPr>
        <w:spacing w:after="0" w:line="57" w:lineRule="exact"/>
        <w:rPr>
          <w:sz w:val="20"/>
          <w:szCs w:val="20"/>
          <w:color w:val="auto"/>
        </w:rPr>
      </w:pPr>
    </w:p>
    <w:p>
      <w:pPr>
        <w:ind w:left="627"/>
        <w:spacing w:after="0"/>
        <w:rPr>
          <w:sz w:val="20"/>
          <w:szCs w:val="20"/>
          <w:color w:val="auto"/>
        </w:rPr>
      </w:pPr>
      <w:r>
        <w:rPr>
          <w:rFonts w:ascii="Times New Roman" w:cs="Times New Roman" w:eastAsia="Times New Roman" w:hAnsi="Times New Roman"/>
          <w:sz w:val="15"/>
          <w:szCs w:val="15"/>
          <w:color w:val="auto"/>
        </w:rPr>
        <w:t xml:space="preserve">(A) the Confirmed Units will vest on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provided Grantee is then still providing Continuous Service to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236220</wp:posOffset>
            </wp:positionV>
            <wp:extent cx="717677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125" w:right="319" w:bottom="1440" w:gutter="0" w:footer="0" w:header="0"/>
        </w:sectPr>
      </w:pPr>
    </w:p>
    <w:bookmarkStart w:id="43" w:name="page44"/>
    <w:bookmarkEnd w:id="43"/>
    <w:p>
      <w:pPr>
        <w:ind w:left="367" w:firstLine="251"/>
        <w:spacing w:after="0" w:line="280" w:lineRule="auto"/>
        <w:tabs>
          <w:tab w:leader="none" w:pos="894"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Grantee’s Continuous Service is terminated by the Company without Cause or by Grantee for Good Reason within two years after the effective date of the Change in Control; or due to death or Disability, then the Confirmed Units will vest on the date of such termination.</w:t>
      </w:r>
    </w:p>
    <w:p>
      <w:pPr>
        <w:spacing w:after="0" w:line="50" w:lineRule="exact"/>
        <w:rPr>
          <w:sz w:val="20"/>
          <w:szCs w:val="20"/>
          <w:color w:val="auto"/>
        </w:rPr>
      </w:pPr>
    </w:p>
    <w:p>
      <w:pPr>
        <w:ind w:left="7" w:right="20"/>
        <w:spacing w:after="0" w:line="280" w:lineRule="auto"/>
        <w:rPr>
          <w:sz w:val="20"/>
          <w:szCs w:val="20"/>
          <w:color w:val="auto"/>
        </w:rPr>
      </w:pPr>
      <w:r>
        <w:rPr>
          <w:rFonts w:ascii="Times New Roman" w:cs="Times New Roman" w:eastAsia="Times New Roman" w:hAnsi="Times New Roman"/>
          <w:sz w:val="15"/>
          <w:szCs w:val="15"/>
          <w:color w:val="auto"/>
        </w:rPr>
        <w:t>If Grantee’s Continuous Service terminates prior to a Vesting Date for any reason other than as described in (b) or (d) above, Grantee shall forfeit all right, title and interest in and to the then unvested Units as of the date of such termination and the unvested Units will be reconveyed to the Company without further consideration or any act or action by Grantee.</w:t>
      </w:r>
    </w:p>
    <w:p>
      <w:pPr>
        <w:spacing w:after="0" w:line="34" w:lineRule="exact"/>
        <w:rPr>
          <w:sz w:val="20"/>
          <w:szCs w:val="20"/>
          <w:color w:val="auto"/>
        </w:rPr>
      </w:pPr>
    </w:p>
    <w:p>
      <w:pPr>
        <w:jc w:val="both"/>
        <w:ind w:left="7" w:hanging="7"/>
        <w:spacing w:after="0" w:line="256" w:lineRule="auto"/>
        <w:tabs>
          <w:tab w:leader="none" w:pos="32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Conversion to Stock</w:t>
      </w:r>
      <w:r>
        <w:rPr>
          <w:rFonts w:ascii="Times New Roman" w:cs="Times New Roman" w:eastAsia="Times New Roman" w:hAnsi="Times New Roman"/>
          <w:sz w:val="15"/>
          <w:szCs w:val="15"/>
          <w:color w:val="auto"/>
        </w:rPr>
        <w:t xml:space="preserve">. The Confirmed Units that vest upon a Vesting Date will be converted to shares of Stock on the earliest of (i) </w:t>
      </w:r>
      <w:r>
        <w:rPr>
          <w:rFonts w:ascii="Times New Roman" w:cs="Times New Roman" w:eastAsia="Times New Roman" w:hAnsi="Times New Roman"/>
          <w:sz w:val="17"/>
          <w:szCs w:val="17"/>
          <w:color w:val="auto"/>
        </w:rPr>
        <w:t>[________]</w:t>
      </w:r>
      <w:r>
        <w:rPr>
          <w:rFonts w:ascii="Times New Roman" w:cs="Times New Roman" w:eastAsia="Times New Roman" w:hAnsi="Times New Roman"/>
          <w:sz w:val="15"/>
          <w:szCs w:val="15"/>
          <w:color w:val="auto"/>
        </w:rPr>
        <w:t>, (ii) the effective date of a Change in Control if the Units are not assumed by the surviving entity or otherwise equitably converted or substituted in connection with the Change in Control, and (iii) the date of Grantee’s termination of employment under Section 2(d)(ii) (or, if required by Section 409A of the Code, the six-month anniversary of such termination). The shares of Stock will be registered in the name of Grantee as of the Vesting Date, and certificates for the shares of Stock (or, at the option of the Company, statements of book entry notation of the shares of Stock in the name of Grantee in lieu thereof) shall be delivered to Grantee or Grantee’s designee upon request of Grantee as soon as practicable after the conversion date.</w:t>
      </w:r>
    </w:p>
    <w:p>
      <w:pPr>
        <w:spacing w:after="0" w:line="57" w:lineRule="exact"/>
        <w:rPr>
          <w:rFonts w:ascii="Times New Roman" w:cs="Times New Roman" w:eastAsia="Times New Roman" w:hAnsi="Times New Roman"/>
          <w:sz w:val="15"/>
          <w:szCs w:val="15"/>
          <w:color w:val="auto"/>
        </w:rPr>
      </w:pPr>
    </w:p>
    <w:p>
      <w:pPr>
        <w:jc w:val="both"/>
        <w:ind w:left="7" w:right="20" w:hanging="7"/>
        <w:spacing w:after="0" w:line="260" w:lineRule="auto"/>
        <w:tabs>
          <w:tab w:leader="none" w:pos="32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 Rights</w:t>
      </w:r>
      <w:r>
        <w:rPr>
          <w:rFonts w:ascii="Times New Roman" w:cs="Times New Roman" w:eastAsia="Times New Roman" w:hAnsi="Times New Roman"/>
          <w:sz w:val="15"/>
          <w:szCs w:val="15"/>
          <w:color w:val="auto"/>
        </w:rPr>
        <w:t>. If any dividends or other distributions are paid with respect to the Stock while the Units are outstanding, the dollar amount or fair market value of such dividends or distributions with respect to the number of shares of Stock then underlying the Units shall be credited to a bookkeeping account and held (without interest) by the Company for the account of Grantee. Such amounts shall be subject to the same vesting and forfeiture provisions as the Units to which they relate and, except as may be otherwise determined by the Committee, shall be paid by the Company in the form of a cash payment to Grantee as soon as reasonably practicable following the applicable Vesting Date.</w:t>
      </w:r>
    </w:p>
    <w:p>
      <w:pPr>
        <w:spacing w:after="0" w:line="64" w:lineRule="exact"/>
        <w:rPr>
          <w:rFonts w:ascii="Times New Roman" w:cs="Times New Roman" w:eastAsia="Times New Roman" w:hAnsi="Times New Roman"/>
          <w:sz w:val="15"/>
          <w:szCs w:val="15"/>
          <w:color w:val="auto"/>
        </w:rPr>
      </w:pPr>
    </w:p>
    <w:p>
      <w:pPr>
        <w:ind w:left="7" w:right="20" w:hanging="7"/>
        <w:spacing w:after="0" w:line="280" w:lineRule="auto"/>
        <w:tabs>
          <w:tab w:leader="none" w:pos="3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Voting Rights</w:t>
      </w:r>
      <w:r>
        <w:rPr>
          <w:rFonts w:ascii="Times New Roman" w:cs="Times New Roman" w:eastAsia="Times New Roman" w:hAnsi="Times New Roman"/>
          <w:sz w:val="15"/>
          <w:szCs w:val="15"/>
          <w:color w:val="auto"/>
        </w:rPr>
        <w:t>. Grantee shall not have voting rights with respect to the Units. Upon conversion of the Units into shares of Stock, Grantee will obtain full voting rights and other rights as a stockholder of the Company.</w:t>
      </w:r>
    </w:p>
    <w:p>
      <w:pPr>
        <w:spacing w:after="0" w:line="38" w:lineRule="exact"/>
        <w:rPr>
          <w:rFonts w:ascii="Times New Roman" w:cs="Times New Roman" w:eastAsia="Times New Roman" w:hAnsi="Times New Roman"/>
          <w:sz w:val="15"/>
          <w:szCs w:val="15"/>
          <w:color w:val="auto"/>
        </w:rPr>
      </w:pPr>
    </w:p>
    <w:p>
      <w:pPr>
        <w:jc w:val="both"/>
        <w:ind w:left="7" w:hanging="7"/>
        <w:spacing w:after="0" w:line="269" w:lineRule="auto"/>
        <w:tabs>
          <w:tab w:leader="none" w:pos="32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 on Transfer and Pledge</w:t>
      </w:r>
      <w:r>
        <w:rPr>
          <w:rFonts w:ascii="Times New Roman" w:cs="Times New Roman" w:eastAsia="Times New Roman" w:hAnsi="Times New Roman"/>
          <w:sz w:val="15"/>
          <w:szCs w:val="15"/>
          <w:color w:val="auto"/>
        </w:rPr>
        <w:t>. No right or interest of Grantee in the Units may be pledged, encumbered, or hypothecated to or in favor of any party other than the Company or an Affiliate, or shall be subject to any lien, obligation, or liability of Grantee to any other party other than the Company or an Affiliate. The Units are not assignable or transferable by Grantee other than to a beneficiary or by will or the laws of descent and distribution.</w:t>
      </w:r>
    </w:p>
    <w:p>
      <w:pPr>
        <w:spacing w:after="0" w:line="46" w:lineRule="exact"/>
        <w:rPr>
          <w:rFonts w:ascii="Times New Roman" w:cs="Times New Roman" w:eastAsia="Times New Roman" w:hAnsi="Times New Roman"/>
          <w:sz w:val="15"/>
          <w:szCs w:val="15"/>
          <w:color w:val="auto"/>
        </w:rPr>
      </w:pPr>
    </w:p>
    <w:p>
      <w:pPr>
        <w:jc w:val="both"/>
        <w:ind w:left="7" w:right="20" w:hanging="7"/>
        <w:spacing w:after="0" w:line="260" w:lineRule="auto"/>
        <w:tabs>
          <w:tab w:leader="none" w:pos="3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 on Issuance of Shares</w:t>
      </w:r>
      <w:r>
        <w:rPr>
          <w:rFonts w:ascii="Times New Roman" w:cs="Times New Roman" w:eastAsia="Times New Roman" w:hAnsi="Times New Roman"/>
          <w:sz w:val="15"/>
          <w:szCs w:val="15"/>
          <w:color w:val="auto"/>
        </w:rPr>
        <w:t>. If at any time the Committee shall determine, in its discretion, that registration, listing or qualification of the Shares underlying the Units upon any Exchange or under any foreign, federal, or local law or practice, or the consent or approval of any governmental regulatory body, is necessary or desirable as a condition to the settlement of the Units, the Units will not be converted to Shares in whole or in part unless and until such registration, listing, qualification, consent or approval shall have been effected or obtained free of any conditions not acceptable to the Committee.</w:t>
      </w:r>
    </w:p>
    <w:p>
      <w:pPr>
        <w:spacing w:after="0" w:line="52" w:lineRule="exact"/>
        <w:rPr>
          <w:rFonts w:ascii="Times New Roman" w:cs="Times New Roman" w:eastAsia="Times New Roman" w:hAnsi="Times New Roman"/>
          <w:sz w:val="15"/>
          <w:szCs w:val="15"/>
          <w:color w:val="auto"/>
        </w:rPr>
      </w:pPr>
    </w:p>
    <w:p>
      <w:pPr>
        <w:ind w:left="7" w:right="20" w:hanging="7"/>
        <w:spacing w:after="0" w:line="296" w:lineRule="auto"/>
        <w:tabs>
          <w:tab w:leader="none" w:pos="32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Right of Continued Service</w:t>
      </w:r>
      <w:r>
        <w:rPr>
          <w:rFonts w:ascii="Times New Roman" w:cs="Times New Roman" w:eastAsia="Times New Roman" w:hAnsi="Times New Roman"/>
          <w:sz w:val="15"/>
          <w:szCs w:val="15"/>
          <w:color w:val="auto"/>
        </w:rPr>
        <w:t>. Nothing in this Award Certificate shall interfere with or limit in any way the right of the Company or any Affiliate to terminate Grantee’s service at any time, nor confer upon Grantee any right to continue to provide services to, the Company or any Affiliate.</w:t>
      </w:r>
    </w:p>
    <w:p>
      <w:pPr>
        <w:spacing w:after="0" w:line="26" w:lineRule="exact"/>
        <w:rPr>
          <w:rFonts w:ascii="Times New Roman" w:cs="Times New Roman" w:eastAsia="Times New Roman" w:hAnsi="Times New Roman"/>
          <w:sz w:val="15"/>
          <w:szCs w:val="15"/>
          <w:color w:val="auto"/>
        </w:rPr>
      </w:pPr>
    </w:p>
    <w:p>
      <w:pPr>
        <w:jc w:val="both"/>
        <w:ind w:left="7" w:right="20" w:hanging="7"/>
        <w:spacing w:after="0" w:line="260" w:lineRule="auto"/>
        <w:tabs>
          <w:tab w:leader="none" w:pos="3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Taxes</w:t>
      </w:r>
      <w:r>
        <w:rPr>
          <w:rFonts w:ascii="Times New Roman" w:cs="Times New Roman" w:eastAsia="Times New Roman" w:hAnsi="Times New Roman"/>
          <w:sz w:val="15"/>
          <w:szCs w:val="15"/>
          <w:color w:val="auto"/>
        </w:rPr>
        <w:t>. The Company or any employer Affiliate has the authority and the right to deduct or withhold, from Grantee’s paycheck or otherwise, or require Grantee to remit to the employer, an amount sufficient to satisfy federal, state, and local taxes (including Grantee’s FICA obligation) required by law to be withheld with respect to any taxable event arising in connection with the Units. The withholding requirement may be satisfied, in whole or in part, by withholding from the settlement of the Units Shares having a Fair Market Value on the date of withholding equal to the amount required to be withheld for tax purposes, all in accordance with such procedures as the Committee approves.</w:t>
      </w:r>
    </w:p>
    <w:p>
      <w:pPr>
        <w:spacing w:after="0" w:line="52" w:lineRule="exact"/>
        <w:rPr>
          <w:rFonts w:ascii="Times New Roman" w:cs="Times New Roman" w:eastAsia="Times New Roman" w:hAnsi="Times New Roman"/>
          <w:sz w:val="15"/>
          <w:szCs w:val="15"/>
          <w:color w:val="auto"/>
        </w:rPr>
      </w:pPr>
    </w:p>
    <w:p>
      <w:pPr>
        <w:jc w:val="both"/>
        <w:ind w:left="7" w:hanging="7"/>
        <w:spacing w:after="0" w:line="262" w:lineRule="auto"/>
        <w:tabs>
          <w:tab w:leader="none" w:pos="3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Stockholders Agreement; Registration Rights Agreement</w:t>
      </w:r>
      <w:r>
        <w:rPr>
          <w:rFonts w:ascii="Times New Roman" w:cs="Times New Roman" w:eastAsia="Times New Roman" w:hAnsi="Times New Roman"/>
          <w:sz w:val="15"/>
          <w:szCs w:val="15"/>
          <w:color w:val="auto"/>
        </w:rPr>
        <w:t>. As a condition to the issuance of Shares of Stock hereunder, Grantee agrees that such Shares shall be subject to all of the terms, conditions and restrictions contained in any Stockholders Agreement by and among the Company and the Company’s stockholders and in any Registration Rights Agreement by and among the Company and the Company’s stockholders and that Grantee will become a party to and subject to such Stockholders Agreement and such Registration Rights Agreement.</w:t>
      </w:r>
    </w:p>
    <w:p>
      <w:pPr>
        <w:spacing w:after="0" w:line="247" w:lineRule="exact"/>
        <w:rPr>
          <w:rFonts w:ascii="Times New Roman" w:cs="Times New Roman" w:eastAsia="Times New Roman" w:hAnsi="Times New Roman"/>
          <w:sz w:val="15"/>
          <w:szCs w:val="15"/>
          <w:color w:val="auto"/>
        </w:rPr>
      </w:pPr>
    </w:p>
    <w:p>
      <w:pPr>
        <w:jc w:val="both"/>
        <w:ind w:left="7" w:hanging="7"/>
        <w:spacing w:after="0" w:line="261" w:lineRule="auto"/>
        <w:tabs>
          <w:tab w:leader="none" w:pos="3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Plan Controls</w:t>
      </w:r>
      <w:r>
        <w:rPr>
          <w:rFonts w:ascii="Times New Roman" w:cs="Times New Roman" w:eastAsia="Times New Roman" w:hAnsi="Times New Roman"/>
          <w:sz w:val="15"/>
          <w:szCs w:val="15"/>
          <w:color w:val="auto"/>
        </w:rPr>
        <w:t>. The terms contained in the Plan are incorporated into and made a part of this Award Certificate, and this Award Certificate shall be governed by and construed in accordance with the Plan. In the event of any actual or alleged conflict between the provisions of the Plan and the provisions of this Award Certificate, the provisions of the Plan shall be controlling and determinative.</w:t>
      </w:r>
    </w:p>
    <w:p>
      <w:pPr>
        <w:spacing w:after="0" w:line="51" w:lineRule="exact"/>
        <w:rPr>
          <w:rFonts w:ascii="Times New Roman" w:cs="Times New Roman" w:eastAsia="Times New Roman" w:hAnsi="Times New Roman"/>
          <w:sz w:val="15"/>
          <w:szCs w:val="15"/>
          <w:color w:val="auto"/>
        </w:rPr>
      </w:pPr>
    </w:p>
    <w:p>
      <w:pPr>
        <w:ind w:left="307" w:hanging="307"/>
        <w:spacing w:after="0"/>
        <w:tabs>
          <w:tab w:leader="none" w:pos="307"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 This Award Certificate shall be binding upon any successor of the Company, in accordance with the terms of this Award Certificate and the Plan.</w:t>
      </w:r>
    </w:p>
    <w:p>
      <w:pPr>
        <w:spacing w:after="0" w:line="105" w:lineRule="exact"/>
        <w:rPr>
          <w:rFonts w:ascii="Times New Roman" w:cs="Times New Roman" w:eastAsia="Times New Roman" w:hAnsi="Times New Roman"/>
          <w:sz w:val="15"/>
          <w:szCs w:val="15"/>
          <w:color w:val="auto"/>
        </w:rPr>
      </w:pPr>
    </w:p>
    <w:p>
      <w:pPr>
        <w:ind w:left="7" w:hanging="7"/>
        <w:spacing w:after="0" w:line="280" w:lineRule="auto"/>
        <w:tabs>
          <w:tab w:leader="none" w:pos="3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one or more of the provisions contained in this Award Certificate are invalid, illegal or unenforceable, the other provisions of this Award Certificate will be construed and enforced as if the invalid, illegal or unenforceable provision had never been included.</w:t>
      </w:r>
    </w:p>
    <w:p>
      <w:pPr>
        <w:spacing w:after="0" w:line="38" w:lineRule="exact"/>
        <w:rPr>
          <w:rFonts w:ascii="Times New Roman" w:cs="Times New Roman" w:eastAsia="Times New Roman" w:hAnsi="Times New Roman"/>
          <w:sz w:val="15"/>
          <w:szCs w:val="15"/>
          <w:color w:val="auto"/>
        </w:rPr>
      </w:pPr>
    </w:p>
    <w:p>
      <w:pPr>
        <w:ind w:left="7" w:hanging="7"/>
        <w:spacing w:after="0" w:line="296" w:lineRule="auto"/>
        <w:tabs>
          <w:tab w:leader="none" w:pos="3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Notices hereunder must be in writing, delivered personally or sent by registered or certified U.S. mail, return receipt requested, postage prepaid. Notices to the Company must be addressed to CommScope Holding Company, Inc., 1100 CommScope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7176770"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125" w:right="319" w:bottom="1440" w:gutter="0" w:footer="0" w:header="0"/>
        </w:sectPr>
      </w:pPr>
    </w:p>
    <w:bookmarkStart w:id="44" w:name="page45"/>
    <w:bookmarkEnd w:id="44"/>
    <w:p>
      <w:pPr>
        <w:ind w:left="7" w:right="20"/>
        <w:spacing w:after="0" w:line="280" w:lineRule="auto"/>
        <w:rPr>
          <w:sz w:val="20"/>
          <w:szCs w:val="20"/>
          <w:color w:val="auto"/>
        </w:rPr>
      </w:pPr>
      <w:r>
        <w:rPr>
          <w:rFonts w:ascii="Times New Roman" w:cs="Times New Roman" w:eastAsia="Times New Roman" w:hAnsi="Times New Roman"/>
          <w:sz w:val="15"/>
          <w:szCs w:val="15"/>
          <w:color w:val="auto"/>
        </w:rPr>
        <w:t>Place, SE, Hickory, North Carolina 28602, Attn: Corporate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50" w:lineRule="exact"/>
        <w:rPr>
          <w:sz w:val="20"/>
          <w:szCs w:val="20"/>
          <w:color w:val="auto"/>
        </w:rPr>
      </w:pPr>
    </w:p>
    <w:p>
      <w:pPr>
        <w:ind w:left="7" w:hanging="7"/>
        <w:spacing w:after="0" w:line="280" w:lineRule="auto"/>
        <w:tabs>
          <w:tab w:leader="none" w:pos="31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Compensation Recoupment Policy</w:t>
      </w:r>
      <w:r>
        <w:rPr>
          <w:rFonts w:ascii="Times New Roman" w:cs="Times New Roman" w:eastAsia="Times New Roman" w:hAnsi="Times New Roman"/>
          <w:sz w:val="15"/>
          <w:szCs w:val="15"/>
          <w:color w:val="auto"/>
        </w:rPr>
        <w:t>. The Units and any Stock issued thereunder shall be subject to any compensation recoupment policy of the Company that is applicable by its terms to Grantee and to awards of this type.</w:t>
      </w:r>
    </w:p>
    <w:p>
      <w:pPr>
        <w:spacing w:after="0" w:line="38" w:lineRule="exact"/>
        <w:rPr>
          <w:rFonts w:ascii="Times New Roman" w:cs="Times New Roman" w:eastAsia="Times New Roman" w:hAnsi="Times New Roman"/>
          <w:sz w:val="15"/>
          <w:szCs w:val="15"/>
          <w:color w:val="auto"/>
        </w:rPr>
      </w:pPr>
    </w:p>
    <w:p>
      <w:pPr>
        <w:jc w:val="both"/>
        <w:ind w:left="7" w:hanging="7"/>
        <w:spacing w:after="0" w:line="259" w:lineRule="auto"/>
        <w:tabs>
          <w:tab w:leader="none" w:pos="31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Sell to Cover Policy</w:t>
      </w:r>
      <w:r>
        <w:rPr>
          <w:rFonts w:ascii="Times New Roman" w:cs="Times New Roman" w:eastAsia="Times New Roman" w:hAnsi="Times New Roman"/>
          <w:sz w:val="15"/>
          <w:szCs w:val="15"/>
          <w:color w:val="auto"/>
        </w:rPr>
        <w:t>. By accepting the Units, (i) Grantee agrees that he or she shall be subject to, and consents to the application of, any policy adopted by the Company that requires Grantee to sell Shares to satisfy his or her federal, state, and local tax withholding obligations (including Grantee’s FICA obligation) that arise with respect to this Award (a “sell to cover” policy), and (ii) in connection with any such “sell to cover” policy, Grantee hereby authorizes the plan administrator or other entity designated by the Company in its sole discretion to sell a number of Shares issued in connection with the vesting of the Units, which the Company determines, in its sole discretion, is sufficient to generate an amount to satisfy such tax withholding obligations, and to pay such amounts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176770" cy="400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125"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MANAGEMENT CERTIFICATION</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Charles L. Treadway, certify that:</w:t>
      </w:r>
    </w:p>
    <w:p>
      <w:pPr>
        <w:spacing w:after="0" w:line="187" w:lineRule="exact"/>
        <w:rPr>
          <w:sz w:val="20"/>
          <w:szCs w:val="20"/>
          <w:color w:val="auto"/>
        </w:rPr>
      </w:pPr>
    </w:p>
    <w:p>
      <w:pPr>
        <w:ind w:left="147" w:hanging="147"/>
        <w:spacing w:after="0"/>
        <w:tabs>
          <w:tab w:leader="none" w:pos="147"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CommScope Holding Company, Inc.;</w:t>
      </w:r>
    </w:p>
    <w:p>
      <w:pPr>
        <w:spacing w:after="0" w:line="198" w:lineRule="exact"/>
        <w:rPr>
          <w:rFonts w:ascii="Times New Roman" w:cs="Times New Roman" w:eastAsia="Times New Roman" w:hAnsi="Times New Roman"/>
          <w:sz w:val="15"/>
          <w:szCs w:val="15"/>
          <w:color w:val="auto"/>
        </w:rPr>
      </w:pPr>
    </w:p>
    <w:p>
      <w:pPr>
        <w:ind w:left="7" w:right="140" w:hanging="7"/>
        <w:spacing w:after="0" w:line="280" w:lineRule="auto"/>
        <w:tabs>
          <w:tab w:leader="none" w:pos="162"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5"/>
          <w:szCs w:val="15"/>
          <w:color w:val="auto"/>
        </w:rPr>
      </w:pPr>
    </w:p>
    <w:p>
      <w:pPr>
        <w:ind w:left="7" w:right="240" w:hanging="7"/>
        <w:spacing w:after="0" w:line="296" w:lineRule="auto"/>
        <w:tabs>
          <w:tab w:leader="none" w:pos="162"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5"/>
          <w:szCs w:val="15"/>
          <w:color w:val="auto"/>
        </w:rPr>
      </w:pPr>
    </w:p>
    <w:p>
      <w:pPr>
        <w:ind w:left="147" w:hanging="147"/>
        <w:spacing w:after="0"/>
        <w:tabs>
          <w:tab w:leader="none" w:pos="147"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17" w:lineRule="exact"/>
        <w:rPr>
          <w:rFonts w:ascii="Times New Roman" w:cs="Times New Roman" w:eastAsia="Times New Roman" w:hAnsi="Times New Roman"/>
          <w:sz w:val="15"/>
          <w:szCs w:val="15"/>
          <w:color w:val="auto"/>
        </w:rPr>
      </w:pPr>
    </w:p>
    <w:p>
      <w:pPr>
        <w:ind w:left="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78" w:lineRule="exact"/>
        <w:rPr>
          <w:rFonts w:ascii="Times New Roman" w:cs="Times New Roman" w:eastAsia="Times New Roman" w:hAnsi="Times New Roman"/>
          <w:sz w:val="15"/>
          <w:szCs w:val="15"/>
          <w:color w:val="auto"/>
        </w:rPr>
      </w:pPr>
    </w:p>
    <w:p>
      <w:pPr>
        <w:ind w:left="507" w:right="100" w:firstLine="3"/>
        <w:spacing w:after="0" w:line="269" w:lineRule="auto"/>
        <w:tabs>
          <w:tab w:leader="none" w:pos="666"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5"/>
          <w:szCs w:val="15"/>
          <w:color w:val="auto"/>
        </w:rPr>
      </w:pPr>
    </w:p>
    <w:p>
      <w:pPr>
        <w:ind w:left="507" w:right="40" w:firstLine="3"/>
        <w:spacing w:after="0" w:line="269" w:lineRule="auto"/>
        <w:tabs>
          <w:tab w:leader="none" w:pos="675"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5"/>
          <w:szCs w:val="15"/>
          <w:color w:val="auto"/>
        </w:rPr>
      </w:pPr>
    </w:p>
    <w:p>
      <w:pPr>
        <w:ind w:left="507" w:right="380" w:firstLine="3"/>
        <w:spacing w:after="0" w:line="296" w:lineRule="auto"/>
        <w:tabs>
          <w:tab w:leader="none" w:pos="666"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5"/>
          <w:szCs w:val="15"/>
          <w:color w:val="auto"/>
        </w:rPr>
      </w:pPr>
    </w:p>
    <w:p>
      <w:pPr>
        <w:ind w:left="507" w:right="180" w:firstLine="3"/>
        <w:spacing w:after="0" w:line="269" w:lineRule="auto"/>
        <w:tabs>
          <w:tab w:leader="none" w:pos="675"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5"/>
          <w:szCs w:val="15"/>
          <w:color w:val="auto"/>
        </w:rPr>
      </w:pPr>
    </w:p>
    <w:p>
      <w:pPr>
        <w:ind w:left="7" w:right="280" w:hanging="7"/>
        <w:spacing w:after="0" w:line="280" w:lineRule="auto"/>
        <w:tabs>
          <w:tab w:leader="none" w:pos="162"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5"/>
          <w:szCs w:val="15"/>
          <w:color w:val="auto"/>
        </w:rPr>
      </w:pPr>
    </w:p>
    <w:p>
      <w:pPr>
        <w:ind w:left="507" w:right="220" w:firstLine="3"/>
        <w:spacing w:after="0" w:line="280" w:lineRule="auto"/>
        <w:tabs>
          <w:tab w:leader="none" w:pos="666"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5"/>
          <w:szCs w:val="15"/>
          <w:color w:val="auto"/>
        </w:rPr>
      </w:pPr>
    </w:p>
    <w:p>
      <w:pPr>
        <w:ind w:left="687" w:hanging="177"/>
        <w:spacing w:after="0"/>
        <w:tabs>
          <w:tab w:leader="none" w:pos="687"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Dated: May 4, 2022</w:t>
      </w:r>
    </w:p>
    <w:p>
      <w:pPr>
        <w:spacing w:after="0" w:line="23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 Charles L. Treadway</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Name:</w:t>
            </w:r>
          </w:p>
        </w:tc>
        <w:tc>
          <w:tcPr>
            <w:tcW w:w="39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Charles L. Treadway</w:t>
            </w:r>
          </w:p>
        </w:tc>
        <w:tc>
          <w:tcPr>
            <w:tcW w:w="6760" w:type="dxa"/>
            <w:vAlign w:val="bottom"/>
          </w:tcPr>
          <w:p>
            <w:pPr>
              <w:spacing w:after="0"/>
              <w:rPr>
                <w:sz w:val="15"/>
                <w:szCs w:val="15"/>
                <w:color w:val="auto"/>
              </w:rPr>
            </w:pPr>
          </w:p>
        </w:tc>
      </w:tr>
      <w:tr>
        <w:trPr>
          <w:trHeight w:val="162"/>
        </w:trPr>
        <w:tc>
          <w:tcPr>
            <w:tcW w:w="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Title:</w:t>
            </w:r>
          </w:p>
        </w:tc>
        <w:tc>
          <w:tcPr>
            <w:tcW w:w="3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President, Chief Executive Officer and Director (Principal</w:t>
            </w:r>
          </w:p>
        </w:tc>
        <w:tc>
          <w:tcPr>
            <w:tcW w:w="6760" w:type="dxa"/>
            <w:vAlign w:val="bottom"/>
          </w:tcPr>
          <w:p>
            <w:pPr>
              <w:spacing w:after="0"/>
              <w:rPr>
                <w:sz w:val="14"/>
                <w:szCs w:val="14"/>
                <w:color w:val="auto"/>
              </w:rPr>
            </w:pPr>
          </w:p>
        </w:tc>
      </w:tr>
      <w:tr>
        <w:trPr>
          <w:trHeight w:val="200"/>
        </w:trPr>
        <w:tc>
          <w:tcPr>
            <w:tcW w:w="560" w:type="dxa"/>
            <w:vAlign w:val="bottom"/>
          </w:tcPr>
          <w:p>
            <w:pPr>
              <w:spacing w:after="0"/>
              <w:rPr>
                <w:sz w:val="17"/>
                <w:szCs w:val="17"/>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Executive Officer)</w:t>
            </w:r>
          </w:p>
        </w:tc>
        <w:tc>
          <w:tcPr>
            <w:tcW w:w="6760" w:type="dxa"/>
            <w:vAlign w:val="bottom"/>
          </w:tcPr>
          <w:p>
            <w:pPr>
              <w:spacing w:after="0"/>
              <w:rPr>
                <w:sz w:val="17"/>
                <w:szCs w:val="17"/>
                <w:color w:val="auto"/>
              </w:rPr>
            </w:pPr>
          </w:p>
        </w:tc>
      </w:tr>
      <w:tr>
        <w:trPr>
          <w:trHeight w:val="444"/>
        </w:trPr>
        <w:tc>
          <w:tcPr>
            <w:tcW w:w="5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295"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MANAGEMENT CERTIFICATION</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Kyle D. Lorentzen, certify that:</w:t>
      </w:r>
    </w:p>
    <w:p>
      <w:pPr>
        <w:spacing w:after="0" w:line="187" w:lineRule="exact"/>
        <w:rPr>
          <w:sz w:val="20"/>
          <w:szCs w:val="20"/>
          <w:color w:val="auto"/>
        </w:rPr>
      </w:pPr>
    </w:p>
    <w:p>
      <w:pPr>
        <w:ind w:left="147" w:hanging="147"/>
        <w:spacing w:after="0"/>
        <w:tabs>
          <w:tab w:leader="none" w:pos="14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CommScope Holding Company, Inc.;</w:t>
      </w:r>
    </w:p>
    <w:p>
      <w:pPr>
        <w:spacing w:after="0" w:line="198" w:lineRule="exact"/>
        <w:rPr>
          <w:rFonts w:ascii="Times New Roman" w:cs="Times New Roman" w:eastAsia="Times New Roman" w:hAnsi="Times New Roman"/>
          <w:sz w:val="15"/>
          <w:szCs w:val="15"/>
          <w:color w:val="auto"/>
        </w:rPr>
      </w:pPr>
    </w:p>
    <w:p>
      <w:pPr>
        <w:ind w:left="7" w:right="140" w:hanging="7"/>
        <w:spacing w:after="0" w:line="280" w:lineRule="auto"/>
        <w:tabs>
          <w:tab w:leader="none" w:pos="162"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5"/>
          <w:szCs w:val="15"/>
          <w:color w:val="auto"/>
        </w:rPr>
      </w:pPr>
    </w:p>
    <w:p>
      <w:pPr>
        <w:ind w:left="7" w:right="240" w:hanging="7"/>
        <w:spacing w:after="0" w:line="296" w:lineRule="auto"/>
        <w:tabs>
          <w:tab w:leader="none" w:pos="162"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5"/>
          <w:szCs w:val="15"/>
          <w:color w:val="auto"/>
        </w:rPr>
      </w:pPr>
    </w:p>
    <w:p>
      <w:pPr>
        <w:ind w:left="147" w:hanging="147"/>
        <w:spacing w:after="0"/>
        <w:tabs>
          <w:tab w:leader="none" w:pos="14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17" w:lineRule="exact"/>
        <w:rPr>
          <w:rFonts w:ascii="Times New Roman" w:cs="Times New Roman" w:eastAsia="Times New Roman" w:hAnsi="Times New Roman"/>
          <w:sz w:val="15"/>
          <w:szCs w:val="15"/>
          <w:color w:val="auto"/>
        </w:rPr>
      </w:pPr>
    </w:p>
    <w:p>
      <w:pPr>
        <w:ind w:left="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78" w:lineRule="exact"/>
        <w:rPr>
          <w:rFonts w:ascii="Times New Roman" w:cs="Times New Roman" w:eastAsia="Times New Roman" w:hAnsi="Times New Roman"/>
          <w:sz w:val="15"/>
          <w:szCs w:val="15"/>
          <w:color w:val="auto"/>
        </w:rPr>
      </w:pPr>
    </w:p>
    <w:p>
      <w:pPr>
        <w:ind w:left="507" w:right="100" w:firstLine="3"/>
        <w:spacing w:after="0" w:line="269" w:lineRule="auto"/>
        <w:tabs>
          <w:tab w:leader="none" w:pos="666"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5"/>
          <w:szCs w:val="15"/>
          <w:color w:val="auto"/>
        </w:rPr>
      </w:pPr>
    </w:p>
    <w:p>
      <w:pPr>
        <w:ind w:left="507" w:right="40" w:firstLine="3"/>
        <w:spacing w:after="0" w:line="269" w:lineRule="auto"/>
        <w:tabs>
          <w:tab w:leader="none" w:pos="675"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5"/>
          <w:szCs w:val="15"/>
          <w:color w:val="auto"/>
        </w:rPr>
      </w:pPr>
    </w:p>
    <w:p>
      <w:pPr>
        <w:ind w:left="507" w:right="380" w:firstLine="3"/>
        <w:spacing w:after="0" w:line="296" w:lineRule="auto"/>
        <w:tabs>
          <w:tab w:leader="none" w:pos="666"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5"/>
          <w:szCs w:val="15"/>
          <w:color w:val="auto"/>
        </w:rPr>
      </w:pPr>
    </w:p>
    <w:p>
      <w:pPr>
        <w:ind w:left="507" w:right="180" w:firstLine="3"/>
        <w:spacing w:after="0" w:line="269" w:lineRule="auto"/>
        <w:tabs>
          <w:tab w:leader="none" w:pos="675"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5"/>
          <w:szCs w:val="15"/>
          <w:color w:val="auto"/>
        </w:rPr>
      </w:pPr>
    </w:p>
    <w:p>
      <w:pPr>
        <w:ind w:left="7" w:right="280" w:hanging="7"/>
        <w:spacing w:after="0" w:line="280" w:lineRule="auto"/>
        <w:tabs>
          <w:tab w:leader="none" w:pos="162"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5"/>
          <w:szCs w:val="15"/>
          <w:color w:val="auto"/>
        </w:rPr>
      </w:pPr>
    </w:p>
    <w:p>
      <w:pPr>
        <w:ind w:left="507" w:right="220" w:firstLine="3"/>
        <w:spacing w:after="0" w:line="280" w:lineRule="auto"/>
        <w:tabs>
          <w:tab w:leader="none" w:pos="666"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5"/>
          <w:szCs w:val="15"/>
          <w:color w:val="auto"/>
        </w:rPr>
      </w:pPr>
    </w:p>
    <w:p>
      <w:pPr>
        <w:ind w:left="687" w:hanging="177"/>
        <w:spacing w:after="0"/>
        <w:tabs>
          <w:tab w:leader="none" w:pos="687"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Dated: May 4, 2022</w:t>
      </w:r>
    </w:p>
    <w:p>
      <w:pPr>
        <w:spacing w:after="0" w:line="23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 Kyle D. Lorentzen</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Name:</w:t>
            </w:r>
          </w:p>
        </w:tc>
        <w:tc>
          <w:tcPr>
            <w:tcW w:w="39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Kyle D. Lorentzen</w:t>
            </w:r>
          </w:p>
        </w:tc>
        <w:tc>
          <w:tcPr>
            <w:tcW w:w="6760" w:type="dxa"/>
            <w:vAlign w:val="bottom"/>
          </w:tcPr>
          <w:p>
            <w:pPr>
              <w:spacing w:after="0"/>
              <w:rPr>
                <w:sz w:val="15"/>
                <w:szCs w:val="15"/>
                <w:color w:val="auto"/>
              </w:rPr>
            </w:pPr>
          </w:p>
        </w:tc>
      </w:tr>
      <w:tr>
        <w:trPr>
          <w:trHeight w:val="162"/>
        </w:trPr>
        <w:tc>
          <w:tcPr>
            <w:tcW w:w="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Title:</w:t>
            </w:r>
          </w:p>
        </w:tc>
        <w:tc>
          <w:tcPr>
            <w:tcW w:w="39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Executive Vice President and Chief Financial Officer</w:t>
            </w:r>
          </w:p>
        </w:tc>
        <w:tc>
          <w:tcPr>
            <w:tcW w:w="6760" w:type="dxa"/>
            <w:vAlign w:val="bottom"/>
          </w:tcPr>
          <w:p>
            <w:pPr>
              <w:spacing w:after="0"/>
              <w:rPr>
                <w:sz w:val="14"/>
                <w:szCs w:val="14"/>
                <w:color w:val="auto"/>
              </w:rPr>
            </w:pPr>
          </w:p>
        </w:tc>
      </w:tr>
      <w:tr>
        <w:trPr>
          <w:trHeight w:val="200"/>
        </w:trPr>
        <w:tc>
          <w:tcPr>
            <w:tcW w:w="560" w:type="dxa"/>
            <w:vAlign w:val="bottom"/>
          </w:tcPr>
          <w:p>
            <w:pPr>
              <w:spacing w:after="0"/>
              <w:rPr>
                <w:sz w:val="17"/>
                <w:szCs w:val="17"/>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(Principal Financial Officer)</w:t>
            </w:r>
          </w:p>
        </w:tc>
        <w:tc>
          <w:tcPr>
            <w:tcW w:w="6760" w:type="dxa"/>
            <w:vAlign w:val="bottom"/>
          </w:tcPr>
          <w:p>
            <w:pPr>
              <w:spacing w:after="0"/>
              <w:rPr>
                <w:sz w:val="17"/>
                <w:szCs w:val="17"/>
                <w:color w:val="auto"/>
              </w:rPr>
            </w:pPr>
          </w:p>
        </w:tc>
      </w:tr>
      <w:tr>
        <w:trPr>
          <w:trHeight w:val="444"/>
        </w:trPr>
        <w:tc>
          <w:tcPr>
            <w:tcW w:w="5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295"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3" w:lineRule="exact"/>
        <w:rPr>
          <w:sz w:val="20"/>
          <w:szCs w:val="20"/>
          <w:color w:val="auto"/>
        </w:rPr>
      </w:pPr>
    </w:p>
    <w:p>
      <w:pPr>
        <w:ind w:left="7" w:right="240"/>
        <w:spacing w:after="0" w:line="269" w:lineRule="auto"/>
        <w:rPr>
          <w:sz w:val="20"/>
          <w:szCs w:val="20"/>
          <w:color w:val="auto"/>
        </w:rPr>
      </w:pPr>
      <w:r>
        <w:rPr>
          <w:rFonts w:ascii="Times New Roman" w:cs="Times New Roman" w:eastAsia="Times New Roman" w:hAnsi="Times New Roman"/>
          <w:sz w:val="15"/>
          <w:szCs w:val="15"/>
          <w:color w:val="auto"/>
        </w:rPr>
        <w:t>In connection with the Quarterly Report of CommScope Holding Company, Inc. (the “Company”) on Form 10-Q for the quarter ended March 31, 2022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spacing w:after="0" w:line="139" w:lineRule="exact"/>
        <w:rPr>
          <w:sz w:val="20"/>
          <w:szCs w:val="20"/>
          <w:color w:val="auto"/>
        </w:rPr>
      </w:pPr>
    </w:p>
    <w:p>
      <w:pPr>
        <w:ind w:left="147" w:hanging="147"/>
        <w:spacing w:after="0"/>
        <w:tabs>
          <w:tab w:leader="none" w:pos="147"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7" w:lineRule="exact"/>
        <w:rPr>
          <w:rFonts w:ascii="Times New Roman" w:cs="Times New Roman" w:eastAsia="Times New Roman" w:hAnsi="Times New Roman"/>
          <w:sz w:val="15"/>
          <w:szCs w:val="15"/>
          <w:color w:val="auto"/>
        </w:rPr>
      </w:pPr>
    </w:p>
    <w:p>
      <w:pPr>
        <w:ind w:left="7" w:right="2140" w:hanging="7"/>
        <w:spacing w:after="0" w:line="516" w:lineRule="auto"/>
        <w:tabs>
          <w:tab w:leader="none" w:pos="15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Dated: May 4, 2022</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 Charles L. Treadway</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21119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11195" cy="7620"/>
                    </a:xfrm>
                    <a:prstGeom prst="rect">
                      <a:avLst/>
                    </a:prstGeom>
                    <a:noFill/>
                  </pic:spPr>
                </pic:pic>
              </a:graphicData>
            </a:graphic>
          </wp:anchor>
        </w:drawing>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1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 Kyle D. Lorentzen</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21119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11195" cy="7620"/>
                    </a:xfrm>
                    <a:prstGeom prst="rect">
                      <a:avLst/>
                    </a:prstGeom>
                    <a:noFill/>
                  </pic:spPr>
                </pic:pic>
              </a:graphicData>
            </a:graphic>
          </wp:anchor>
        </w:drawing>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511175</wp:posOffset>
            </wp:positionV>
            <wp:extent cx="7176770" cy="40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295" w:right="31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04"/>
    </w:lvl>
    <w:lvl w:ilvl="1">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Letter"/>
      <w:start w:val="1"/>
    </w:lvl>
    <w:lvl w:ilvl="1">
      <w:lvlJc w:val="left"/>
      <w:lvlText w:val="(%2)"/>
      <w:numFmt w:val="lowerRoman"/>
      <w:start w:val="1"/>
    </w:lvl>
  </w:abstractNum>
  <w:abstractNum w:abstractNumId="13">
    <w:nsid w:val="431BD7B7"/>
    <w:multiLevelType w:val="hybridMultilevel"/>
    <w:lvl w:ilvl="0">
      <w:lvlJc w:val="left"/>
      <w:lvlText w:val="(%1)"/>
      <w:numFmt w:val="lowerLetter"/>
      <w:start w:val="3"/>
    </w:lvl>
    <w:lvl w:ilvl="1">
      <w:lvlJc w:val="left"/>
      <w:lvlText w:val="(%2)"/>
      <w:numFmt w:val="lowerRoman"/>
      <w:start w:val="1"/>
    </w:lvl>
  </w:abstractNum>
  <w:abstractNum w:abstractNumId="14">
    <w:nsid w:val="3F2DBA31"/>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61"/>
    </w:lvl>
  </w:abstractNum>
  <w:abstractNum w:abstractNumId="15">
    <w:nsid w:val="7C83E458"/>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1"/>
    </w:lvl>
  </w:abstractNum>
  <w:abstractNum w:abstractNumId="16">
    <w:nsid w:val="257130A3"/>
    <w:multiLevelType w:val="hybridMultilevel"/>
    <w:lvl w:ilvl="0">
      <w:lvlJc w:val="left"/>
      <w:lvlText w:val="(%1)"/>
      <w:numFmt w:val="upperLetter"/>
      <w:start w:val="2"/>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15"/>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2022-05-05T05:44:49Z</dcterms:created>
  <dcterms:modified xsi:type="dcterms:W3CDTF">2022-05-05T05:44:49Z</dcterms:modified>
</cp:coreProperties>
</file>