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523240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534670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jc w:val="center"/>
        <w:ind w:right="12"/>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-146050</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5" w:lineRule="exact"/>
        <w:rPr>
          <w:sz w:val="24"/>
          <w:szCs w:val="24"/>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33" w:lineRule="exact"/>
        <w:rPr>
          <w:rFonts w:ascii="MS PGothic" w:cs="MS PGothic" w:eastAsia="MS PGothic" w:hAnsi="MS PGothic"/>
          <w:sz w:val="12"/>
          <w:szCs w:val="12"/>
          <w:color w:val="auto"/>
          <w:highlight w:val="black"/>
        </w:rPr>
      </w:pPr>
    </w:p>
    <w:p>
      <w:pPr>
        <w:ind w:left="4328"/>
        <w:spacing w:after="0"/>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For the quarterly period ended September 30, 2026</w:t>
      </w:r>
    </w:p>
    <w:p>
      <w:pPr>
        <w:spacing w:after="0" w:line="42"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37" w:lineRule="exact"/>
        <w:rPr>
          <w:sz w:val="24"/>
          <w:szCs w:val="24"/>
          <w:color w:val="auto"/>
        </w:rPr>
      </w:pPr>
    </w:p>
    <w:p>
      <w:pPr>
        <w:ind w:left="568" w:hanging="568"/>
        <w:spacing w:after="0"/>
        <w:tabs>
          <w:tab w:leader="none" w:pos="568"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1308"/>
          </w:cols>
          <w:pgMar w:left="292" w:top="864" w:right="299" w:bottom="1440" w:gutter="0" w:footer="0" w:header="0"/>
        </w:sectPr>
      </w:pPr>
    </w:p>
    <w:p>
      <w:pPr>
        <w:spacing w:after="0" w:line="27" w:lineRule="exact"/>
        <w:rPr>
          <w:sz w:val="24"/>
          <w:szCs w:val="24"/>
          <w:color w:val="auto"/>
        </w:rPr>
      </w:pPr>
    </w:p>
    <w:p>
      <w:pPr>
        <w:ind w:left="4428"/>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48" w:lineRule="exact"/>
        <w:rPr>
          <w:sz w:val="24"/>
          <w:szCs w:val="24"/>
          <w:color w:val="auto"/>
        </w:rPr>
      </w:pPr>
    </w:p>
    <w:p>
      <w:pPr>
        <w:sectPr>
          <w:pgSz w:w="11900" w:h="16838" w:orient="portrait"/>
          <w:cols w:equalWidth="0" w:num="2">
            <w:col w:w="5988" w:space="420"/>
            <w:col w:w="4900"/>
          </w:cols>
          <w:pgMar w:left="292" w:top="864" w:right="299" w:bottom="1440" w:gutter="0" w:footer="0" w:header="0"/>
          <w:type w:val="continuous"/>
        </w:sectPr>
      </w:pPr>
    </w:p>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Commission file number 001-36146</w:t>
      </w:r>
    </w:p>
    <w:p>
      <w:pPr>
        <w:sectPr>
          <w:pgSz w:w="11900" w:h="16838" w:orient="portrait"/>
          <w:cols w:equalWidth="0" w:num="1">
            <w:col w:w="11308"/>
          </w:cols>
          <w:pgMar w:left="292" w:top="864" w:right="299" w:bottom="1440" w:gutter="0" w:footer="0" w:header="0"/>
          <w:type w:val="continuous"/>
        </w:sectPr>
      </w:pPr>
    </w:p>
    <w:p>
      <w:pPr>
        <w:spacing w:after="0" w:line="95" w:lineRule="exact"/>
        <w:rPr>
          <w:sz w:val="24"/>
          <w:szCs w:val="24"/>
          <w:color w:val="auto"/>
        </w:rPr>
      </w:pPr>
    </w:p>
    <w:tbl>
      <w:tblPr>
        <w:tblLayout w:type="fixed"/>
        <w:tblInd w:w="8" w:type="dxa"/>
        <w:tblCellMar>
          <w:top w:w="0" w:type="dxa"/>
          <w:left w:w="0" w:type="dxa"/>
          <w:bottom w:w="0" w:type="dxa"/>
          <w:right w:w="0" w:type="dxa"/>
        </w:tblCellMar>
      </w:tblPr>
      <w:tr>
        <w:trPr>
          <w:trHeight w:val="20"/>
        </w:trPr>
        <w:tc>
          <w:tcPr>
            <w:tcW w:w="43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2920" w:type="dxa"/>
            <w:vAlign w:val="bottom"/>
            <w:gridSpan w:val="4"/>
          </w:tcPr>
          <w:p>
            <w:pPr>
              <w:spacing w:after="0" w:line="271" w:lineRule="exact"/>
              <w:rPr>
                <w:sz w:val="20"/>
                <w:szCs w:val="20"/>
                <w:color w:val="auto"/>
              </w:rPr>
            </w:pPr>
            <w:r>
              <w:rPr>
                <w:rFonts w:ascii="Times New Roman" w:cs="Times New Roman" w:eastAsia="Times New Roman" w:hAnsi="Times New Roman"/>
                <w:sz w:val="26"/>
                <w:szCs w:val="26"/>
                <w:b w:val="1"/>
                <w:bCs w:val="1"/>
                <w:color w:val="auto"/>
              </w:rPr>
              <w:t>Vistance Networks, Inc.</w:t>
            </w:r>
          </w:p>
        </w:tc>
        <w:tc>
          <w:tcPr>
            <w:tcW w:w="3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3120" w:type="dxa"/>
            <w:vAlign w:val="bottom"/>
            <w:gridSpan w:val="6"/>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c>
          <w:tcPr>
            <w:tcW w:w="3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300" w:type="dxa"/>
            <w:vAlign w:val="bottom"/>
            <w:vMerge w:val="restart"/>
          </w:tcPr>
          <w:p>
            <w:pPr>
              <w:jc w:val="center"/>
              <w:ind w:left="128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3880" w:type="dxa"/>
            <w:vAlign w:val="bottom"/>
            <w:vMerge w:val="restart"/>
          </w:tcPr>
          <w:p>
            <w:pPr>
              <w:jc w:val="center"/>
              <w:ind w:right="1728"/>
              <w:spacing w:after="0"/>
              <w:rPr>
                <w:sz w:val="20"/>
                <w:szCs w:val="20"/>
                <w:color w:val="auto"/>
              </w:rPr>
            </w:pPr>
            <w:r>
              <w:rPr>
                <w:rFonts w:ascii="Times New Roman" w:cs="Times New Roman" w:eastAsia="Times New Roman" w:hAnsi="Times New Roman"/>
                <w:sz w:val="12"/>
                <w:szCs w:val="12"/>
                <w:b w:val="1"/>
                <w:bCs w:val="1"/>
                <w:color w:val="auto"/>
                <w:w w:val="99"/>
              </w:rPr>
              <w:t>27-4332098</w:t>
            </w:r>
          </w:p>
        </w:tc>
        <w:tc>
          <w:tcPr>
            <w:tcW w:w="0" w:type="dxa"/>
            <w:vAlign w:val="bottom"/>
          </w:tcPr>
          <w:p>
            <w:pPr>
              <w:spacing w:after="0"/>
              <w:rPr>
                <w:sz w:val="1"/>
                <w:szCs w:val="1"/>
                <w:color w:val="auto"/>
              </w:rPr>
            </w:pPr>
          </w:p>
        </w:tc>
      </w:tr>
      <w:tr>
        <w:trPr>
          <w:trHeight w:val="117"/>
        </w:trPr>
        <w:tc>
          <w:tcPr>
            <w:tcW w:w="4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300" w:type="dxa"/>
            <w:vAlign w:val="bottom"/>
          </w:tcPr>
          <w:p>
            <w:pPr>
              <w:jc w:val="center"/>
              <w:ind w:left="1288"/>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80" w:type="dxa"/>
            <w:vAlign w:val="bottom"/>
          </w:tcPr>
          <w:p>
            <w:pPr>
              <w:jc w:val="center"/>
              <w:ind w:right="1728"/>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25"/>
        </w:trPr>
        <w:tc>
          <w:tcPr>
            <w:tcW w:w="4300" w:type="dxa"/>
            <w:vAlign w:val="bottom"/>
          </w:tcPr>
          <w:p>
            <w:pPr>
              <w:jc w:val="center"/>
              <w:ind w:left="1288"/>
              <w:spacing w:after="0"/>
              <w:rPr>
                <w:sz w:val="20"/>
                <w:szCs w:val="20"/>
                <w:color w:val="auto"/>
              </w:rPr>
            </w:pPr>
            <w:r>
              <w:rPr>
                <w:rFonts w:ascii="Times New Roman" w:cs="Times New Roman" w:eastAsia="Times New Roman" w:hAnsi="Times New Roman"/>
                <w:sz w:val="10"/>
                <w:szCs w:val="10"/>
                <w:b w:val="1"/>
                <w:bCs w:val="1"/>
                <w:color w:val="auto"/>
                <w:w w:val="94"/>
              </w:rPr>
              <w:t>incorporation or organization)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4"/>
            <w:vMerge w:val="restart"/>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2601 Telecom Parkway</w:t>
            </w:r>
          </w:p>
        </w:tc>
        <w:tc>
          <w:tcPr>
            <w:tcW w:w="3880" w:type="dxa"/>
            <w:vAlign w:val="bottom"/>
          </w:tcPr>
          <w:p>
            <w:pPr>
              <w:jc w:val="center"/>
              <w:ind w:right="1728"/>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0" w:type="dxa"/>
            <w:vAlign w:val="bottom"/>
          </w:tcPr>
          <w:p>
            <w:pPr>
              <w:spacing w:after="0"/>
              <w:rPr>
                <w:sz w:val="1"/>
                <w:szCs w:val="1"/>
                <w:color w:val="auto"/>
              </w:rPr>
            </w:pPr>
          </w:p>
        </w:tc>
      </w:tr>
      <w:tr>
        <w:trPr>
          <w:trHeight w:val="128"/>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20" w:type="dxa"/>
            <w:vAlign w:val="bottom"/>
            <w:gridSpan w:val="4"/>
            <w:vMerge w:val="continue"/>
          </w:tcPr>
          <w:p>
            <w:pPr>
              <w:spacing w:after="0"/>
              <w:rPr>
                <w:sz w:val="11"/>
                <w:szCs w:val="11"/>
                <w:color w:val="auto"/>
              </w:rPr>
            </w:pPr>
          </w:p>
        </w:tc>
        <w:tc>
          <w:tcPr>
            <w:tcW w:w="3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4"/>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Richardson, Texas</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4"/>
          </w:tcPr>
          <w:p>
            <w:pPr>
              <w:jc w:val="center"/>
              <w:ind w:right="620"/>
              <w:spacing w:after="0" w:line="101" w:lineRule="exact"/>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3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800" w:type="dxa"/>
            <w:vAlign w:val="bottom"/>
            <w:gridSpan w:val="3"/>
          </w:tcPr>
          <w:p>
            <w:pPr>
              <w:jc w:val="right"/>
              <w:ind w:right="239"/>
              <w:spacing w:after="0"/>
              <w:rPr>
                <w:sz w:val="20"/>
                <w:szCs w:val="20"/>
                <w:color w:val="auto"/>
              </w:rPr>
            </w:pPr>
            <w:r>
              <w:rPr>
                <w:rFonts w:ascii="Times New Roman" w:cs="Times New Roman" w:eastAsia="Times New Roman" w:hAnsi="Times New Roman"/>
                <w:sz w:val="12"/>
                <w:szCs w:val="12"/>
                <w:b w:val="1"/>
                <w:bCs w:val="1"/>
                <w:color w:val="auto"/>
              </w:rPr>
              <w:t>75082</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4"/>
          </w:tcPr>
          <w:p>
            <w:pPr>
              <w:jc w:val="center"/>
              <w:ind w:right="620"/>
              <w:spacing w:after="0" w:line="101" w:lineRule="exact"/>
              <w:rPr>
                <w:sz w:val="20"/>
                <w:szCs w:val="20"/>
                <w:color w:val="auto"/>
              </w:rPr>
            </w:pPr>
            <w:r>
              <w:rPr>
                <w:rFonts w:ascii="Times New Roman" w:cs="Times New Roman" w:eastAsia="Times New Roman" w:hAnsi="Times New Roman"/>
                <w:sz w:val="10"/>
                <w:szCs w:val="10"/>
                <w:b w:val="1"/>
                <w:bCs w:val="1"/>
                <w:color w:val="auto"/>
                <w:w w:val="96"/>
              </w:rPr>
              <w:t>(Zip code)</w:t>
            </w:r>
          </w:p>
        </w:tc>
        <w:tc>
          <w:tcPr>
            <w:tcW w:w="3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80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(972) 952-9700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4"/>
          </w:tcPr>
          <w:p>
            <w:pPr>
              <w:jc w:val="center"/>
              <w:ind w:right="620"/>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3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4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gridSpan w:val="4"/>
            <w:vMerge w:val="restart"/>
          </w:tcPr>
          <w:p>
            <w:pPr>
              <w:jc w:val="center"/>
              <w:ind w:right="142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4300" w:type="dxa"/>
            <w:vAlign w:val="bottom"/>
            <w:vMerge w:val="restart"/>
          </w:tcPr>
          <w:p>
            <w:pPr>
              <w:ind w:left="178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3880" w:type="dxa"/>
            <w:vAlign w:val="bottom"/>
            <w:vMerge w:val="restart"/>
          </w:tcPr>
          <w:p>
            <w:pPr>
              <w:jc w:val="center"/>
              <w:ind w:right="1168"/>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c>
          <w:tcPr>
            <w:tcW w:w="0" w:type="dxa"/>
            <w:vAlign w:val="bottom"/>
          </w:tcPr>
          <w:p>
            <w:pPr>
              <w:spacing w:after="0"/>
              <w:rPr>
                <w:sz w:val="1"/>
                <w:szCs w:val="1"/>
                <w:color w:val="auto"/>
              </w:rPr>
            </w:pPr>
          </w:p>
        </w:tc>
      </w:tr>
      <w:tr>
        <w:trPr>
          <w:trHeight w:val="115"/>
        </w:trPr>
        <w:tc>
          <w:tcPr>
            <w:tcW w:w="4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4"/>
          </w:tcPr>
          <w:p>
            <w:pPr>
              <w:jc w:val="center"/>
              <w:ind w:right="140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3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Common Stock, par value $0.01 per share</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1"/>
                <w:szCs w:val="11"/>
                <w:color w:val="auto"/>
                <w:w w:val="93"/>
              </w:rPr>
              <w:t>VISN</w:t>
            </w:r>
          </w:p>
        </w:tc>
        <w:tc>
          <w:tcPr>
            <w:tcW w:w="120" w:type="dxa"/>
            <w:vAlign w:val="bottom"/>
          </w:tcPr>
          <w:p>
            <w:pPr>
              <w:spacing w:after="0"/>
              <w:rPr>
                <w:sz w:val="11"/>
                <w:szCs w:val="11"/>
                <w:color w:val="auto"/>
              </w:rPr>
            </w:pPr>
          </w:p>
        </w:tc>
        <w:tc>
          <w:tcPr>
            <w:tcW w:w="1200" w:type="dxa"/>
            <w:vAlign w:val="bottom"/>
            <w:tcBorders>
              <w:top w:val="single" w:sz="8" w:color="auto"/>
            </w:tcBorders>
            <w:gridSpan w:val="2"/>
          </w:tcPr>
          <w:p>
            <w:pPr>
              <w:spacing w:after="0"/>
              <w:rPr>
                <w:sz w:val="11"/>
                <w:szCs w:val="11"/>
                <w:color w:val="auto"/>
              </w:rPr>
            </w:pPr>
          </w:p>
        </w:tc>
        <w:tc>
          <w:tcPr>
            <w:tcW w:w="3880" w:type="dxa"/>
            <w:vAlign w:val="bottom"/>
            <w:tcBorders>
              <w:top w:val="single" w:sz="8" w:color="auto"/>
            </w:tcBorders>
          </w:tcPr>
          <w:p>
            <w:pPr>
              <w:jc w:val="center"/>
              <w:ind w:right="1168"/>
              <w:spacing w:after="0"/>
              <w:rPr>
                <w:sz w:val="20"/>
                <w:szCs w:val="20"/>
                <w:color w:val="auto"/>
              </w:rPr>
            </w:pPr>
            <w:r>
              <w:rPr>
                <w:rFonts w:ascii="Times New Roman" w:cs="Times New Roman" w:eastAsia="Times New Roman" w:hAnsi="Times New Roman"/>
                <w:sz w:val="11"/>
                <w:szCs w:val="11"/>
                <w:color w:val="auto"/>
                <w:w w:val="98"/>
              </w:rPr>
              <w:t>The NASDAQ Stock Market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left="8"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6"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5" w:lineRule="exact"/>
        <w:rPr>
          <w:sz w:val="24"/>
          <w:szCs w:val="24"/>
          <w:color w:val="auto"/>
        </w:rPr>
      </w:pPr>
    </w:p>
    <w:p>
      <w:pPr>
        <w:ind w:left="8" w:right="40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8"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920" w:type="dxa"/>
            <w:vAlign w:val="bottom"/>
          </w:tcPr>
          <w:p>
            <w:pPr>
              <w:ind w:left="660"/>
              <w:spacing w:after="0" w:line="121" w:lineRule="exact"/>
              <w:rPr>
                <w:sz w:val="20"/>
                <w:szCs w:val="20"/>
                <w:color w:val="auto"/>
              </w:rPr>
            </w:pPr>
            <w:r>
              <w:rPr>
                <w:rFonts w:ascii="MS PGothic" w:cs="MS PGothic" w:eastAsia="MS PGothic" w:hAnsi="MS PGothic"/>
                <w:sz w:val="12"/>
                <w:szCs w:val="12"/>
                <w:color w:val="auto"/>
              </w:rPr>
              <w:t>☒</w:t>
            </w:r>
          </w:p>
        </w:tc>
        <w:tc>
          <w:tcPr>
            <w:tcW w:w="4940" w:type="dxa"/>
            <w:vAlign w:val="bottom"/>
          </w:tcPr>
          <w:p>
            <w:pPr>
              <w:ind w:left="2160"/>
              <w:spacing w:after="0"/>
              <w:rPr>
                <w:sz w:val="20"/>
                <w:szCs w:val="20"/>
                <w:color w:val="auto"/>
              </w:rPr>
            </w:pPr>
            <w:r>
              <w:rPr>
                <w:rFonts w:ascii="Times New Roman" w:cs="Times New Roman" w:eastAsia="Times New Roman" w:hAnsi="Times New Roman"/>
                <w:sz w:val="11"/>
                <w:szCs w:val="11"/>
                <w:color w:val="auto"/>
              </w:rPr>
              <w:t>Accelerated filer</w:t>
            </w:r>
          </w:p>
        </w:tc>
        <w:tc>
          <w:tcPr>
            <w:tcW w:w="1700" w:type="dxa"/>
            <w:vAlign w:val="bottom"/>
          </w:tcPr>
          <w:p>
            <w:pPr>
              <w:ind w:left="1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16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92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21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700" w:type="dxa"/>
            <w:vAlign w:val="bottom"/>
          </w:tcPr>
          <w:p>
            <w:pPr>
              <w:ind w:left="1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1"/>
        </w:trPr>
        <w:tc>
          <w:tcPr>
            <w:tcW w:w="1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940" w:type="dxa"/>
            <w:vAlign w:val="bottom"/>
          </w:tcPr>
          <w:p>
            <w:pPr>
              <w:ind w:left="2160"/>
              <w:spacing w:after="0"/>
              <w:rPr>
                <w:sz w:val="20"/>
                <w:szCs w:val="20"/>
                <w:color w:val="auto"/>
              </w:rPr>
            </w:pPr>
            <w:r>
              <w:rPr>
                <w:rFonts w:ascii="Times New Roman" w:cs="Times New Roman" w:eastAsia="Times New Roman" w:hAnsi="Times New Roman"/>
                <w:sz w:val="11"/>
                <w:szCs w:val="11"/>
                <w:color w:val="auto"/>
              </w:rPr>
              <w:t>Emerging growth company</w:t>
            </w:r>
          </w:p>
        </w:tc>
        <w:tc>
          <w:tcPr>
            <w:tcW w:w="1700" w:type="dxa"/>
            <w:vAlign w:val="bottom"/>
          </w:tcPr>
          <w:p>
            <w:pPr>
              <w:ind w:left="1600"/>
              <w:spacing w:after="0" w:line="101" w:lineRule="exact"/>
              <w:rPr>
                <w:sz w:val="20"/>
                <w:szCs w:val="20"/>
                <w:color w:val="auto"/>
              </w:rPr>
            </w:pPr>
            <w:r>
              <w:rPr>
                <w:rFonts w:ascii="MS PGothic" w:cs="MS PGothic" w:eastAsia="MS PGothic" w:hAnsi="MS PGothic"/>
                <w:sz w:val="10"/>
                <w:szCs w:val="10"/>
                <w:color w:val="auto"/>
                <w:w w:val="79"/>
              </w:rPr>
              <w:t>☐</w:t>
            </w:r>
          </w:p>
        </w:tc>
      </w:tr>
    </w:tbl>
    <w:p>
      <w:pPr>
        <w:ind w:left="8" w:right="100"/>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8" w:right="4960"/>
        <w:spacing w:after="0" w:line="18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As of October 22, 2026, there were 203,584,542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696595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864"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0" w:type="dxa"/>
            <w:vAlign w:val="bottom"/>
            <w:gridSpan w:val="3"/>
          </w:tcPr>
          <w:p>
            <w:pPr>
              <w:jc w:val="center"/>
              <w:ind w:right="2140"/>
              <w:spacing w:after="0"/>
              <w:rPr>
                <w:sz w:val="20"/>
                <w:szCs w:val="20"/>
                <w:color w:val="auto"/>
              </w:rPr>
            </w:pPr>
            <w:r>
              <w:rPr>
                <w:rFonts w:ascii="Times New Roman" w:cs="Times New Roman" w:eastAsia="Times New Roman" w:hAnsi="Times New Roman"/>
                <w:sz w:val="12"/>
                <w:szCs w:val="12"/>
                <w:b w:val="1"/>
                <w:bCs w:val="1"/>
                <w:color w:val="auto"/>
                <w:w w:val="99"/>
              </w:rPr>
              <w:t>Vistance Networks, Inc.</w:t>
            </w:r>
          </w:p>
        </w:tc>
        <w:tc>
          <w:tcPr>
            <w:tcW w:w="2580" w:type="dxa"/>
            <w:vAlign w:val="bottom"/>
          </w:tcPr>
          <w:p>
            <w:pPr>
              <w:spacing w:after="0"/>
              <w:rPr>
                <w:sz w:val="12"/>
                <w:szCs w:val="12"/>
                <w:color w:val="auto"/>
              </w:rPr>
            </w:pPr>
          </w:p>
        </w:tc>
      </w:tr>
      <w:tr>
        <w:trPr>
          <w:trHeight w:val="144"/>
        </w:trPr>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gridSpan w:val="2"/>
          </w:tcPr>
          <w:p>
            <w:pPr>
              <w:jc w:val="center"/>
              <w:ind w:right="2560"/>
              <w:spacing w:after="0"/>
              <w:rPr>
                <w:sz w:val="20"/>
                <w:szCs w:val="20"/>
                <w:color w:val="auto"/>
              </w:rPr>
            </w:pPr>
            <w:r>
              <w:rPr>
                <w:rFonts w:ascii="Times New Roman" w:cs="Times New Roman" w:eastAsia="Times New Roman" w:hAnsi="Times New Roman"/>
                <w:sz w:val="12"/>
                <w:szCs w:val="12"/>
                <w:b w:val="1"/>
                <w:bCs w:val="1"/>
                <w:color w:val="auto"/>
                <w:w w:val="98"/>
              </w:rPr>
              <w:t>Form 10-Q</w:t>
            </w:r>
          </w:p>
        </w:tc>
        <w:tc>
          <w:tcPr>
            <w:tcW w:w="2580" w:type="dxa"/>
            <w:vAlign w:val="bottom"/>
          </w:tcPr>
          <w:p>
            <w:pPr>
              <w:spacing w:after="0"/>
              <w:rPr>
                <w:sz w:val="12"/>
                <w:szCs w:val="12"/>
                <w:color w:val="auto"/>
              </w:rPr>
            </w:pPr>
          </w:p>
        </w:tc>
      </w:tr>
      <w:tr>
        <w:trPr>
          <w:trHeight w:val="144"/>
        </w:trPr>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gridSpan w:val="2"/>
          </w:tcPr>
          <w:p>
            <w:pPr>
              <w:jc w:val="center"/>
              <w:ind w:right="2560"/>
              <w:spacing w:after="0"/>
              <w:rPr>
                <w:sz w:val="20"/>
                <w:szCs w:val="20"/>
                <w:color w:val="auto"/>
              </w:rPr>
            </w:pPr>
            <w:r>
              <w:rPr>
                <w:rFonts w:ascii="Times New Roman" w:cs="Times New Roman" w:eastAsia="Times New Roman" w:hAnsi="Times New Roman"/>
                <w:sz w:val="12"/>
                <w:szCs w:val="12"/>
                <w:b w:val="1"/>
                <w:bCs w:val="1"/>
                <w:color w:val="auto"/>
                <w:w w:val="99"/>
              </w:rPr>
              <w:t>September 30, 2026</w:t>
            </w:r>
          </w:p>
        </w:tc>
        <w:tc>
          <w:tcPr>
            <w:tcW w:w="2580" w:type="dxa"/>
            <w:vAlign w:val="bottom"/>
          </w:tcPr>
          <w:p>
            <w:pPr>
              <w:spacing w:after="0"/>
              <w:rPr>
                <w:sz w:val="12"/>
                <w:szCs w:val="12"/>
                <w:color w:val="auto"/>
              </w:rPr>
            </w:pPr>
          </w:p>
        </w:tc>
      </w:tr>
      <w:tr>
        <w:trPr>
          <w:trHeight w:val="159"/>
        </w:trPr>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0" w:type="dxa"/>
            <w:vAlign w:val="bottom"/>
            <w:gridSpan w:val="2"/>
          </w:tcPr>
          <w:p>
            <w:pPr>
              <w:jc w:val="center"/>
              <w:ind w:right="256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580" w:type="dxa"/>
            <w:vAlign w:val="bottom"/>
          </w:tcPr>
          <w:p>
            <w:pPr>
              <w:spacing w:after="0"/>
              <w:rPr>
                <w:sz w:val="13"/>
                <w:szCs w:val="13"/>
                <w:color w:val="auto"/>
              </w:rPr>
            </w:pPr>
          </w:p>
        </w:tc>
      </w:tr>
      <w:tr>
        <w:trPr>
          <w:trHeight w:val="261"/>
        </w:trPr>
        <w:tc>
          <w:tcPr>
            <w:tcW w:w="8720" w:type="dxa"/>
            <w:vAlign w:val="bottom"/>
            <w:gridSpan w:val="19"/>
          </w:tcPr>
          <w:p>
            <w:pPr>
              <w:spacing w:after="0"/>
              <w:rPr>
                <w:sz w:val="20"/>
                <w:szCs w:val="20"/>
                <w:color w:val="auto"/>
              </w:rPr>
            </w:pPr>
            <w:r>
              <w:rPr>
                <w:rFonts w:ascii="Times New Roman" w:cs="Times New Roman" w:eastAsia="Times New Roman" w:hAnsi="Times New Roman"/>
                <w:sz w:val="12"/>
                <w:szCs w:val="12"/>
                <w:color w:val="0000FF"/>
              </w:rPr>
              <w:t>Part I—Financial Information (Unaudited):</w:t>
            </w:r>
          </w:p>
        </w:tc>
        <w:tc>
          <w:tcPr>
            <w:tcW w:w="2580" w:type="dxa"/>
            <w:vAlign w:val="bottom"/>
          </w:tcPr>
          <w:p>
            <w:pPr>
              <w:spacing w:after="0"/>
              <w:rPr>
                <w:sz w:val="22"/>
                <w:szCs w:val="22"/>
                <w:color w:val="auto"/>
              </w:rPr>
            </w:pPr>
          </w:p>
        </w:tc>
      </w:tr>
      <w:tr>
        <w:trPr>
          <w:trHeight w:val="20"/>
        </w:trPr>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1. Condensed Consolidated Financial Statements:</w:t>
            </w:r>
          </w:p>
        </w:tc>
        <w:tc>
          <w:tcPr>
            <w:tcW w:w="2580" w:type="dxa"/>
            <w:vAlign w:val="bottom"/>
          </w:tcPr>
          <w:p>
            <w:pPr>
              <w:spacing w:after="0"/>
              <w:rPr>
                <w:sz w:val="17"/>
                <w:szCs w:val="17"/>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2"/>
                <w:szCs w:val="12"/>
                <w:color w:val="0000FF"/>
                <w:w w:val="99"/>
              </w:rPr>
              <w:t>Condensed Consolidated Statements of Operations</w:t>
            </w:r>
          </w:p>
        </w:tc>
        <w:tc>
          <w:tcPr>
            <w:tcW w:w="40" w:type="dxa"/>
            <w:vAlign w:val="bottom"/>
            <w:tcBorders>
              <w:bottom w:val="single" w:sz="8" w:color="0000EE"/>
            </w:tcBorders>
          </w:tcPr>
          <w:p>
            <w:pPr>
              <w:spacing w:after="0"/>
              <w:rPr>
                <w:sz w:val="17"/>
                <w:szCs w:val="17"/>
                <w:color w:val="auto"/>
              </w:rPr>
            </w:pPr>
          </w:p>
        </w:tc>
        <w:tc>
          <w:tcPr>
            <w:tcW w:w="4880" w:type="dxa"/>
            <w:vAlign w:val="bottom"/>
            <w:gridSpan w:val="6"/>
          </w:tcPr>
          <w:p>
            <w:pPr>
              <w:spacing w:after="0"/>
              <w:rPr>
                <w:sz w:val="17"/>
                <w:szCs w:val="17"/>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214"/>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80" w:type="dxa"/>
            <w:vAlign w:val="bottom"/>
            <w:gridSpan w:val="16"/>
          </w:tcPr>
          <w:p>
            <w:pPr>
              <w:ind w:left="20"/>
              <w:spacing w:after="0"/>
              <w:rPr>
                <w:sz w:val="20"/>
                <w:szCs w:val="20"/>
                <w:color w:val="auto"/>
              </w:rPr>
            </w:pPr>
            <w:r>
              <w:rPr>
                <w:rFonts w:ascii="Times New Roman" w:cs="Times New Roman" w:eastAsia="Times New Roman" w:hAnsi="Times New Roman"/>
                <w:sz w:val="12"/>
                <w:szCs w:val="12"/>
                <w:color w:val="0000FF"/>
              </w:rPr>
              <w:t>Condensed Consolidated Statements of Comprehensive Income</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214"/>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Borders>
              <w:top w:val="single" w:sz="8" w:color="0000FF"/>
            </w:tcBorders>
            <w:gridSpan w:val="11"/>
          </w:tcPr>
          <w:p>
            <w:pPr>
              <w:ind w:left="20"/>
              <w:spacing w:after="0"/>
              <w:rPr>
                <w:sz w:val="20"/>
                <w:szCs w:val="20"/>
                <w:color w:val="auto"/>
              </w:rPr>
            </w:pPr>
            <w:r>
              <w:rPr>
                <w:rFonts w:ascii="Times New Roman" w:cs="Times New Roman" w:eastAsia="Times New Roman" w:hAnsi="Times New Roman"/>
                <w:sz w:val="12"/>
                <w:szCs w:val="12"/>
                <w:color w:val="0000FF"/>
              </w:rPr>
              <w:t>Condensed Consolidated Balance Sheets</w:t>
            </w:r>
          </w:p>
        </w:tc>
        <w:tc>
          <w:tcPr>
            <w:tcW w:w="4320" w:type="dxa"/>
            <w:vAlign w:val="bottom"/>
            <w:gridSpan w:val="5"/>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4"/>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80" w:type="dxa"/>
            <w:vAlign w:val="bottom"/>
            <w:gridSpan w:val="16"/>
          </w:tcPr>
          <w:p>
            <w:pPr>
              <w:ind w:left="20"/>
              <w:spacing w:after="0"/>
              <w:rPr>
                <w:sz w:val="20"/>
                <w:szCs w:val="20"/>
                <w:color w:val="auto"/>
              </w:rPr>
            </w:pPr>
            <w:r>
              <w:rPr>
                <w:rFonts w:ascii="Times New Roman" w:cs="Times New Roman" w:eastAsia="Times New Roman" w:hAnsi="Times New Roman"/>
                <w:sz w:val="12"/>
                <w:szCs w:val="12"/>
                <w:color w:val="0000FF"/>
              </w:rPr>
              <w:t>Condensed Consolidated Statements of Cash Flows</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4"/>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80" w:type="dxa"/>
            <w:vAlign w:val="bottom"/>
            <w:gridSpan w:val="16"/>
          </w:tcPr>
          <w:p>
            <w:pPr>
              <w:ind w:left="20"/>
              <w:spacing w:after="0"/>
              <w:rPr>
                <w:sz w:val="20"/>
                <w:szCs w:val="20"/>
                <w:color w:val="auto"/>
              </w:rPr>
            </w:pPr>
            <w:r>
              <w:rPr>
                <w:rFonts w:ascii="Times New Roman" w:cs="Times New Roman" w:eastAsia="Times New Roman" w:hAnsi="Times New Roman"/>
                <w:sz w:val="12"/>
                <w:szCs w:val="12"/>
                <w:color w:val="0000FF"/>
              </w:rPr>
              <w:t>Condensed Consolidated Statements of Stockholders’ Equity (Deficit)</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214"/>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Borders>
              <w:top w:val="single" w:sz="8" w:color="0000FF"/>
            </w:tcBorders>
            <w:gridSpan w:val="13"/>
          </w:tcPr>
          <w:p>
            <w:pPr>
              <w:ind w:left="20"/>
              <w:spacing w:after="0"/>
              <w:rPr>
                <w:sz w:val="20"/>
                <w:szCs w:val="20"/>
                <w:color w:val="auto"/>
              </w:rPr>
            </w:pPr>
            <w:r>
              <w:rPr>
                <w:rFonts w:ascii="Times New Roman" w:cs="Times New Roman" w:eastAsia="Times New Roman" w:hAnsi="Times New Roman"/>
                <w:sz w:val="12"/>
                <w:szCs w:val="12"/>
                <w:color w:val="0000FF"/>
              </w:rPr>
              <w:t>Notes to Unaudited Condensed Consolidated Financial Statements</w:t>
            </w:r>
          </w:p>
        </w:tc>
        <w:tc>
          <w:tcPr>
            <w:tcW w:w="4000" w:type="dxa"/>
            <w:vAlign w:val="bottom"/>
            <w:gridSpan w:val="3"/>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840" w:type="dxa"/>
            <w:vAlign w:val="bottom"/>
            <w:tcBorders>
              <w:right w:val="single" w:sz="8" w:color="0000EE"/>
            </w:tcBorders>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4"/>
        </w:trPr>
        <w:tc>
          <w:tcPr>
            <w:tcW w:w="500" w:type="dxa"/>
            <w:vAlign w:val="bottom"/>
          </w:tcPr>
          <w:p>
            <w:pPr>
              <w:spacing w:after="0"/>
              <w:rPr>
                <w:sz w:val="18"/>
                <w:szCs w:val="18"/>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2. Management’s Discussion and Analysis of Financial Condition and Results of Operations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4"/>
        </w:trPr>
        <w:tc>
          <w:tcPr>
            <w:tcW w:w="500" w:type="dxa"/>
            <w:vAlign w:val="bottom"/>
          </w:tcPr>
          <w:p>
            <w:pPr>
              <w:spacing w:after="0"/>
              <w:rPr>
                <w:sz w:val="18"/>
                <w:szCs w:val="18"/>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3. Quantitative and Qualitative Disclosures About Market Risk</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4"/>
        </w:trPr>
        <w:tc>
          <w:tcPr>
            <w:tcW w:w="500" w:type="dxa"/>
            <w:vAlign w:val="bottom"/>
          </w:tcPr>
          <w:p>
            <w:pPr>
              <w:spacing w:after="0"/>
              <w:rPr>
                <w:sz w:val="18"/>
                <w:szCs w:val="18"/>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4. Controls and Procedures</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20" w:type="dxa"/>
            <w:vAlign w:val="bottom"/>
            <w:gridSpan w:val="1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4"/>
        </w:trPr>
        <w:tc>
          <w:tcPr>
            <w:tcW w:w="8720" w:type="dxa"/>
            <w:vAlign w:val="bottom"/>
            <w:gridSpan w:val="19"/>
          </w:tcPr>
          <w:p>
            <w:pPr>
              <w:spacing w:after="0"/>
              <w:rPr>
                <w:sz w:val="20"/>
                <w:szCs w:val="20"/>
                <w:color w:val="auto"/>
              </w:rPr>
            </w:pPr>
            <w:r>
              <w:rPr>
                <w:rFonts w:ascii="Times New Roman" w:cs="Times New Roman" w:eastAsia="Times New Roman" w:hAnsi="Times New Roman"/>
                <w:sz w:val="12"/>
                <w:szCs w:val="12"/>
                <w:color w:val="0000FF"/>
              </w:rPr>
              <w:t>Part II—Other Information:</w:t>
            </w:r>
          </w:p>
        </w:tc>
        <w:tc>
          <w:tcPr>
            <w:tcW w:w="2580" w:type="dxa"/>
            <w:vAlign w:val="bottom"/>
          </w:tcPr>
          <w:p>
            <w:pPr>
              <w:spacing w:after="0"/>
              <w:rPr>
                <w:sz w:val="18"/>
                <w:szCs w:val="18"/>
                <w:color w:val="auto"/>
              </w:rPr>
            </w:pPr>
          </w:p>
        </w:tc>
      </w:tr>
      <w:tr>
        <w:trPr>
          <w:trHeight w:val="20"/>
        </w:trPr>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220" w:type="dxa"/>
            <w:vAlign w:val="bottom"/>
            <w:gridSpan w:val="1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1. Legal Proceedings</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3220" w:type="dxa"/>
            <w:vAlign w:val="bottom"/>
            <w:gridSpan w:val="1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4"/>
        </w:trPr>
        <w:tc>
          <w:tcPr>
            <w:tcW w:w="500" w:type="dxa"/>
            <w:vAlign w:val="bottom"/>
          </w:tcPr>
          <w:p>
            <w:pPr>
              <w:spacing w:after="0"/>
              <w:rPr>
                <w:sz w:val="18"/>
                <w:szCs w:val="18"/>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1A. Risk Factors</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220" w:type="dxa"/>
            <w:vAlign w:val="bottom"/>
            <w:gridSpan w:val="1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4"/>
        </w:trPr>
        <w:tc>
          <w:tcPr>
            <w:tcW w:w="500" w:type="dxa"/>
            <w:vAlign w:val="bottom"/>
          </w:tcPr>
          <w:p>
            <w:pPr>
              <w:spacing w:after="0"/>
              <w:rPr>
                <w:sz w:val="18"/>
                <w:szCs w:val="18"/>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2. Unregistered Sales of Equity Securities, Use of Proceeds, and Issuer Purchases of Equity Securities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3220" w:type="dxa"/>
            <w:vAlign w:val="bottom"/>
            <w:gridSpan w:val="10"/>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3. Defaults Upon Senior Securities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4. Mine Safety Disclosures</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72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5. Other Information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020" w:type="dxa"/>
            <w:vAlign w:val="bottom"/>
            <w:gridSpan w:val="1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8220" w:type="dxa"/>
            <w:vAlign w:val="bottom"/>
            <w:gridSpan w:val="18"/>
          </w:tcPr>
          <w:p>
            <w:pPr>
              <w:spacing w:after="0"/>
              <w:rPr>
                <w:sz w:val="20"/>
                <w:szCs w:val="20"/>
                <w:color w:val="auto"/>
              </w:rPr>
            </w:pPr>
            <w:r>
              <w:rPr>
                <w:rFonts w:ascii="Times New Roman" w:cs="Times New Roman" w:eastAsia="Times New Roman" w:hAnsi="Times New Roman"/>
                <w:sz w:val="12"/>
                <w:szCs w:val="12"/>
                <w:color w:val="0000FF"/>
              </w:rPr>
              <w:t>Item 6. Exhibits</w:t>
            </w: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500" w:type="dxa"/>
            <w:vAlign w:val="bottom"/>
            <w:gridSpan w:val="17"/>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4"/>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0"/>
              </w:rPr>
              <w:t>Signatures</w:t>
            </w:r>
          </w:p>
        </w:tc>
        <w:tc>
          <w:tcPr>
            <w:tcW w:w="8220" w:type="dxa"/>
            <w:vAlign w:val="bottom"/>
            <w:gridSpan w:val="18"/>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736"/>
        </w:trPr>
        <w:tc>
          <w:tcPr>
            <w:tcW w:w="8720" w:type="dxa"/>
            <w:vAlign w:val="bottom"/>
            <w:gridSpan w:val="19"/>
          </w:tcPr>
          <w:p>
            <w:pPr>
              <w:jc w:val="center"/>
              <w:ind w:left="2520"/>
              <w:spacing w:after="0"/>
              <w:rPr>
                <w:sz w:val="20"/>
                <w:szCs w:val="20"/>
                <w:color w:val="auto"/>
              </w:rPr>
            </w:pPr>
            <w:r>
              <w:rPr>
                <w:rFonts w:ascii="Times New Roman" w:cs="Times New Roman" w:eastAsia="Times New Roman" w:hAnsi="Times New Roman"/>
                <w:sz w:val="12"/>
                <w:szCs w:val="12"/>
                <w:color w:val="auto"/>
                <w:w w:val="99"/>
              </w:rPr>
              <w:t>1</w:t>
            </w:r>
          </w:p>
        </w:tc>
        <w:tc>
          <w:tcPr>
            <w:tcW w:w="2580" w:type="dxa"/>
            <w:vAlign w:val="bottom"/>
          </w:tcPr>
          <w:p>
            <w:pPr>
              <w:spacing w:after="0"/>
              <w:rPr>
                <w:sz w:val="24"/>
                <w:szCs w:val="24"/>
                <w:color w:val="auto"/>
              </w:rPr>
            </w:pPr>
          </w:p>
        </w:tc>
      </w:tr>
      <w:tr>
        <w:trPr>
          <w:trHeight w:val="504"/>
        </w:trPr>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2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PART I – FINANCIAL INFORMATION (UNAUDITED)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CONDENSED CONSOLIDATED FINANCIAL STATEMENTS</w:t>
      </w:r>
    </w:p>
    <w:p>
      <w:pPr>
        <w:spacing w:after="0" w:line="13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b w:val="1"/>
          <w:bCs w:val="1"/>
          <w:color w:val="auto"/>
        </w:rPr>
        <w:t>(Unaudited --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gridSpan w:val="4"/>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4"/>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1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100" w:type="dxa"/>
            <w:vAlign w:val="bottom"/>
          </w:tcPr>
          <w:p>
            <w:pPr>
              <w:spacing w:after="0"/>
              <w:rPr>
                <w:sz w:val="7"/>
                <w:szCs w:val="7"/>
                <w:color w:val="auto"/>
              </w:rPr>
            </w:pP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380"/>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ind w:right="361"/>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360"/>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61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Net sales</w:t>
            </w:r>
          </w:p>
        </w:tc>
        <w:tc>
          <w:tcPr>
            <w:tcW w:w="660" w:type="dxa"/>
            <w:vAlign w:val="bottom"/>
            <w:shd w:val="clear" w:color="auto" w:fill="CCEC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319.7</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60" w:type="dxa"/>
            <w:vAlign w:val="bottom"/>
            <w:shd w:val="clear" w:color="auto" w:fill="CCEC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337.8</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937.7</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34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w:t>
            </w: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596.2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1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660" w:type="dxa"/>
            <w:vAlign w:val="bottom"/>
            <w:shd w:val="clear" w:color="auto" w:fill="CCECFF"/>
          </w:tcPr>
          <w:p>
            <w:pPr>
              <w:spacing w:after="0"/>
              <w:rPr>
                <w:sz w:val="11"/>
                <w:szCs w:val="11"/>
                <w:color w:val="auto"/>
              </w:rPr>
            </w:pPr>
          </w:p>
        </w:tc>
        <w:tc>
          <w:tcPr>
            <w:tcW w:w="4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112.4</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120.4</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341.5</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Transition service agreement income</w:t>
            </w: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66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6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42.6</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91.1</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124.7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Amortization of purchased intangible assets</w:t>
            </w: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Restructuring costs, net</w:t>
            </w:r>
          </w:p>
        </w:tc>
        <w:tc>
          <w:tcPr>
            <w:tcW w:w="66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Other</w:t>
            </w:r>
          </w:p>
        </w:tc>
        <w:tc>
          <w:tcPr>
            <w:tcW w:w="660" w:type="dxa"/>
            <w:vAlign w:val="bottom"/>
          </w:tcPr>
          <w:p>
            <w:pPr>
              <w:spacing w:after="0"/>
              <w:rPr>
                <w:sz w:val="12"/>
                <w:szCs w:val="12"/>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100" w:type="dxa"/>
            <w:vAlign w:val="bottom"/>
            <w:tcBorders>
              <w:bottom w:val="single" w:sz="8" w:color="CCECFF"/>
            </w:tcBorders>
            <w:shd w:val="clear" w:color="auto" w:fill="CCECFF"/>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660" w:type="dxa"/>
            <w:vAlign w:val="bottom"/>
            <w:tcBorders>
              <w:top w:val="single" w:sz="8" w:color="auto"/>
              <w:bottom w:val="single" w:sz="8" w:color="auto"/>
            </w:tcBorders>
            <w:shd w:val="clear" w:color="auto" w:fill="CCECFF"/>
          </w:tcPr>
          <w:p>
            <w:pPr>
              <w:spacing w:after="0"/>
              <w:rPr>
                <w:sz w:val="11"/>
                <w:szCs w:val="11"/>
                <w:color w:val="auto"/>
              </w:rPr>
            </w:pPr>
          </w:p>
        </w:tc>
        <w:tc>
          <w:tcPr>
            <w:tcW w:w="4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97.1</w:t>
            </w:r>
          </w:p>
        </w:tc>
        <w:tc>
          <w:tcPr>
            <w:tcW w:w="1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360" w:type="dxa"/>
            <w:vAlign w:val="bottom"/>
            <w:tcBorders>
              <w:top w:val="single" w:sz="8" w:color="auto"/>
              <w:bottom w:val="single" w:sz="8" w:color="auto"/>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140.5</w:t>
            </w:r>
          </w:p>
        </w:tc>
        <w:tc>
          <w:tcPr>
            <w:tcW w:w="1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top w:val="single" w:sz="8" w:color="auto"/>
              <w:bottom w:val="single" w:sz="8" w:color="auto"/>
            </w:tcBorders>
            <w:shd w:val="clear" w:color="auto" w:fill="CCECFF"/>
          </w:tcPr>
          <w:p>
            <w:pPr>
              <w:spacing w:after="0"/>
              <w:rPr>
                <w:sz w:val="11"/>
                <w:szCs w:val="11"/>
                <w:color w:val="auto"/>
              </w:rPr>
            </w:pPr>
          </w:p>
        </w:tc>
        <w:tc>
          <w:tcPr>
            <w:tcW w:w="8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336.2</w:t>
            </w: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top w:val="single" w:sz="8" w:color="auto"/>
              <w:bottom w:val="single" w:sz="8" w:color="auto"/>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431.4</w:t>
            </w: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Operating income (loss)</w:t>
            </w:r>
          </w:p>
        </w:tc>
        <w:tc>
          <w:tcPr>
            <w:tcW w:w="66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(11.5)</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(33.5)</w:t>
            </w: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660" w:type="dxa"/>
            <w:vAlign w:val="bottom"/>
            <w:shd w:val="clear" w:color="auto" w:fill="CCECFF"/>
          </w:tcPr>
          <w:p>
            <w:pPr>
              <w:spacing w:after="0"/>
              <w:rPr>
                <w:sz w:val="12"/>
                <w:szCs w:val="12"/>
                <w:color w:val="auto"/>
              </w:rPr>
            </w:pPr>
          </w:p>
        </w:tc>
        <w:tc>
          <w:tcPr>
            <w:tcW w:w="5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6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(0.9)</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1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660" w:type="dxa"/>
            <w:vAlign w:val="bottom"/>
            <w:tcBorders>
              <w:bottom w:val="single" w:sz="8" w:color="auto"/>
            </w:tcBorders>
            <w:shd w:val="clear" w:color="auto" w:fill="CCECFF"/>
          </w:tcPr>
          <w:p>
            <w:pPr>
              <w:spacing w:after="0"/>
              <w:rPr>
                <w:sz w:val="12"/>
                <w:szCs w:val="12"/>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(loss) from continuing operations before income taxes</w:t>
            </w:r>
          </w:p>
        </w:tc>
        <w:tc>
          <w:tcPr>
            <w:tcW w:w="66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(7.5)</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55.1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(28.3)</w:t>
            </w: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66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347.8</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shd w:val="clear" w:color="auto" w:fill="CCEC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(loss) from continuing operations</w:t>
            </w:r>
          </w:p>
        </w:tc>
        <w:tc>
          <w:tcPr>
            <w:tcW w:w="66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(18.9)</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97.4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319.5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1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Income from discontinued operations, net of income tax expense</w:t>
            </w:r>
          </w:p>
        </w:tc>
        <w:tc>
          <w:tcPr>
            <w:tcW w:w="660" w:type="dxa"/>
            <w:vAlign w:val="bottom"/>
            <w:shd w:val="clear" w:color="auto" w:fill="CCECFF"/>
          </w:tcPr>
          <w:p>
            <w:pPr>
              <w:spacing w:after="0"/>
              <w:rPr>
                <w:sz w:val="11"/>
                <w:szCs w:val="11"/>
                <w:color w:val="auto"/>
              </w:rPr>
            </w:pPr>
          </w:p>
        </w:tc>
        <w:tc>
          <w:tcPr>
            <w:tcW w:w="4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975.9</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7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127.3</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6,736.3</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7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604.7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10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2"/>
                <w:szCs w:val="12"/>
                <w:color w:val="auto"/>
              </w:rPr>
              <w:t>of $300.9, $27.9, $1,474.7 and $478.1, respectively</w:t>
            </w:r>
          </w:p>
        </w:tc>
        <w:tc>
          <w:tcPr>
            <w:tcW w:w="660" w:type="dxa"/>
            <w:vAlign w:val="bottom"/>
            <w:tcBorders>
              <w:bottom w:val="single" w:sz="8" w:color="auto"/>
            </w:tcBorders>
            <w:shd w:val="clear" w:color="auto" w:fill="CCECFF"/>
          </w:tcPr>
          <w:p>
            <w:pPr>
              <w:spacing w:after="0"/>
              <w:rPr>
                <w:sz w:val="12"/>
                <w:szCs w:val="12"/>
                <w:color w:val="auto"/>
              </w:rPr>
            </w:pPr>
          </w:p>
        </w:tc>
        <w:tc>
          <w:tcPr>
            <w:tcW w:w="400" w:type="dxa"/>
            <w:vAlign w:val="bottom"/>
            <w:tcBorders>
              <w:bottom w:val="single" w:sz="8" w:color="auto"/>
            </w:tcBorders>
            <w:vMerge w:val="continue"/>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vMerge w:val="continue"/>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800" w:type="dxa"/>
            <w:vAlign w:val="bottom"/>
            <w:tcBorders>
              <w:bottom w:val="single" w:sz="8" w:color="auto"/>
            </w:tcBorders>
            <w:vMerge w:val="continue"/>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vMerge w:val="continue"/>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66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1,030.6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108.4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6,833.7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924.2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Series A convertible preferred stock dividends</w:t>
            </w:r>
          </w:p>
        </w:tc>
        <w:tc>
          <w:tcPr>
            <w:tcW w:w="660" w:type="dxa"/>
            <w:vAlign w:val="bottom"/>
            <w:shd w:val="clear" w:color="auto" w:fill="CCECFF"/>
          </w:tcPr>
          <w:p>
            <w:pPr>
              <w:spacing w:after="0"/>
              <w:rPr>
                <w:sz w:val="12"/>
                <w:szCs w:val="12"/>
                <w:color w:val="auto"/>
              </w:rPr>
            </w:pPr>
          </w:p>
        </w:tc>
        <w:tc>
          <w:tcPr>
            <w:tcW w:w="700" w:type="dxa"/>
            <w:vAlign w:val="bottom"/>
            <w:gridSpan w:val="3"/>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(17.3)</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(51.3)</w:t>
            </w:r>
          </w:p>
        </w:tc>
        <w:tc>
          <w:tcPr>
            <w:tcW w:w="0" w:type="dxa"/>
            <w:vAlign w:val="bottom"/>
          </w:tcPr>
          <w:p>
            <w:pPr>
              <w:spacing w:after="0"/>
              <w:rPr>
                <w:sz w:val="1"/>
                <w:szCs w:val="1"/>
                <w:color w:val="auto"/>
              </w:rPr>
            </w:pPr>
          </w:p>
        </w:tc>
      </w:tr>
      <w:tr>
        <w:trPr>
          <w:trHeight w:val="133"/>
        </w:trPr>
        <w:tc>
          <w:tcPr>
            <w:tcW w:w="6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Deemed dividend and related adjustments</w:t>
            </w:r>
          </w:p>
        </w:tc>
        <w:tc>
          <w:tcPr>
            <w:tcW w:w="6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(11.8)</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6"/>
        </w:trPr>
        <w:tc>
          <w:tcPr>
            <w:tcW w:w="6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on Series A preferred stock redemption</w:t>
            </w:r>
          </w:p>
        </w:tc>
        <w:tc>
          <w:tcPr>
            <w:tcW w:w="6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100" w:type="dxa"/>
            <w:vAlign w:val="bottom"/>
            <w:tcBorders>
              <w:bottom w:val="single" w:sz="8" w:color="CCECFF"/>
            </w:tcBorders>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Net income attributable to common stockholders</w:t>
            </w:r>
          </w:p>
        </w:tc>
        <w:tc>
          <w:tcPr>
            <w:tcW w:w="660" w:type="dxa"/>
            <w:vAlign w:val="bottom"/>
            <w:tcBorders>
              <w:top w:val="single" w:sz="8" w:color="auto"/>
              <w:bottom w:val="single" w:sz="8" w:color="auto"/>
            </w:tcBorders>
            <w:shd w:val="clear" w:color="auto" w:fill="CCEC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1,030.7</w:t>
            </w:r>
          </w:p>
        </w:tc>
        <w:tc>
          <w:tcPr>
            <w:tcW w:w="1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top w:val="single" w:sz="8" w:color="auto"/>
              <w:bottom w:val="single" w:sz="8" w:color="auto"/>
            </w:tcBorders>
            <w:shd w:val="clear" w:color="auto" w:fill="CCEC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91.1</w:t>
            </w:r>
          </w:p>
        </w:tc>
        <w:tc>
          <w:tcPr>
            <w:tcW w:w="1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top w:val="single" w:sz="8" w:color="auto"/>
              <w:bottom w:val="single" w:sz="8" w:color="auto"/>
            </w:tcBorders>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6,820.2</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top w:val="single" w:sz="8" w:color="auto"/>
              <w:bottom w:val="single" w:sz="8" w:color="auto"/>
            </w:tcBorders>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872.9</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Basic:</w:t>
            </w:r>
          </w:p>
        </w:tc>
        <w:tc>
          <w:tcPr>
            <w:tcW w:w="66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Earnings (loss) from continuing operations per share</w:t>
            </w:r>
          </w:p>
        </w:tc>
        <w:tc>
          <w:tcPr>
            <w:tcW w:w="660" w:type="dxa"/>
            <w:vAlign w:val="bottom"/>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(0.16)</w:t>
            </w:r>
          </w:p>
        </w:tc>
        <w:tc>
          <w:tcPr>
            <w:tcW w:w="18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color w:val="auto"/>
              </w:rPr>
              <w:t>Earnings from discontinued operations per share</w:t>
            </w:r>
          </w:p>
        </w:tc>
        <w:tc>
          <w:tcPr>
            <w:tcW w:w="660" w:type="dxa"/>
            <w:vAlign w:val="bottom"/>
            <w:tcBorders>
              <w:bottom w:val="single" w:sz="8" w:color="auto"/>
            </w:tcBorders>
            <w:shd w:val="clear" w:color="auto" w:fill="CCECFF"/>
          </w:tcPr>
          <w:p>
            <w:pPr>
              <w:spacing w:after="0"/>
              <w:rPr>
                <w:sz w:val="12"/>
                <w:szCs w:val="12"/>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1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0.57</w:t>
            </w:r>
          </w:p>
        </w:tc>
        <w:tc>
          <w:tcPr>
            <w:tcW w:w="1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29.85</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Earnings per share</w:t>
            </w:r>
          </w:p>
        </w:tc>
        <w:tc>
          <w:tcPr>
            <w:tcW w:w="66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4.59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0.41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Earnings (loss) from continuing operations per share</w:t>
            </w:r>
          </w:p>
        </w:tc>
        <w:tc>
          <w:tcPr>
            <w:tcW w:w="660" w:type="dxa"/>
            <w:vAlign w:val="bottom"/>
            <w:shd w:val="clear" w:color="auto" w:fill="CCEC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60" w:type="dxa"/>
            <w:vAlign w:val="bottom"/>
            <w:shd w:val="clear" w:color="auto" w:fill="CCEC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(0.16)</w:t>
            </w: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Earnings from discontinued operations per share</w:t>
            </w: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100" w:type="dxa"/>
            <w:vAlign w:val="bottom"/>
            <w:tcBorders>
              <w:bottom w:val="single" w:sz="8" w:color="CCECFF"/>
            </w:tcBorders>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Earnings per share</w:t>
            </w:r>
          </w:p>
        </w:tc>
        <w:tc>
          <w:tcPr>
            <w:tcW w:w="660" w:type="dxa"/>
            <w:vAlign w:val="bottom"/>
            <w:tcBorders>
              <w:bottom w:val="single" w:sz="8" w:color="auto"/>
            </w:tcBorders>
            <w:shd w:val="clear" w:color="auto" w:fill="CCEC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4.54</w:t>
            </w:r>
          </w:p>
        </w:tc>
        <w:tc>
          <w:tcPr>
            <w:tcW w:w="1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0.41</w:t>
            </w:r>
          </w:p>
        </w:tc>
        <w:tc>
          <w:tcPr>
            <w:tcW w:w="1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29.48</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66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Basic</w:t>
            </w: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Diluted</w:t>
            </w:r>
          </w:p>
        </w:tc>
        <w:tc>
          <w:tcPr>
            <w:tcW w:w="66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226.9</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221.5</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231.3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274.1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-2639695</wp:posOffset>
            </wp:positionV>
            <wp:extent cx="7429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-2639695</wp:posOffset>
            </wp:positionV>
            <wp:extent cx="742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-2639695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-2639695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-2268220</wp:posOffset>
            </wp:positionV>
            <wp:extent cx="7429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-2268220</wp:posOffset>
            </wp:positionV>
            <wp:extent cx="7429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-2268220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-2268220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-2079625</wp:posOffset>
            </wp:positionV>
            <wp:extent cx="7429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-2079625</wp:posOffset>
            </wp:positionV>
            <wp:extent cx="7429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-2079625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-2079625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-1805305</wp:posOffset>
            </wp:positionV>
            <wp:extent cx="742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-1805305</wp:posOffset>
            </wp:positionV>
            <wp:extent cx="7429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-1805305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-1805305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-1342390</wp:posOffset>
            </wp:positionV>
            <wp:extent cx="7429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-1330960</wp:posOffset>
            </wp:positionV>
            <wp:extent cx="7429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-1342390</wp:posOffset>
            </wp:positionV>
            <wp:extent cx="7429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-1330960</wp:posOffset>
            </wp:positionV>
            <wp:extent cx="7429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-1342390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-1330960</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-1342390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-1330960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-959485</wp:posOffset>
            </wp:positionV>
            <wp:extent cx="7429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-959485</wp:posOffset>
            </wp:positionV>
            <wp:extent cx="7429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-959485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-959485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-382270</wp:posOffset>
            </wp:positionV>
            <wp:extent cx="7429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-370840</wp:posOffset>
            </wp:positionV>
            <wp:extent cx="7429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-382270</wp:posOffset>
            </wp:positionV>
            <wp:extent cx="7429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-370840</wp:posOffset>
            </wp:positionV>
            <wp:extent cx="7429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-382270</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-370840</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-382270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-370840</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See notes to unaudited condensed consolidated financial statements.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Comprehensive Income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59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59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jc w:val="right"/>
              <w:ind w:right="384"/>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40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3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jc w:val="right"/>
              <w:ind w:right="404"/>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38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133"/>
        </w:trPr>
        <w:tc>
          <w:tcPr>
            <w:tcW w:w="592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w:t>
            </w: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4"/>
        </w:trPr>
        <w:tc>
          <w:tcPr>
            <w:tcW w:w="59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Net income</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1,030.6</w:t>
            </w:r>
          </w:p>
        </w:tc>
        <w:tc>
          <w:tcPr>
            <w:tcW w:w="32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3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6,833.7</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924.2</w:t>
            </w:r>
          </w:p>
        </w:tc>
        <w:tc>
          <w:tcPr>
            <w:tcW w:w="120" w:type="dxa"/>
            <w:vAlign w:val="bottom"/>
          </w:tcPr>
          <w:p>
            <w:pPr>
              <w:spacing w:after="0"/>
              <w:rPr>
                <w:sz w:val="12"/>
                <w:szCs w:val="12"/>
                <w:color w:val="auto"/>
              </w:rPr>
            </w:pPr>
          </w:p>
        </w:tc>
      </w:tr>
      <w:tr>
        <w:trPr>
          <w:trHeight w:val="144"/>
        </w:trPr>
        <w:tc>
          <w:tcPr>
            <w:tcW w:w="59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Other comprehensive income (loss), net of tax:</w:t>
            </w: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4"/>
        </w:trPr>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gain (loss)</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(6.1)</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222.8</w:t>
            </w:r>
          </w:p>
        </w:tc>
        <w:tc>
          <w:tcPr>
            <w:tcW w:w="120" w:type="dxa"/>
            <w:vAlign w:val="bottom"/>
          </w:tcPr>
          <w:p>
            <w:pPr>
              <w:spacing w:after="0"/>
              <w:rPr>
                <w:sz w:val="12"/>
                <w:szCs w:val="12"/>
                <w:color w:val="auto"/>
              </w:rPr>
            </w:pPr>
          </w:p>
        </w:tc>
      </w:tr>
      <w:tr>
        <w:trPr>
          <w:trHeight w:val="144"/>
        </w:trPr>
        <w:tc>
          <w:tcPr>
            <w:tcW w:w="59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Pension and other postretirement benefit activity</w:t>
            </w:r>
          </w:p>
        </w:tc>
        <w:tc>
          <w:tcPr>
            <w:tcW w:w="240" w:type="dxa"/>
            <w:vAlign w:val="bottom"/>
            <w:shd w:val="clear" w:color="auto" w:fill="CCECFF"/>
          </w:tcPr>
          <w:p>
            <w:pPr>
              <w:spacing w:after="0"/>
              <w:rPr>
                <w:sz w:val="12"/>
                <w:szCs w:val="12"/>
                <w:color w:val="auto"/>
              </w:rPr>
            </w:pPr>
          </w:p>
        </w:tc>
        <w:tc>
          <w:tcPr>
            <w:tcW w:w="11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2"/>
                <w:szCs w:val="12"/>
                <w:color w:val="auto"/>
              </w:rPr>
              <w:t>(0.3)</w:t>
            </w:r>
          </w:p>
        </w:tc>
        <w:tc>
          <w:tcPr>
            <w:tcW w:w="3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3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shd w:val="clear" w:color="auto" w:fill="CCECFF"/>
          </w:tcPr>
          <w:p>
            <w:pPr>
              <w:spacing w:after="0"/>
              <w:rPr>
                <w:sz w:val="12"/>
                <w:szCs w:val="12"/>
                <w:color w:val="auto"/>
              </w:rPr>
            </w:pPr>
          </w:p>
        </w:tc>
      </w:tr>
      <w:tr>
        <w:trPr>
          <w:trHeight w:val="144"/>
        </w:trPr>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Gain (loss) on hedging instruments</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(0.9)</w:t>
            </w:r>
          </w:p>
        </w:tc>
      </w:tr>
      <w:tr>
        <w:trPr>
          <w:trHeight w:val="20"/>
        </w:trPr>
        <w:tc>
          <w:tcPr>
            <w:tcW w:w="5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5920" w:type="dxa"/>
            <w:vAlign w:val="bottom"/>
            <w:shd w:val="clear" w:color="auto" w:fill="CCECFF"/>
          </w:tcPr>
          <w:p>
            <w:pPr>
              <w:ind w:left="40"/>
              <w:spacing w:after="0" w:line="133" w:lineRule="exact"/>
              <w:rPr>
                <w:sz w:val="20"/>
                <w:szCs w:val="20"/>
                <w:color w:val="auto"/>
              </w:rPr>
            </w:pPr>
            <w:r>
              <w:rPr>
                <w:rFonts w:ascii="Times New Roman" w:cs="Times New Roman" w:eastAsia="Times New Roman" w:hAnsi="Times New Roman"/>
                <w:sz w:val="12"/>
                <w:szCs w:val="12"/>
                <w:color w:val="auto"/>
              </w:rPr>
              <w:t>Total other comprehensive income (loss), net of tax</w:t>
            </w: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0.6</w:t>
            </w:r>
          </w:p>
        </w:tc>
        <w:tc>
          <w:tcPr>
            <w:tcW w:w="32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(5.7)</w:t>
            </w: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120.1</w:t>
            </w:r>
          </w:p>
        </w:tc>
        <w:tc>
          <w:tcPr>
            <w:tcW w:w="30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222.3</w:t>
            </w:r>
          </w:p>
        </w:tc>
        <w:tc>
          <w:tcPr>
            <w:tcW w:w="120" w:type="dxa"/>
            <w:vAlign w:val="bottom"/>
            <w:shd w:val="clear" w:color="auto" w:fill="CCECFF"/>
          </w:tcPr>
          <w:p>
            <w:pPr>
              <w:spacing w:after="0"/>
              <w:rPr>
                <w:sz w:val="11"/>
                <w:szCs w:val="11"/>
                <w:color w:val="auto"/>
              </w:rPr>
            </w:pPr>
          </w:p>
        </w:tc>
      </w:tr>
      <w:tr>
        <w:trPr>
          <w:trHeight w:val="20"/>
        </w:trPr>
        <w:tc>
          <w:tcPr>
            <w:tcW w:w="59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133"/>
        </w:trPr>
        <w:tc>
          <w:tcPr>
            <w:tcW w:w="59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comprehensive income</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1,031.2</w:t>
            </w:r>
          </w:p>
        </w:tc>
        <w:tc>
          <w:tcPr>
            <w:tcW w:w="320" w:type="dxa"/>
            <w:vAlign w:val="bottom"/>
          </w:tcPr>
          <w:p>
            <w:pPr>
              <w:spacing w:after="0"/>
              <w:rPr>
                <w:sz w:val="11"/>
                <w:szCs w:val="11"/>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102.7</w:t>
            </w:r>
          </w:p>
        </w:tc>
        <w:tc>
          <w:tcPr>
            <w:tcW w:w="320" w:type="dxa"/>
            <w:vAlign w:val="bottom"/>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6,953.8</w:t>
            </w:r>
          </w:p>
        </w:tc>
        <w:tc>
          <w:tcPr>
            <w:tcW w:w="64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1,146.5</w:t>
            </w:r>
          </w:p>
        </w:tc>
        <w:tc>
          <w:tcPr>
            <w:tcW w:w="120" w:type="dxa"/>
            <w:vAlign w:val="bottom"/>
          </w:tcPr>
          <w:p>
            <w:pPr>
              <w:spacing w:after="0"/>
              <w:rPr>
                <w:sz w:val="11"/>
                <w:szCs w:val="11"/>
                <w:color w:val="auto"/>
              </w:rPr>
            </w:pPr>
          </w:p>
        </w:tc>
      </w:tr>
      <w:tr>
        <w:trPr>
          <w:trHeight w:val="27"/>
        </w:trPr>
        <w:tc>
          <w:tcPr>
            <w:tcW w:w="5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-113665</wp:posOffset>
            </wp:positionV>
            <wp:extent cx="7429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-113665</wp:posOffset>
            </wp:positionV>
            <wp:extent cx="7429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-113665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-113665</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See notes to unaudited condensed consolidated financial statements.</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4" w:name="page5"/>
    <w:bookmarkEnd w:id="4"/>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 millions, except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60" w:type="dxa"/>
            <w:vAlign w:val="bottom"/>
          </w:tcPr>
          <w:p>
            <w:pPr>
              <w:spacing w:after="0"/>
              <w:rPr>
                <w:sz w:val="10"/>
                <w:szCs w:val="10"/>
                <w:color w:val="auto"/>
              </w:rPr>
            </w:pP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0" w:type="dxa"/>
            <w:vAlign w:val="bottom"/>
          </w:tcPr>
          <w:p>
            <w:pPr>
              <w:spacing w:after="0"/>
              <w:rPr>
                <w:sz w:val="1"/>
                <w:szCs w:val="1"/>
                <w:color w:val="auto"/>
              </w:rPr>
            </w:pPr>
          </w:p>
        </w:tc>
      </w:tr>
      <w:tr>
        <w:trPr>
          <w:trHeight w:val="115"/>
        </w:trPr>
        <w:tc>
          <w:tcPr>
            <w:tcW w:w="7060" w:type="dxa"/>
            <w:vAlign w:val="bottom"/>
          </w:tcPr>
          <w:p>
            <w:pPr>
              <w:spacing w:after="0"/>
              <w:rPr>
                <w:sz w:val="10"/>
                <w:szCs w:val="10"/>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September 30, 2026</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060" w:type="dxa"/>
            <w:vAlign w:val="bottom"/>
            <w:shd w:val="clear" w:color="auto" w:fill="CCECFF"/>
          </w:tcPr>
          <w:p>
            <w:pPr>
              <w:ind w:left="326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440" w:type="dxa"/>
            <w:vAlign w:val="bottom"/>
            <w:tcBorders>
              <w:top w:val="single" w:sz="8" w:color="auto"/>
            </w:tcBorders>
            <w:shd w:val="clear" w:color="auto" w:fill="CCECFF"/>
          </w:tcPr>
          <w:p>
            <w:pPr>
              <w:spacing w:after="0"/>
              <w:rPr>
                <w:sz w:val="11"/>
                <w:szCs w:val="11"/>
                <w:color w:val="auto"/>
              </w:rPr>
            </w:pPr>
          </w:p>
        </w:tc>
        <w:tc>
          <w:tcPr>
            <w:tcW w:w="460" w:type="dxa"/>
            <w:vAlign w:val="bottom"/>
            <w:tcBorders>
              <w:top w:val="single" w:sz="8" w:color="auto"/>
            </w:tcBorders>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60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440" w:type="dxa"/>
            <w:vAlign w:val="bottom"/>
          </w:tcPr>
          <w:p>
            <w:pPr>
              <w:jc w:val="right"/>
              <w:ind w:right="132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683.1</w:t>
            </w:r>
          </w:p>
        </w:tc>
        <w:tc>
          <w:tcPr>
            <w:tcW w:w="3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 net of allowance for credit losses</w:t>
            </w:r>
          </w:p>
        </w:tc>
        <w:tc>
          <w:tcPr>
            <w:tcW w:w="144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2"/>
                <w:szCs w:val="12"/>
                <w:color w:val="auto"/>
              </w:rPr>
              <w:t>of $0.5 and $1.2, respectively</w:t>
            </w:r>
          </w:p>
        </w:tc>
        <w:tc>
          <w:tcPr>
            <w:tcW w:w="14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290.0</w:t>
            </w:r>
          </w:p>
        </w:tc>
        <w:tc>
          <w:tcPr>
            <w:tcW w:w="3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273.4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Inventories, net</w:t>
            </w:r>
          </w:p>
        </w:tc>
        <w:tc>
          <w:tcPr>
            <w:tcW w:w="14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4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89.6</w:t>
            </w:r>
          </w:p>
        </w:tc>
        <w:tc>
          <w:tcPr>
            <w:tcW w:w="3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 held for sale</w:t>
            </w:r>
          </w:p>
        </w:tc>
        <w:tc>
          <w:tcPr>
            <w:tcW w:w="144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60" w:type="dxa"/>
            <w:vAlign w:val="bottom"/>
            <w:shd w:val="clear" w:color="auto" w:fill="CCEC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440" w:type="dxa"/>
            <w:vAlign w:val="bottom"/>
            <w:tcBorders>
              <w:top w:val="single" w:sz="8" w:color="auto"/>
            </w:tcBorders>
            <w:shd w:val="clear" w:color="auto" w:fill="CCECFF"/>
          </w:tcPr>
          <w:p>
            <w:pPr>
              <w:spacing w:after="0"/>
              <w:rPr>
                <w:sz w:val="11"/>
                <w:szCs w:val="11"/>
                <w:color w:val="auto"/>
              </w:rPr>
            </w:pPr>
          </w:p>
        </w:tc>
        <w:tc>
          <w:tcPr>
            <w:tcW w:w="46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1,420.5</w:t>
            </w:r>
          </w:p>
        </w:tc>
        <w:tc>
          <w:tcPr>
            <w:tcW w:w="300" w:type="dxa"/>
            <w:vAlign w:val="bottom"/>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60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5,796.2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Property, plant and equipment, net of accumulated depreciation</w:t>
            </w:r>
          </w:p>
        </w:tc>
        <w:tc>
          <w:tcPr>
            <w:tcW w:w="1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of $129.7 and $134.7, respectively</w:t>
            </w:r>
          </w:p>
        </w:tc>
        <w:tc>
          <w:tcPr>
            <w:tcW w:w="14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Goodwill</w:t>
            </w:r>
          </w:p>
        </w:tc>
        <w:tc>
          <w:tcPr>
            <w:tcW w:w="14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268.7</w:t>
            </w:r>
          </w:p>
        </w:tc>
        <w:tc>
          <w:tcPr>
            <w:tcW w:w="3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268.7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Other intangible assets, net</w:t>
            </w:r>
          </w:p>
        </w:tc>
        <w:tc>
          <w:tcPr>
            <w:tcW w:w="14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14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305.6</w:t>
            </w:r>
          </w:p>
        </w:tc>
        <w:tc>
          <w:tcPr>
            <w:tcW w:w="3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1,722.3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4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Noncurrent assets held for sale</w:t>
            </w:r>
          </w:p>
        </w:tc>
        <w:tc>
          <w:tcPr>
            <w:tcW w:w="144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CFF"/>
          </w:tcPr>
          <w:p>
            <w:pPr>
              <w:spacing w:after="0"/>
              <w:rPr>
                <w:sz w:val="12"/>
                <w:szCs w:val="12"/>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696.0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060" w:type="dxa"/>
            <w:vAlign w:val="bottom"/>
            <w:tcBorders>
              <w:top w:val="single" w:sz="8" w:color="CCECFF"/>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assets</w:t>
            </w:r>
          </w:p>
        </w:tc>
        <w:tc>
          <w:tcPr>
            <w:tcW w:w="1440" w:type="dxa"/>
            <w:vAlign w:val="bottom"/>
            <w:tcBorders>
              <w:top w:val="single" w:sz="8" w:color="auto"/>
              <w:bottom w:val="single" w:sz="8" w:color="auto"/>
            </w:tcBorders>
          </w:tcPr>
          <w:p>
            <w:pPr>
              <w:jc w:val="right"/>
              <w:ind w:right="132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2,818.5</w:t>
            </w:r>
          </w:p>
        </w:tc>
        <w:tc>
          <w:tcPr>
            <w:tcW w:w="300" w:type="dxa"/>
            <w:vAlign w:val="bottom"/>
            <w:tcBorders>
              <w:top w:val="single" w:sz="8" w:color="CCEC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9,371.0</w:t>
            </w:r>
          </w:p>
        </w:tc>
        <w:tc>
          <w:tcPr>
            <w:tcW w:w="120" w:type="dxa"/>
            <w:vAlign w:val="bottom"/>
            <w:tcBorders>
              <w:top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ind w:left="228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 (Deficit)</w:t>
            </w:r>
          </w:p>
        </w:tc>
        <w:tc>
          <w:tcPr>
            <w:tcW w:w="14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1440" w:type="dxa"/>
            <w:vAlign w:val="bottom"/>
          </w:tcPr>
          <w:p>
            <w:pPr>
              <w:jc w:val="right"/>
              <w:ind w:right="132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178.8</w:t>
            </w:r>
          </w:p>
        </w:tc>
        <w:tc>
          <w:tcPr>
            <w:tcW w:w="3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Accrued and other liabilities</w:t>
            </w:r>
          </w:p>
        </w:tc>
        <w:tc>
          <w:tcPr>
            <w:tcW w:w="14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176.0</w:t>
            </w:r>
          </w:p>
        </w:tc>
        <w:tc>
          <w:tcPr>
            <w:tcW w:w="3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306.7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 held for sale</w:t>
            </w:r>
          </w:p>
        </w:tc>
        <w:tc>
          <w:tcPr>
            <w:tcW w:w="144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60" w:type="dxa"/>
            <w:vAlign w:val="bottom"/>
            <w:shd w:val="clear" w:color="auto" w:fill="CCEC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440" w:type="dxa"/>
            <w:vAlign w:val="bottom"/>
            <w:tcBorders>
              <w:top w:val="single" w:sz="8" w:color="auto"/>
            </w:tcBorders>
            <w:shd w:val="clear" w:color="auto" w:fill="CCECFF"/>
          </w:tcPr>
          <w:p>
            <w:pPr>
              <w:spacing w:after="0"/>
              <w:rPr>
                <w:sz w:val="11"/>
                <w:szCs w:val="11"/>
                <w:color w:val="auto"/>
              </w:rPr>
            </w:pPr>
          </w:p>
        </w:tc>
        <w:tc>
          <w:tcPr>
            <w:tcW w:w="46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354.8</w:t>
            </w:r>
          </w:p>
        </w:tc>
        <w:tc>
          <w:tcPr>
            <w:tcW w:w="300" w:type="dxa"/>
            <w:vAlign w:val="bottom"/>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60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1,495.5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144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14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64.4</w:t>
            </w:r>
          </w:p>
        </w:tc>
        <w:tc>
          <w:tcPr>
            <w:tcW w:w="3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67.3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4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165.7</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Noncurrent liabilities held for sale</w:t>
            </w:r>
          </w:p>
        </w:tc>
        <w:tc>
          <w:tcPr>
            <w:tcW w:w="144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CFF"/>
          </w:tcPr>
          <w:p>
            <w:pPr>
              <w:spacing w:after="0"/>
              <w:rPr>
                <w:sz w:val="12"/>
                <w:szCs w:val="12"/>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60" w:type="dxa"/>
            <w:vAlign w:val="bottom"/>
            <w:tcBorders>
              <w:top w:val="single" w:sz="8" w:color="CCECFF"/>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14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584.9</w:t>
            </w:r>
          </w:p>
        </w:tc>
        <w:tc>
          <w:tcPr>
            <w:tcW w:w="300" w:type="dxa"/>
            <w:vAlign w:val="bottom"/>
            <w:tcBorders>
              <w:top w:val="single" w:sz="8" w:color="CCEC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9,096.4</w:t>
            </w:r>
          </w:p>
        </w:tc>
        <w:tc>
          <w:tcPr>
            <w:tcW w:w="12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144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Series A convertible preferred stock, $0.01 par value</w:t>
            </w:r>
          </w:p>
        </w:tc>
        <w:tc>
          <w:tcPr>
            <w:tcW w:w="144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Stockholders' equity (deficit):</w:t>
            </w:r>
          </w:p>
        </w:tc>
        <w:tc>
          <w:tcPr>
            <w:tcW w:w="14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Preferred stock, $0.01 par value: Authorized shares: 200,000,000;</w:t>
            </w:r>
          </w:p>
        </w:tc>
        <w:tc>
          <w:tcPr>
            <w:tcW w:w="1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Issued and outstanding shares: None and 1,278,653, respectively,</w:t>
            </w: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Series A convertible preferred stock</w:t>
            </w:r>
          </w:p>
        </w:tc>
        <w:tc>
          <w:tcPr>
            <w:tcW w:w="14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70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Common stock, $0.01 par value: Authorized shares: 1,300,000,000;</w:t>
            </w:r>
          </w:p>
        </w:tc>
        <w:tc>
          <w:tcPr>
            <w:tcW w:w="144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Issued and outstanding shares: 212,979,678 and 223,260,316,</w:t>
            </w:r>
          </w:p>
        </w:tc>
        <w:tc>
          <w:tcPr>
            <w:tcW w:w="14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respectively</w:t>
            </w:r>
          </w:p>
        </w:tc>
        <w:tc>
          <w:tcPr>
            <w:tcW w:w="14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3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4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2,511.6</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Retained earnings (accumulated deficit)</w:t>
            </w:r>
          </w:p>
        </w:tc>
        <w:tc>
          <w:tcPr>
            <w:tcW w:w="14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259.3</w:t>
            </w:r>
          </w:p>
        </w:tc>
        <w:tc>
          <w:tcPr>
            <w:tcW w:w="3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(3,040.8)</w:t>
            </w:r>
          </w:p>
        </w:tc>
        <w:tc>
          <w:tcPr>
            <w:tcW w:w="0" w:type="dxa"/>
            <w:vAlign w:val="bottom"/>
          </w:tcPr>
          <w:p>
            <w:pPr>
              <w:spacing w:after="0"/>
              <w:rPr>
                <w:sz w:val="1"/>
                <w:szCs w:val="1"/>
                <w:color w:val="auto"/>
              </w:rPr>
            </w:pPr>
          </w:p>
        </w:tc>
      </w:tr>
      <w:tr>
        <w:trPr>
          <w:trHeight w:val="144"/>
        </w:trPr>
        <w:tc>
          <w:tcPr>
            <w:tcW w:w="7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14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(118.7)</w:t>
            </w:r>
          </w:p>
        </w:tc>
        <w:tc>
          <w:tcPr>
            <w:tcW w:w="0" w:type="dxa"/>
            <w:vAlign w:val="bottom"/>
          </w:tcPr>
          <w:p>
            <w:pPr>
              <w:spacing w:after="0"/>
              <w:rPr>
                <w:sz w:val="1"/>
                <w:szCs w:val="1"/>
                <w:color w:val="auto"/>
              </w:rPr>
            </w:pPr>
          </w:p>
        </w:tc>
      </w:tr>
      <w:tr>
        <w:trPr>
          <w:trHeight w:val="133"/>
        </w:trPr>
        <w:tc>
          <w:tcPr>
            <w:tcW w:w="70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Treasury stock, at cost: 39,678,750 shares and</w:t>
            </w:r>
          </w:p>
        </w:tc>
        <w:tc>
          <w:tcPr>
            <w:tcW w:w="144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18,665,426 shares, respectively</w:t>
            </w:r>
          </w:p>
        </w:tc>
        <w:tc>
          <w:tcPr>
            <w:tcW w:w="144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(541.2)</w:t>
            </w:r>
          </w:p>
        </w:tc>
        <w:tc>
          <w:tcPr>
            <w:tcW w:w="320" w:type="dxa"/>
            <w:vAlign w:val="bottom"/>
            <w:shd w:val="clear" w:color="auto" w:fill="CCECFF"/>
          </w:tcPr>
          <w:p>
            <w:pPr>
              <w:spacing w:after="0"/>
              <w:rPr>
                <w:sz w:val="13"/>
                <w:szCs w:val="13"/>
                <w:color w:val="auto"/>
              </w:rPr>
            </w:pPr>
          </w:p>
        </w:tc>
        <w:tc>
          <w:tcPr>
            <w:tcW w:w="1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(334.9)</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Total stockholders' equity (deficit)</w:t>
            </w:r>
          </w:p>
        </w:tc>
        <w:tc>
          <w:tcPr>
            <w:tcW w:w="1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06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2,233.6</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(1,004.1)</w:t>
            </w:r>
          </w:p>
        </w:tc>
        <w:tc>
          <w:tcPr>
            <w:tcW w:w="0" w:type="dxa"/>
            <w:vAlign w:val="bottom"/>
          </w:tcPr>
          <w:p>
            <w:pPr>
              <w:spacing w:after="0"/>
              <w:rPr>
                <w:sz w:val="1"/>
                <w:szCs w:val="1"/>
                <w:color w:val="auto"/>
              </w:rPr>
            </w:pPr>
          </w:p>
        </w:tc>
      </w:tr>
      <w:tr>
        <w:trPr>
          <w:trHeight w:val="140"/>
        </w:trPr>
        <w:tc>
          <w:tcPr>
            <w:tcW w:w="7060" w:type="dxa"/>
            <w:vAlign w:val="bottom"/>
            <w:tcBorders>
              <w:bottom w:val="single" w:sz="8" w:color="CCECFF"/>
            </w:tcBorders>
            <w:shd w:val="clear" w:color="auto" w:fill="CCEC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liabilities and stockholders' equity (deficit)</w:t>
            </w:r>
          </w:p>
        </w:tc>
        <w:tc>
          <w:tcPr>
            <w:tcW w:w="1440" w:type="dxa"/>
            <w:vAlign w:val="bottom"/>
            <w:tcBorders>
              <w:top w:val="single" w:sz="8" w:color="auto"/>
              <w:bottom w:val="single" w:sz="8" w:color="auto"/>
            </w:tcBorders>
            <w:shd w:val="clear" w:color="auto" w:fill="CCECFF"/>
          </w:tcPr>
          <w:p>
            <w:pPr>
              <w:jc w:val="right"/>
              <w:ind w:right="132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2,818.5</w:t>
            </w:r>
          </w:p>
        </w:tc>
        <w:tc>
          <w:tcPr>
            <w:tcW w:w="30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top w:val="single" w:sz="8" w:color="auto"/>
              <w:bottom w:val="single" w:sz="8" w:color="auto"/>
            </w:tcBorders>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9,371.0</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-2536825</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-2536825</wp:posOffset>
            </wp:positionV>
            <wp:extent cx="7429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-1593850</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-1593850</wp:posOffset>
            </wp:positionV>
            <wp:extent cx="7429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-223520</wp:posOffset>
            </wp:positionV>
            <wp:extent cx="93980" cy="128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-223520</wp:posOffset>
            </wp:positionV>
            <wp:extent cx="9969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9695" cy="12827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-16510</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-5080</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-16510</wp:posOffset>
            </wp:positionV>
            <wp:extent cx="7429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-5080</wp:posOffset>
            </wp:positionV>
            <wp:extent cx="7429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notes to unaudited condensed consolidated financial statements.</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5" w:name="page6"/>
    <w:bookmarkEnd w:id="5"/>
    <w:p>
      <w:pPr>
        <w:jc w:val="center"/>
        <w:ind w:right="112"/>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jc w:val="center"/>
        <w:ind w:right="112"/>
        <w:spacing w:after="0" w:line="216" w:lineRule="auto"/>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Cash Flows </w:t>
      </w:r>
      <w:r>
        <w:rPr>
          <w:rFonts w:ascii="Times New Roman" w:cs="Times New Roman" w:eastAsia="Times New Roman" w:hAnsi="Times New Roman"/>
          <w:sz w:val="16"/>
          <w:szCs w:val="16"/>
          <w:b w:val="1"/>
          <w:bCs w:val="1"/>
          <w:color w:val="auto"/>
          <w:vertAlign w:val="superscript"/>
        </w:rPr>
        <w:t>(1)</w:t>
      </w:r>
    </w:p>
    <w:p>
      <w:pPr>
        <w:jc w:val="center"/>
        <w:ind w:right="112"/>
        <w:spacing w:after="0"/>
        <w:rPr>
          <w:sz w:val="20"/>
          <w:szCs w:val="20"/>
          <w:color w:val="auto"/>
        </w:rPr>
      </w:pPr>
      <w:r>
        <w:rPr>
          <w:rFonts w:ascii="Times New Roman" w:cs="Times New Roman" w:eastAsia="Times New Roman" w:hAnsi="Times New Roman"/>
          <w:sz w:val="12"/>
          <w:szCs w:val="12"/>
          <w:b w:val="1"/>
          <w:bCs w:val="1"/>
          <w:color w:val="auto"/>
        </w:rPr>
        <w:t>(Unaudited -- In millions)</w:t>
      </w:r>
    </w:p>
    <w:p>
      <w:pPr>
        <w:spacing w:after="0" w:line="128"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0"/>
          <w:szCs w:val="10"/>
          <w:b w:val="1"/>
          <w:bCs w:val="1"/>
          <w:color w:val="auto"/>
        </w:rPr>
        <w:t>Nine Months Ended</w:t>
      </w:r>
    </w:p>
    <w:p>
      <w:pPr>
        <w:jc w:val="center"/>
        <w:ind w:left="8380"/>
        <w:spacing w:after="0" w:line="215" w:lineRule="auto"/>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8" w:type="dxa"/>
        <w:tblCellMar>
          <w:top w:w="0" w:type="dxa"/>
          <w:left w:w="0" w:type="dxa"/>
          <w:bottom w:w="0" w:type="dxa"/>
          <w:right w:w="0" w:type="dxa"/>
        </w:tblCellMar>
      </w:tblPr>
      <w:tr>
        <w:trPr>
          <w:trHeight w:val="88"/>
        </w:trPr>
        <w:tc>
          <w:tcPr>
            <w:tcW w:w="8500" w:type="dxa"/>
            <w:vAlign w:val="bottom"/>
          </w:tcPr>
          <w:p>
            <w:pPr>
              <w:spacing w:after="0"/>
              <w:rPr>
                <w:sz w:val="7"/>
                <w:szCs w:val="7"/>
                <w:color w:val="auto"/>
              </w:rPr>
            </w:pPr>
          </w:p>
        </w:tc>
        <w:tc>
          <w:tcPr>
            <w:tcW w:w="7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48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880" w:type="dxa"/>
            <w:vAlign w:val="bottom"/>
            <w:tcBorders>
              <w:top w:val="single" w:sz="8" w:color="auto"/>
              <w:bottom w:val="single" w:sz="8" w:color="auto"/>
            </w:tcBorders>
          </w:tcPr>
          <w:p>
            <w:pPr>
              <w:jc w:val="right"/>
              <w:ind w:right="420"/>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133"/>
        </w:trPr>
        <w:tc>
          <w:tcPr>
            <w:tcW w:w="85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Activities:</w:t>
            </w:r>
          </w:p>
        </w:tc>
        <w:tc>
          <w:tcPr>
            <w:tcW w:w="70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income</w:t>
            </w:r>
          </w:p>
        </w:tc>
        <w:tc>
          <w:tcPr>
            <w:tcW w:w="700" w:type="dxa"/>
            <w:vAlign w:val="bottom"/>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6,833.7</w:t>
            </w:r>
          </w:p>
        </w:tc>
        <w:tc>
          <w:tcPr>
            <w:tcW w:w="34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924.2</w:t>
            </w:r>
          </w:p>
        </w:tc>
        <w:tc>
          <w:tcPr>
            <w:tcW w:w="120" w:type="dxa"/>
            <w:vAlign w:val="bottom"/>
          </w:tcPr>
          <w:p>
            <w:pPr>
              <w:spacing w:after="0"/>
              <w:rPr>
                <w:sz w:val="12"/>
                <w:szCs w:val="12"/>
                <w:color w:val="auto"/>
              </w:rPr>
            </w:pP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Adjustments to reconcile net income to net cash used in operating activities:</w:t>
            </w:r>
          </w:p>
        </w:tc>
        <w:tc>
          <w:tcPr>
            <w:tcW w:w="70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4"/>
        </w:trPr>
        <w:tc>
          <w:tcPr>
            <w:tcW w:w="8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227.9</w:t>
            </w:r>
          </w:p>
        </w:tc>
        <w:tc>
          <w:tcPr>
            <w:tcW w:w="120" w:type="dxa"/>
            <w:vAlign w:val="bottom"/>
          </w:tcPr>
          <w:p>
            <w:pPr>
              <w:spacing w:after="0"/>
              <w:rPr>
                <w:sz w:val="12"/>
                <w:szCs w:val="12"/>
                <w:color w:val="auto"/>
              </w:rPr>
            </w:pPr>
          </w:p>
        </w:tc>
      </w:tr>
      <w:tr>
        <w:trPr>
          <w:trHeight w:val="144"/>
        </w:trPr>
        <w:tc>
          <w:tcPr>
            <w:tcW w:w="85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Equity-based compensation</w:t>
            </w:r>
          </w:p>
        </w:tc>
        <w:tc>
          <w:tcPr>
            <w:tcW w:w="70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3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20" w:type="dxa"/>
            <w:vAlign w:val="bottom"/>
            <w:shd w:val="clear" w:color="auto" w:fill="CCECFF"/>
          </w:tcPr>
          <w:p>
            <w:pPr>
              <w:spacing w:after="0"/>
              <w:rPr>
                <w:sz w:val="12"/>
                <w:szCs w:val="12"/>
                <w:color w:val="auto"/>
              </w:rPr>
            </w:pPr>
          </w:p>
        </w:tc>
      </w:tr>
      <w:tr>
        <w:trPr>
          <w:trHeight w:val="144"/>
        </w:trPr>
        <w:tc>
          <w:tcPr>
            <w:tcW w:w="8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7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120" w:type="dxa"/>
            <w:vAlign w:val="bottom"/>
          </w:tcPr>
          <w:p>
            <w:pPr>
              <w:spacing w:after="0"/>
              <w:rPr>
                <w:sz w:val="12"/>
                <w:szCs w:val="12"/>
                <w:color w:val="auto"/>
              </w:rPr>
            </w:pPr>
          </w:p>
        </w:tc>
      </w:tr>
      <w:tr>
        <w:trPr>
          <w:trHeight w:val="144"/>
        </w:trPr>
        <w:tc>
          <w:tcPr>
            <w:tcW w:w="85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Gain on disposal of discontinued operations</w:t>
            </w:r>
          </w:p>
        </w:tc>
        <w:tc>
          <w:tcPr>
            <w:tcW w:w="7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(8,265.7)</w:t>
            </w: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(869.0)</w:t>
            </w:r>
          </w:p>
        </w:tc>
      </w:tr>
      <w:tr>
        <w:trPr>
          <w:trHeight w:val="144"/>
        </w:trPr>
        <w:tc>
          <w:tcPr>
            <w:tcW w:w="8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Noncash write-off of unamortized debt issuance costs and original issue discount</w:t>
            </w:r>
          </w:p>
        </w:tc>
        <w:tc>
          <w:tcPr>
            <w:tcW w:w="7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5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70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4"/>
        </w:trPr>
        <w:tc>
          <w:tcPr>
            <w:tcW w:w="8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Accounts receivable</w:t>
            </w:r>
          </w:p>
        </w:tc>
        <w:tc>
          <w:tcPr>
            <w:tcW w:w="7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(45.0)</w:t>
            </w:r>
          </w:p>
        </w:tc>
        <w:tc>
          <w:tcPr>
            <w:tcW w:w="2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(347.3)</w:t>
            </w:r>
          </w:p>
        </w:tc>
      </w:tr>
      <w:tr>
        <w:trPr>
          <w:trHeight w:val="144"/>
        </w:trPr>
        <w:tc>
          <w:tcPr>
            <w:tcW w:w="850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2"/>
                <w:szCs w:val="12"/>
                <w:color w:val="auto"/>
              </w:rPr>
              <w:t>Inventories</w:t>
            </w:r>
          </w:p>
        </w:tc>
        <w:tc>
          <w:tcPr>
            <w:tcW w:w="7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(159.9)</w:t>
            </w: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(67.5)</w:t>
            </w:r>
          </w:p>
        </w:tc>
      </w:tr>
      <w:tr>
        <w:trPr>
          <w:trHeight w:val="144"/>
        </w:trPr>
        <w:tc>
          <w:tcPr>
            <w:tcW w:w="85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7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(42.8)</w:t>
            </w:r>
          </w:p>
        </w:tc>
        <w:tc>
          <w:tcPr>
            <w:tcW w:w="2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(148.9)</w:t>
            </w:r>
          </w:p>
        </w:tc>
      </w:tr>
      <w:tr>
        <w:trPr>
          <w:trHeight w:val="144"/>
        </w:trPr>
        <w:tc>
          <w:tcPr>
            <w:tcW w:w="850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2"/>
                <w:szCs w:val="12"/>
                <w:color w:val="auto"/>
              </w:rPr>
              <w:t>Accounts payable and other liabilities</w:t>
            </w:r>
          </w:p>
        </w:tc>
        <w:tc>
          <w:tcPr>
            <w:tcW w:w="7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(292.1)</w:t>
            </w: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208.2</w:t>
            </w:r>
          </w:p>
        </w:tc>
        <w:tc>
          <w:tcPr>
            <w:tcW w:w="120" w:type="dxa"/>
            <w:vAlign w:val="bottom"/>
            <w:shd w:val="clear" w:color="auto" w:fill="CCECFF"/>
          </w:tcPr>
          <w:p>
            <w:pPr>
              <w:spacing w:after="0"/>
              <w:rPr>
                <w:sz w:val="12"/>
                <w:szCs w:val="12"/>
                <w:color w:val="auto"/>
              </w:rPr>
            </w:pP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7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120" w:type="dxa"/>
            <w:vAlign w:val="bottom"/>
          </w:tcPr>
          <w:p>
            <w:pPr>
              <w:spacing w:after="0"/>
              <w:rPr>
                <w:sz w:val="12"/>
                <w:szCs w:val="12"/>
                <w:color w:val="auto"/>
              </w:rPr>
            </w:pPr>
          </w:p>
        </w:tc>
      </w:tr>
      <w:tr>
        <w:trPr>
          <w:trHeight w:val="133"/>
        </w:trPr>
        <w:tc>
          <w:tcPr>
            <w:tcW w:w="85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Net cash generated by (used in) operating activities</w:t>
            </w:r>
          </w:p>
        </w:tc>
        <w:tc>
          <w:tcPr>
            <w:tcW w:w="70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(356.9)</w:t>
            </w: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41.6</w:t>
            </w:r>
          </w:p>
        </w:tc>
        <w:tc>
          <w:tcPr>
            <w:tcW w:w="120" w:type="dxa"/>
            <w:vAlign w:val="bottom"/>
            <w:shd w:val="clear" w:color="auto" w:fill="CCECFF"/>
          </w:tcPr>
          <w:p>
            <w:pPr>
              <w:spacing w:after="0"/>
              <w:rPr>
                <w:sz w:val="11"/>
                <w:szCs w:val="11"/>
                <w:color w:val="auto"/>
              </w:rPr>
            </w:pPr>
          </w:p>
        </w:tc>
      </w:tr>
      <w:tr>
        <w:trPr>
          <w:trHeight w:val="144"/>
        </w:trPr>
        <w:tc>
          <w:tcPr>
            <w:tcW w:w="8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7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(4.4)</w:t>
            </w: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(44.5)</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70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2"/>
                <w:szCs w:val="12"/>
                <w:color w:val="auto"/>
              </w:rPr>
            </w:pP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Net proceeds from divestitures</w:t>
            </w:r>
          </w:p>
        </w:tc>
        <w:tc>
          <w:tcPr>
            <w:tcW w:w="70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12,409.8</w:t>
            </w:r>
          </w:p>
        </w:tc>
        <w:tc>
          <w:tcPr>
            <w:tcW w:w="3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2,041.9</w:t>
            </w:r>
          </w:p>
        </w:tc>
        <w:tc>
          <w:tcPr>
            <w:tcW w:w="120" w:type="dxa"/>
            <w:vAlign w:val="bottom"/>
            <w:shd w:val="clear" w:color="auto" w:fill="CCECFF"/>
          </w:tcPr>
          <w:p>
            <w:pPr>
              <w:spacing w:after="0"/>
              <w:rPr>
                <w:sz w:val="12"/>
                <w:szCs w:val="12"/>
                <w:color w:val="auto"/>
              </w:rPr>
            </w:pP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7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85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Net cash generated by investing activities</w:t>
            </w:r>
          </w:p>
        </w:tc>
        <w:tc>
          <w:tcPr>
            <w:tcW w:w="700" w:type="dxa"/>
            <w:vAlign w:val="bottom"/>
            <w:tcBorders>
              <w:top w:val="single" w:sz="8" w:color="auto"/>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12,407.3</w:t>
            </w:r>
          </w:p>
        </w:tc>
        <w:tc>
          <w:tcPr>
            <w:tcW w:w="340" w:type="dxa"/>
            <w:vAlign w:val="bottom"/>
            <w:shd w:val="clear" w:color="auto" w:fill="CCECFF"/>
          </w:tcPr>
          <w:p>
            <w:pPr>
              <w:spacing w:after="0"/>
              <w:rPr>
                <w:sz w:val="11"/>
                <w:szCs w:val="11"/>
                <w:color w:val="auto"/>
              </w:rPr>
            </w:pPr>
          </w:p>
        </w:tc>
        <w:tc>
          <w:tcPr>
            <w:tcW w:w="280" w:type="dxa"/>
            <w:vAlign w:val="bottom"/>
            <w:tcBorders>
              <w:top w:val="single" w:sz="8" w:color="auto"/>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2,007.4</w:t>
            </w:r>
          </w:p>
        </w:tc>
        <w:tc>
          <w:tcPr>
            <w:tcW w:w="120" w:type="dxa"/>
            <w:vAlign w:val="bottom"/>
            <w:shd w:val="clear" w:color="auto" w:fill="CCECFF"/>
          </w:tcPr>
          <w:p>
            <w:pPr>
              <w:spacing w:after="0"/>
              <w:rPr>
                <w:sz w:val="11"/>
                <w:szCs w:val="11"/>
                <w:color w:val="auto"/>
              </w:rPr>
            </w:pPr>
          </w:p>
        </w:tc>
      </w:tr>
      <w:tr>
        <w:trPr>
          <w:trHeight w:val="144"/>
        </w:trPr>
        <w:tc>
          <w:tcPr>
            <w:tcW w:w="8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Long-term debt repaid</w:t>
            </w:r>
          </w:p>
        </w:tc>
        <w:tc>
          <w:tcPr>
            <w:tcW w:w="7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(7,370.8)</w:t>
            </w: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(2,049.0)</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Long-term debt proceeds</w:t>
            </w:r>
          </w:p>
        </w:tc>
        <w:tc>
          <w:tcPr>
            <w:tcW w:w="70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Pr>
          <w:p>
            <w:pPr>
              <w:spacing w:after="0"/>
              <w:rPr>
                <w:sz w:val="12"/>
                <w:szCs w:val="12"/>
                <w:color w:val="auto"/>
              </w:rPr>
            </w:pP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Debt issuance costs</w:t>
            </w:r>
          </w:p>
        </w:tc>
        <w:tc>
          <w:tcPr>
            <w:tcW w:w="7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(3.3)</w:t>
            </w: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Redemption of Series A convertible preferred stock</w:t>
            </w:r>
          </w:p>
        </w:tc>
        <w:tc>
          <w:tcPr>
            <w:tcW w:w="7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(1,278.7)</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Special distributions paid to common stockholders</w:t>
            </w:r>
          </w:p>
        </w:tc>
        <w:tc>
          <w:tcPr>
            <w:tcW w:w="7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(3,435.2)</w:t>
            </w: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Dividends paid on Series A convertible preferred stock</w:t>
            </w:r>
          </w:p>
        </w:tc>
        <w:tc>
          <w:tcPr>
            <w:tcW w:w="7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(1.7)</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Proceeds from the issuance of common shares under equity-based compensation plans</w:t>
            </w:r>
          </w:p>
        </w:tc>
        <w:tc>
          <w:tcPr>
            <w:tcW w:w="70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3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Tax withholding payments for vested equity-based compensation awards</w:t>
            </w:r>
          </w:p>
        </w:tc>
        <w:tc>
          <w:tcPr>
            <w:tcW w:w="7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(47.7)</w:t>
            </w:r>
          </w:p>
        </w:tc>
        <w:tc>
          <w:tcPr>
            <w:tcW w:w="2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7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(157.0)</w:t>
            </w: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8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7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1"/>
              </w:rPr>
              <w:t>(12,292.5)</w:t>
            </w:r>
          </w:p>
        </w:tc>
        <w:tc>
          <w:tcPr>
            <w:tcW w:w="3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(2,015.9)</w:t>
            </w:r>
          </w:p>
        </w:tc>
        <w:tc>
          <w:tcPr>
            <w:tcW w:w="120" w:type="dxa"/>
            <w:vAlign w:val="bottom"/>
          </w:tcPr>
          <w:p>
            <w:pPr>
              <w:spacing w:after="0"/>
              <w:rPr>
                <w:sz w:val="11"/>
                <w:szCs w:val="11"/>
                <w:color w:val="auto"/>
              </w:rPr>
            </w:pPr>
          </w:p>
        </w:tc>
      </w:tr>
      <w:tr>
        <w:trPr>
          <w:trHeight w:val="144"/>
        </w:trPr>
        <w:tc>
          <w:tcPr>
            <w:tcW w:w="85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700" w:type="dxa"/>
            <w:vAlign w:val="bottom"/>
            <w:tcBorders>
              <w:bottom w:val="single" w:sz="8" w:color="auto"/>
            </w:tcBorders>
            <w:shd w:val="clear" w:color="auto" w:fill="CCECFF"/>
          </w:tcPr>
          <w:p>
            <w:pPr>
              <w:spacing w:after="0"/>
              <w:rPr>
                <w:sz w:val="12"/>
                <w:szCs w:val="12"/>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34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33"/>
        </w:trPr>
        <w:tc>
          <w:tcPr>
            <w:tcW w:w="8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Change in cash and cash equivalents</w:t>
            </w:r>
          </w:p>
        </w:tc>
        <w:tc>
          <w:tcPr>
            <w:tcW w:w="700" w:type="dxa"/>
            <w:vAlign w:val="bottom"/>
          </w:tcPr>
          <w:p>
            <w:pPr>
              <w:spacing w:after="0"/>
              <w:rPr>
                <w:sz w:val="11"/>
                <w:szCs w:val="11"/>
                <w:color w:val="auto"/>
              </w:rPr>
            </w:pPr>
          </w:p>
        </w:tc>
        <w:tc>
          <w:tcPr>
            <w:tcW w:w="82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(239.7)</w:t>
            </w:r>
          </w:p>
        </w:tc>
        <w:tc>
          <w:tcPr>
            <w:tcW w:w="2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42.0</w:t>
            </w:r>
          </w:p>
        </w:tc>
        <w:tc>
          <w:tcPr>
            <w:tcW w:w="120" w:type="dxa"/>
            <w:vAlign w:val="bottom"/>
          </w:tcPr>
          <w:p>
            <w:pPr>
              <w:spacing w:after="0"/>
              <w:rPr>
                <w:sz w:val="11"/>
                <w:szCs w:val="11"/>
                <w:color w:val="auto"/>
              </w:rPr>
            </w:pPr>
          </w:p>
        </w:tc>
      </w:tr>
      <w:tr>
        <w:trPr>
          <w:trHeight w:val="144"/>
        </w:trPr>
        <w:tc>
          <w:tcPr>
            <w:tcW w:w="85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700" w:type="dxa"/>
            <w:vAlign w:val="bottom"/>
            <w:tcBorders>
              <w:bottom w:val="single" w:sz="8" w:color="auto"/>
            </w:tcBorders>
            <w:shd w:val="clear" w:color="auto" w:fill="CCECFF"/>
          </w:tcPr>
          <w:p>
            <w:pPr>
              <w:spacing w:after="0"/>
              <w:rPr>
                <w:sz w:val="12"/>
                <w:szCs w:val="12"/>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922.8</w:t>
            </w:r>
          </w:p>
        </w:tc>
        <w:tc>
          <w:tcPr>
            <w:tcW w:w="34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663.3</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0"/>
        </w:trPr>
        <w:tc>
          <w:tcPr>
            <w:tcW w:w="8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7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683.1</w:t>
            </w:r>
          </w:p>
        </w:tc>
        <w:tc>
          <w:tcPr>
            <w:tcW w:w="34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705.3</w:t>
            </w: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6155055</wp:posOffset>
            </wp:positionH>
            <wp:positionV relativeFrom="paragraph">
              <wp:posOffset>-302260</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-302260</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-113665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-113665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left="3968" w:right="1160" w:hanging="3968"/>
        <w:spacing w:after="0" w:line="530" w:lineRule="auto"/>
        <w:tabs>
          <w:tab w:leader="none" w:pos="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cash flows related to discontinued operations have not been segregated. Accordingly, the Condensed Consolidated Statements of Cash Flows include the results of continuing and discontinued operations. See notes to unaudited condensed consolidated financial statements.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1" w:right="299" w:bottom="1440" w:gutter="0" w:footer="0" w:header="0"/>
        </w:sectPr>
      </w:pPr>
    </w:p>
    <w:bookmarkStart w:id="6" w:name="page7"/>
    <w:bookmarkEnd w:id="6"/>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 (Deficit)</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(Unaudited – In millions, except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55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55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461"/>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28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460"/>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2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441"/>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440"/>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133"/>
        </w:trPr>
        <w:tc>
          <w:tcPr>
            <w:tcW w:w="55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Number of common shares outstanding:</w:t>
            </w: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4"/>
        </w:trPr>
        <w:tc>
          <w:tcPr>
            <w:tcW w:w="5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230,046,379</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221,451,007</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223,260,316</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215,887,001</w:t>
            </w:r>
          </w:p>
        </w:tc>
        <w:tc>
          <w:tcPr>
            <w:tcW w:w="120" w:type="dxa"/>
            <w:vAlign w:val="bottom"/>
          </w:tcPr>
          <w:p>
            <w:pPr>
              <w:spacing w:after="0"/>
              <w:rPr>
                <w:sz w:val="12"/>
                <w:szCs w:val="12"/>
                <w:color w:val="auto"/>
              </w:rPr>
            </w:pPr>
          </w:p>
        </w:tc>
      </w:tr>
      <w:tr>
        <w:trPr>
          <w:trHeight w:val="144"/>
        </w:trPr>
        <w:tc>
          <w:tcPr>
            <w:tcW w:w="55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Issuance of shares under equity-based compensation plans</w:t>
            </w:r>
          </w:p>
        </w:tc>
        <w:tc>
          <w:tcPr>
            <w:tcW w:w="28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997,732</w:t>
            </w:r>
          </w:p>
        </w:tc>
        <w:tc>
          <w:tcPr>
            <w:tcW w:w="28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111,300</w:t>
            </w:r>
          </w:p>
        </w:tc>
        <w:tc>
          <w:tcPr>
            <w:tcW w:w="2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10,732,686</w:t>
            </w:r>
          </w:p>
        </w:tc>
        <w:tc>
          <w:tcPr>
            <w:tcW w:w="30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7,533,570</w:t>
            </w:r>
          </w:p>
        </w:tc>
        <w:tc>
          <w:tcPr>
            <w:tcW w:w="120" w:type="dxa"/>
            <w:vAlign w:val="bottom"/>
            <w:shd w:val="clear" w:color="auto" w:fill="CCECFF"/>
          </w:tcPr>
          <w:p>
            <w:pPr>
              <w:spacing w:after="0"/>
              <w:rPr>
                <w:sz w:val="12"/>
                <w:szCs w:val="12"/>
                <w:color w:val="auto"/>
              </w:rPr>
            </w:pPr>
          </w:p>
        </w:tc>
      </w:tr>
      <w:tr>
        <w:trPr>
          <w:trHeight w:val="144"/>
        </w:trPr>
        <w:tc>
          <w:tcPr>
            <w:tcW w:w="5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Shares surrendered under equity-based compensation plans</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(360,664)</w:t>
            </w:r>
          </w:p>
        </w:tc>
        <w:tc>
          <w:tcPr>
            <w:tcW w:w="4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(35,181)</w:t>
            </w:r>
          </w:p>
        </w:tc>
        <w:tc>
          <w:tcPr>
            <w:tcW w:w="28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(3,309,555)</w:t>
            </w:r>
          </w:p>
        </w:tc>
        <w:tc>
          <w:tcPr>
            <w:tcW w:w="38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(1,893,445)</w:t>
            </w:r>
          </w:p>
        </w:tc>
      </w:tr>
      <w:tr>
        <w:trPr>
          <w:trHeight w:val="144"/>
        </w:trPr>
        <w:tc>
          <w:tcPr>
            <w:tcW w:w="55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280" w:type="dxa"/>
            <w:vAlign w:val="bottom"/>
            <w:shd w:val="clear" w:color="auto" w:fill="CCECFF"/>
          </w:tcPr>
          <w:p>
            <w:pPr>
              <w:spacing w:after="0"/>
              <w:rPr>
                <w:sz w:val="12"/>
                <w:szCs w:val="12"/>
                <w:color w:val="auto"/>
              </w:rPr>
            </w:pP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(17,703,769)</w:t>
            </w:r>
          </w:p>
        </w:tc>
        <w:tc>
          <w:tcPr>
            <w:tcW w:w="40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(17,703,769)</w:t>
            </w:r>
          </w:p>
        </w:tc>
        <w:tc>
          <w:tcPr>
            <w:tcW w:w="3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5500" w:type="dxa"/>
            <w:vAlign w:val="bottom"/>
            <w:tcBorders>
              <w:top w:val="single" w:sz="8" w:color="CCECFF"/>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212,979,678</w:t>
            </w:r>
          </w:p>
        </w:tc>
        <w:tc>
          <w:tcPr>
            <w:tcW w:w="280" w:type="dxa"/>
            <w:vAlign w:val="bottom"/>
            <w:tcBorders>
              <w:top w:val="single" w:sz="8" w:color="CCEC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221,527,126</w:t>
            </w:r>
          </w:p>
        </w:tc>
        <w:tc>
          <w:tcPr>
            <w:tcW w:w="280" w:type="dxa"/>
            <w:vAlign w:val="bottom"/>
            <w:tcBorders>
              <w:top w:val="single" w:sz="8" w:color="CCEC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212,979,678</w:t>
            </w:r>
          </w:p>
        </w:tc>
        <w:tc>
          <w:tcPr>
            <w:tcW w:w="300" w:type="dxa"/>
            <w:vAlign w:val="bottom"/>
            <w:tcBorders>
              <w:top w:val="single" w:sz="8" w:color="CCEC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221,527,126</w:t>
            </w:r>
          </w:p>
        </w:tc>
        <w:tc>
          <w:tcPr>
            <w:tcW w:w="120" w:type="dxa"/>
            <w:vAlign w:val="bottom"/>
            <w:tcBorders>
              <w:top w:val="single" w:sz="8" w:color="CCECFF"/>
            </w:tcBorders>
          </w:tcPr>
          <w:p>
            <w:pPr>
              <w:spacing w:after="0"/>
              <w:rPr>
                <w:sz w:val="12"/>
                <w:szCs w:val="12"/>
                <w:color w:val="auto"/>
              </w:rPr>
            </w:pPr>
          </w:p>
        </w:tc>
      </w:tr>
      <w:tr>
        <w:trPr>
          <w:trHeight w:val="144"/>
        </w:trPr>
        <w:tc>
          <w:tcPr>
            <w:tcW w:w="55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2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4"/>
        </w:trPr>
        <w:tc>
          <w:tcPr>
            <w:tcW w:w="5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8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8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30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2"/>
                <w:szCs w:val="12"/>
                <w:color w:val="auto"/>
              </w:rPr>
            </w:pPr>
          </w:p>
        </w:tc>
      </w:tr>
      <w:tr>
        <w:trPr>
          <w:trHeight w:val="144"/>
        </w:trPr>
        <w:tc>
          <w:tcPr>
            <w:tcW w:w="55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Issuance of shares under equity-based compensation plans</w:t>
            </w:r>
          </w:p>
        </w:tc>
        <w:tc>
          <w:tcPr>
            <w:tcW w:w="280" w:type="dxa"/>
            <w:vAlign w:val="bottom"/>
            <w:shd w:val="clear" w:color="auto" w:fill="CCECFF"/>
          </w:tcPr>
          <w:p>
            <w:pPr>
              <w:spacing w:after="0"/>
              <w:rPr>
                <w:sz w:val="12"/>
                <w:szCs w:val="12"/>
                <w:color w:val="auto"/>
              </w:rPr>
            </w:pPr>
          </w:p>
        </w:tc>
        <w:tc>
          <w:tcPr>
            <w:tcW w:w="12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0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shd w:val="clear" w:color="auto" w:fill="CCECFF"/>
          </w:tcPr>
          <w:p>
            <w:pPr>
              <w:spacing w:after="0"/>
              <w:rPr>
                <w:sz w:val="12"/>
                <w:szCs w:val="12"/>
                <w:color w:val="auto"/>
              </w:rPr>
            </w:pPr>
          </w:p>
        </w:tc>
      </w:tr>
      <w:tr>
        <w:trPr>
          <w:trHeight w:val="133"/>
        </w:trPr>
        <w:tc>
          <w:tcPr>
            <w:tcW w:w="5500" w:type="dxa"/>
            <w:vAlign w:val="bottom"/>
            <w:tcBorders>
              <w:top w:val="single" w:sz="8" w:color="CCECFF"/>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280" w:type="dxa"/>
            <w:vAlign w:val="bottom"/>
            <w:tcBorders>
              <w:top w:val="single" w:sz="8" w:color="CCECFF"/>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280" w:type="dxa"/>
            <w:vAlign w:val="bottom"/>
            <w:tcBorders>
              <w:top w:val="single" w:sz="8" w:color="CCEC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300" w:type="dxa"/>
            <w:vAlign w:val="bottom"/>
            <w:tcBorders>
              <w:top w:val="single" w:sz="8" w:color="CCECFF"/>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120" w:type="dxa"/>
            <w:vAlign w:val="bottom"/>
            <w:tcBorders>
              <w:top w:val="single" w:sz="8" w:color="CCECFF"/>
            </w:tcBorders>
          </w:tcPr>
          <w:p>
            <w:pPr>
              <w:spacing w:after="0"/>
              <w:rPr>
                <w:sz w:val="11"/>
                <w:szCs w:val="11"/>
                <w:color w:val="auto"/>
              </w:rPr>
            </w:pPr>
          </w:p>
        </w:tc>
      </w:tr>
      <w:tr>
        <w:trPr>
          <w:trHeight w:val="133"/>
        </w:trPr>
        <w:tc>
          <w:tcPr>
            <w:tcW w:w="55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Additional paid-in capital:</w:t>
            </w: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4"/>
        </w:trPr>
        <w:tc>
          <w:tcPr>
            <w:tcW w:w="5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2,503.9</w:t>
            </w:r>
          </w:p>
        </w:tc>
        <w:tc>
          <w:tcPr>
            <w:tcW w:w="28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2,496.7</w:t>
            </w:r>
          </w:p>
        </w:tc>
        <w:tc>
          <w:tcPr>
            <w:tcW w:w="28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2,487.9</w:t>
            </w:r>
          </w:p>
        </w:tc>
        <w:tc>
          <w:tcPr>
            <w:tcW w:w="30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2,514.2</w:t>
            </w:r>
          </w:p>
        </w:tc>
        <w:tc>
          <w:tcPr>
            <w:tcW w:w="120" w:type="dxa"/>
            <w:vAlign w:val="bottom"/>
          </w:tcPr>
          <w:p>
            <w:pPr>
              <w:spacing w:after="0"/>
              <w:rPr>
                <w:sz w:val="12"/>
                <w:szCs w:val="12"/>
                <w:color w:val="auto"/>
              </w:rPr>
            </w:pPr>
          </w:p>
        </w:tc>
      </w:tr>
      <w:tr>
        <w:trPr>
          <w:trHeight w:val="144"/>
        </w:trPr>
        <w:tc>
          <w:tcPr>
            <w:tcW w:w="55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Issuance of shares under equity-based compensation plans</w:t>
            </w:r>
          </w:p>
        </w:tc>
        <w:tc>
          <w:tcPr>
            <w:tcW w:w="28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8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30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Equity-based compensation</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20" w:type="dxa"/>
            <w:vAlign w:val="bottom"/>
          </w:tcPr>
          <w:p>
            <w:pPr>
              <w:spacing w:after="0"/>
              <w:rPr>
                <w:sz w:val="12"/>
                <w:szCs w:val="12"/>
                <w:color w:val="auto"/>
              </w:rPr>
            </w:pPr>
          </w:p>
        </w:tc>
      </w:tr>
      <w:tr>
        <w:trPr>
          <w:trHeight w:val="144"/>
        </w:trPr>
        <w:tc>
          <w:tcPr>
            <w:tcW w:w="55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Dividends on Series A convertible preferred stock</w:t>
            </w:r>
          </w:p>
        </w:tc>
        <w:tc>
          <w:tcPr>
            <w:tcW w:w="280" w:type="dxa"/>
            <w:vAlign w:val="bottom"/>
            <w:shd w:val="clear" w:color="auto" w:fill="CCECFF"/>
          </w:tcPr>
          <w:p>
            <w:pPr>
              <w:spacing w:after="0"/>
              <w:rPr>
                <w:sz w:val="12"/>
                <w:szCs w:val="12"/>
                <w:color w:val="auto"/>
              </w:rPr>
            </w:pPr>
          </w:p>
        </w:tc>
        <w:tc>
          <w:tcPr>
            <w:tcW w:w="12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(17.3)</w:t>
            </w:r>
          </w:p>
        </w:tc>
        <w:tc>
          <w:tcPr>
            <w:tcW w:w="28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(1.7)</w:t>
            </w:r>
          </w:p>
        </w:tc>
        <w:tc>
          <w:tcPr>
            <w:tcW w:w="3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(51.3)</w:t>
            </w:r>
          </w:p>
        </w:tc>
      </w:tr>
      <w:tr>
        <w:trPr>
          <w:trHeight w:val="133"/>
        </w:trPr>
        <w:tc>
          <w:tcPr>
            <w:tcW w:w="550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2,511.6</w:t>
            </w:r>
          </w:p>
        </w:tc>
        <w:tc>
          <w:tcPr>
            <w:tcW w:w="28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2,490.2</w:t>
            </w:r>
          </w:p>
        </w:tc>
        <w:tc>
          <w:tcPr>
            <w:tcW w:w="28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2,511.6</w:t>
            </w:r>
          </w:p>
        </w:tc>
        <w:tc>
          <w:tcPr>
            <w:tcW w:w="30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2,490.2</w:t>
            </w:r>
          </w:p>
        </w:tc>
        <w:tc>
          <w:tcPr>
            <w:tcW w:w="120" w:type="dxa"/>
            <w:vAlign w:val="bottom"/>
          </w:tcPr>
          <w:p>
            <w:pPr>
              <w:spacing w:after="0"/>
              <w:rPr>
                <w:sz w:val="11"/>
                <w:szCs w:val="11"/>
                <w:color w:val="auto"/>
              </w:rPr>
            </w:pPr>
          </w:p>
        </w:tc>
      </w:tr>
      <w:tr>
        <w:trPr>
          <w:trHeight w:val="133"/>
        </w:trPr>
        <w:tc>
          <w:tcPr>
            <w:tcW w:w="55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Retained earnings (accumulated deficit):</w:t>
            </w: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4"/>
        </w:trPr>
        <w:tc>
          <w:tcPr>
            <w:tcW w:w="5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376.7</w:t>
            </w:r>
          </w:p>
        </w:tc>
        <w:tc>
          <w:tcPr>
            <w:tcW w:w="28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(4,508.7)</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(3,040.8)</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(5,324.5)</w:t>
            </w:r>
          </w:p>
        </w:tc>
      </w:tr>
      <w:tr>
        <w:trPr>
          <w:trHeight w:val="133"/>
        </w:trPr>
        <w:tc>
          <w:tcPr>
            <w:tcW w:w="5500" w:type="dxa"/>
            <w:vAlign w:val="bottom"/>
            <w:shd w:val="clear" w:color="auto" w:fill="CCECFF"/>
          </w:tcPr>
          <w:p>
            <w:pPr>
              <w:ind w:left="40"/>
              <w:spacing w:after="0" w:line="133" w:lineRule="exact"/>
              <w:rPr>
                <w:sz w:val="20"/>
                <w:szCs w:val="20"/>
                <w:color w:val="auto"/>
              </w:rPr>
            </w:pPr>
            <w:r>
              <w:rPr>
                <w:rFonts w:ascii="Times New Roman" w:cs="Times New Roman" w:eastAsia="Times New Roman" w:hAnsi="Times New Roman"/>
                <w:sz w:val="12"/>
                <w:szCs w:val="12"/>
                <w:color w:val="auto"/>
              </w:rPr>
              <w:t>Excise tax on Series A convertible preferred stock</w:t>
            </w: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55"/>
        </w:trPr>
        <w:tc>
          <w:tcPr>
            <w:tcW w:w="55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redemption</w:t>
            </w:r>
          </w:p>
        </w:tc>
        <w:tc>
          <w:tcPr>
            <w:tcW w:w="28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8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(11.8)</w:t>
            </w:r>
          </w:p>
        </w:tc>
        <w:tc>
          <w:tcPr>
            <w:tcW w:w="38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Special distributions to common stockholders</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(1,148.1)</w:t>
            </w:r>
          </w:p>
        </w:tc>
        <w:tc>
          <w:tcPr>
            <w:tcW w:w="4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(3,521.8)</w:t>
            </w:r>
          </w:p>
        </w:tc>
        <w:tc>
          <w:tcPr>
            <w:tcW w:w="3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Net income</w:t>
            </w:r>
          </w:p>
        </w:tc>
        <w:tc>
          <w:tcPr>
            <w:tcW w:w="280" w:type="dxa"/>
            <w:vAlign w:val="bottom"/>
            <w:tcBorders>
              <w:bottom w:val="single" w:sz="8" w:color="auto"/>
            </w:tcBorders>
            <w:shd w:val="clear" w:color="auto" w:fill="CCECFF"/>
          </w:tcPr>
          <w:p>
            <w:pPr>
              <w:spacing w:after="0"/>
              <w:rPr>
                <w:sz w:val="12"/>
                <w:szCs w:val="12"/>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1,030.6</w:t>
            </w:r>
          </w:p>
        </w:tc>
        <w:tc>
          <w:tcPr>
            <w:tcW w:w="280" w:type="dxa"/>
            <w:vAlign w:val="bottom"/>
            <w:shd w:val="clear" w:color="auto" w:fill="CCECFF"/>
          </w:tcPr>
          <w:p>
            <w:pPr>
              <w:spacing w:after="0"/>
              <w:rPr>
                <w:sz w:val="12"/>
                <w:szCs w:val="12"/>
                <w:color w:val="auto"/>
              </w:rPr>
            </w:pPr>
          </w:p>
        </w:tc>
        <w:tc>
          <w:tcPr>
            <w:tcW w:w="400" w:type="dxa"/>
            <w:vAlign w:val="bottom"/>
            <w:tcBorders>
              <w:bottom w:val="single" w:sz="8" w:color="auto"/>
            </w:tcBorders>
            <w:shd w:val="clear" w:color="auto" w:fill="CCECFF"/>
          </w:tcPr>
          <w:p>
            <w:pPr>
              <w:spacing w:after="0"/>
              <w:rPr>
                <w:sz w:val="12"/>
                <w:szCs w:val="12"/>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280" w:type="dxa"/>
            <w:vAlign w:val="bottom"/>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6,833.7</w:t>
            </w:r>
          </w:p>
        </w:tc>
        <w:tc>
          <w:tcPr>
            <w:tcW w:w="300" w:type="dxa"/>
            <w:vAlign w:val="bottom"/>
            <w:shd w:val="clear" w:color="auto" w:fill="CCECFF"/>
          </w:tcPr>
          <w:p>
            <w:pPr>
              <w:spacing w:after="0"/>
              <w:rPr>
                <w:sz w:val="12"/>
                <w:szCs w:val="12"/>
                <w:color w:val="auto"/>
              </w:rPr>
            </w:pPr>
          </w:p>
        </w:tc>
        <w:tc>
          <w:tcPr>
            <w:tcW w:w="380" w:type="dxa"/>
            <w:vAlign w:val="bottom"/>
            <w:tcBorders>
              <w:bottom w:val="single" w:sz="8" w:color="auto"/>
            </w:tcBorders>
            <w:shd w:val="clear" w:color="auto" w:fill="CCECFF"/>
          </w:tcPr>
          <w:p>
            <w:pPr>
              <w:spacing w:after="0"/>
              <w:rPr>
                <w:sz w:val="12"/>
                <w:szCs w:val="12"/>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924.2</w:t>
            </w:r>
          </w:p>
        </w:tc>
        <w:tc>
          <w:tcPr>
            <w:tcW w:w="120" w:type="dxa"/>
            <w:vAlign w:val="bottom"/>
            <w:shd w:val="clear" w:color="auto" w:fill="CCECFF"/>
          </w:tcPr>
          <w:p>
            <w:pPr>
              <w:spacing w:after="0"/>
              <w:rPr>
                <w:sz w:val="12"/>
                <w:szCs w:val="12"/>
                <w:color w:val="auto"/>
              </w:rPr>
            </w:pPr>
          </w:p>
        </w:tc>
      </w:tr>
      <w:tr>
        <w:trPr>
          <w:trHeight w:val="133"/>
        </w:trPr>
        <w:tc>
          <w:tcPr>
            <w:tcW w:w="550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259.3</w:t>
            </w:r>
          </w:p>
        </w:tc>
        <w:tc>
          <w:tcPr>
            <w:tcW w:w="280" w:type="dxa"/>
            <w:vAlign w:val="bottom"/>
          </w:tcPr>
          <w:p>
            <w:pPr>
              <w:spacing w:after="0"/>
              <w:rPr>
                <w:sz w:val="11"/>
                <w:szCs w:val="11"/>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(4,400.3)</w:t>
            </w:r>
          </w:p>
        </w:tc>
        <w:tc>
          <w:tcPr>
            <w:tcW w:w="280" w:type="dxa"/>
            <w:vAlign w:val="bottom"/>
          </w:tcPr>
          <w:p>
            <w:pPr>
              <w:spacing w:after="0"/>
              <w:rPr>
                <w:sz w:val="11"/>
                <w:szCs w:val="11"/>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259.3</w:t>
            </w:r>
          </w:p>
        </w:tc>
        <w:tc>
          <w:tcPr>
            <w:tcW w:w="300" w:type="dxa"/>
            <w:vAlign w:val="bottom"/>
          </w:tcPr>
          <w:p>
            <w:pPr>
              <w:spacing w:after="0"/>
              <w:rPr>
                <w:sz w:val="11"/>
                <w:szCs w:val="11"/>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(4,400.3)</w:t>
            </w:r>
          </w:p>
        </w:tc>
      </w:tr>
      <w:tr>
        <w:trPr>
          <w:trHeight w:val="133"/>
        </w:trPr>
        <w:tc>
          <w:tcPr>
            <w:tcW w:w="55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28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0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8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8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4"/>
        </w:trPr>
        <w:tc>
          <w:tcPr>
            <w:tcW w:w="5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8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(116.5)</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(118.7)</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(344.5)</w:t>
            </w:r>
          </w:p>
        </w:tc>
      </w:tr>
      <w:tr>
        <w:trPr>
          <w:trHeight w:val="144"/>
        </w:trPr>
        <w:tc>
          <w:tcPr>
            <w:tcW w:w="55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Other comprehensive income (loss), net of tax</w:t>
            </w:r>
          </w:p>
        </w:tc>
        <w:tc>
          <w:tcPr>
            <w:tcW w:w="28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8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(5.7)</w:t>
            </w:r>
          </w:p>
        </w:tc>
        <w:tc>
          <w:tcPr>
            <w:tcW w:w="28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120.1</w:t>
            </w:r>
          </w:p>
        </w:tc>
        <w:tc>
          <w:tcPr>
            <w:tcW w:w="30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222.3</w:t>
            </w:r>
          </w:p>
        </w:tc>
        <w:tc>
          <w:tcPr>
            <w:tcW w:w="120" w:type="dxa"/>
            <w:vAlign w:val="bottom"/>
            <w:shd w:val="clear" w:color="auto" w:fill="CCECFF"/>
          </w:tcPr>
          <w:p>
            <w:pPr>
              <w:spacing w:after="0"/>
              <w:rPr>
                <w:sz w:val="12"/>
                <w:szCs w:val="12"/>
                <w:color w:val="auto"/>
              </w:rPr>
            </w:pPr>
          </w:p>
        </w:tc>
      </w:tr>
      <w:tr>
        <w:trPr>
          <w:trHeight w:val="20"/>
        </w:trPr>
        <w:tc>
          <w:tcPr>
            <w:tcW w:w="55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133"/>
        </w:trPr>
        <w:tc>
          <w:tcPr>
            <w:tcW w:w="550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280" w:type="dxa"/>
            <w:vAlign w:val="bottom"/>
          </w:tcPr>
          <w:p>
            <w:pPr>
              <w:spacing w:after="0"/>
              <w:rPr>
                <w:sz w:val="11"/>
                <w:szCs w:val="11"/>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(122.2)</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300" w:type="dxa"/>
            <w:vAlign w:val="bottom"/>
          </w:tcPr>
          <w:p>
            <w:pPr>
              <w:spacing w:after="0"/>
              <w:rPr>
                <w:sz w:val="11"/>
                <w:szCs w:val="11"/>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(122.2)</w:t>
            </w:r>
          </w:p>
        </w:tc>
      </w:tr>
      <w:tr>
        <w:trPr>
          <w:trHeight w:val="133"/>
        </w:trPr>
        <w:tc>
          <w:tcPr>
            <w:tcW w:w="55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Treasury stock, at cost:</w:t>
            </w:r>
          </w:p>
        </w:tc>
        <w:tc>
          <w:tcPr>
            <w:tcW w:w="28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0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8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8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4"/>
        </w:trPr>
        <w:tc>
          <w:tcPr>
            <w:tcW w:w="5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(378.1)</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(314.5)</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(334.9)</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(303.6)</w:t>
            </w:r>
          </w:p>
        </w:tc>
      </w:tr>
      <w:tr>
        <w:trPr>
          <w:trHeight w:val="133"/>
        </w:trPr>
        <w:tc>
          <w:tcPr>
            <w:tcW w:w="5500" w:type="dxa"/>
            <w:vAlign w:val="bottom"/>
            <w:shd w:val="clear" w:color="auto" w:fill="CCECFF"/>
          </w:tcPr>
          <w:p>
            <w:pPr>
              <w:ind w:left="40"/>
              <w:spacing w:after="0" w:line="133" w:lineRule="exact"/>
              <w:rPr>
                <w:sz w:val="20"/>
                <w:szCs w:val="20"/>
                <w:color w:val="auto"/>
              </w:rPr>
            </w:pPr>
            <w:r>
              <w:rPr>
                <w:rFonts w:ascii="Times New Roman" w:cs="Times New Roman" w:eastAsia="Times New Roman" w:hAnsi="Times New Roman"/>
                <w:sz w:val="12"/>
                <w:szCs w:val="12"/>
                <w:color w:val="auto"/>
              </w:rPr>
              <w:t>Net shares surrendered under equity-based compensation</w:t>
            </w: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55"/>
        </w:trPr>
        <w:tc>
          <w:tcPr>
            <w:tcW w:w="55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plans</w:t>
            </w:r>
          </w:p>
        </w:tc>
        <w:tc>
          <w:tcPr>
            <w:tcW w:w="280" w:type="dxa"/>
            <w:vAlign w:val="bottom"/>
            <w:shd w:val="clear" w:color="auto" w:fill="CCECFF"/>
          </w:tcPr>
          <w:p>
            <w:pPr>
              <w:spacing w:after="0"/>
              <w:rPr>
                <w:sz w:val="13"/>
                <w:szCs w:val="13"/>
                <w:color w:val="auto"/>
              </w:rPr>
            </w:pP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(4.5)</w:t>
            </w:r>
          </w:p>
        </w:tc>
        <w:tc>
          <w:tcPr>
            <w:tcW w:w="4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(0.3)</w:t>
            </w:r>
          </w:p>
        </w:tc>
        <w:tc>
          <w:tcPr>
            <w:tcW w:w="2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(47.7)</w:t>
            </w:r>
          </w:p>
        </w:tc>
        <w:tc>
          <w:tcPr>
            <w:tcW w:w="38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5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(157.0)</w:t>
            </w:r>
          </w:p>
        </w:tc>
        <w:tc>
          <w:tcPr>
            <w:tcW w:w="40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(157.0)</w:t>
            </w:r>
          </w:p>
        </w:tc>
        <w:tc>
          <w:tcPr>
            <w:tcW w:w="3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0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Excise tax on common stock repurchases</w:t>
            </w:r>
          </w:p>
        </w:tc>
        <w:tc>
          <w:tcPr>
            <w:tcW w:w="280" w:type="dxa"/>
            <w:vAlign w:val="bottom"/>
            <w:shd w:val="clear" w:color="auto" w:fill="CCECFF"/>
          </w:tcPr>
          <w:p>
            <w:pPr>
              <w:spacing w:after="0"/>
              <w:rPr>
                <w:sz w:val="12"/>
                <w:szCs w:val="12"/>
                <w:color w:val="auto"/>
              </w:rPr>
            </w:pP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(1.6)</w:t>
            </w:r>
          </w:p>
        </w:tc>
        <w:tc>
          <w:tcPr>
            <w:tcW w:w="40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(1.6)</w:t>
            </w:r>
          </w:p>
        </w:tc>
        <w:tc>
          <w:tcPr>
            <w:tcW w:w="3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55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133"/>
        </w:trPr>
        <w:tc>
          <w:tcPr>
            <w:tcW w:w="550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(541.2)</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(314.8)</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(541.2)</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(314.8)</w:t>
            </w:r>
          </w:p>
        </w:tc>
      </w:tr>
      <w:tr>
        <w:trPr>
          <w:trHeight w:val="20"/>
        </w:trPr>
        <w:tc>
          <w:tcPr>
            <w:tcW w:w="5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55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Total stockholders' equity (deficit)</w:t>
            </w:r>
          </w:p>
        </w:tc>
        <w:tc>
          <w:tcPr>
            <w:tcW w:w="280" w:type="dxa"/>
            <w:vAlign w:val="bottom"/>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2,233.6</w:t>
            </w:r>
          </w:p>
        </w:tc>
        <w:tc>
          <w:tcPr>
            <w:tcW w:w="280" w:type="dxa"/>
            <w:vAlign w:val="bottom"/>
            <w:shd w:val="clear" w:color="auto" w:fill="CCECFF"/>
          </w:tcPr>
          <w:p>
            <w:pPr>
              <w:spacing w:after="0"/>
              <w:rPr>
                <w:sz w:val="11"/>
                <w:szCs w:val="11"/>
                <w:color w:val="auto"/>
              </w:rPr>
            </w:pPr>
          </w:p>
        </w:tc>
        <w:tc>
          <w:tcPr>
            <w:tcW w:w="400" w:type="dxa"/>
            <w:vAlign w:val="bottom"/>
            <w:shd w:val="clear" w:color="auto" w:fill="CCEC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C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(2,344.7)</w:t>
            </w:r>
          </w:p>
        </w:tc>
        <w:tc>
          <w:tcPr>
            <w:tcW w:w="280" w:type="dxa"/>
            <w:vAlign w:val="bottom"/>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2,233.6</w:t>
            </w:r>
          </w:p>
        </w:tc>
        <w:tc>
          <w:tcPr>
            <w:tcW w:w="300" w:type="dxa"/>
            <w:vAlign w:val="bottom"/>
            <w:shd w:val="clear" w:color="auto" w:fill="CCECFF"/>
          </w:tcPr>
          <w:p>
            <w:pPr>
              <w:spacing w:after="0"/>
              <w:rPr>
                <w:sz w:val="11"/>
                <w:szCs w:val="11"/>
                <w:color w:val="auto"/>
              </w:rPr>
            </w:pPr>
          </w:p>
        </w:tc>
        <w:tc>
          <w:tcPr>
            <w:tcW w:w="380" w:type="dxa"/>
            <w:vAlign w:val="bottom"/>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C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(2,344.7)</w:t>
            </w:r>
          </w:p>
        </w:tc>
      </w:tr>
      <w:tr>
        <w:trPr>
          <w:trHeight w:val="27"/>
        </w:trPr>
        <w:tc>
          <w:tcPr>
            <w:tcW w:w="5500" w:type="dxa"/>
            <w:vAlign w:val="bottom"/>
            <w:shd w:val="clear" w:color="auto" w:fill="CCEC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EC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C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-2839720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-2839720</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-2839720</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-2839720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-2451100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-2451100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-2451100</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-2451100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-1903730</wp:posOffset>
            </wp:positionV>
            <wp:extent cx="93980" cy="128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-1903730</wp:posOffset>
            </wp:positionV>
            <wp:extent cx="93980"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6137275</wp:posOffset>
            </wp:positionH>
            <wp:positionV relativeFrom="paragraph">
              <wp:posOffset>-1903730</wp:posOffset>
            </wp:positionV>
            <wp:extent cx="93980" cy="128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7091680</wp:posOffset>
            </wp:positionH>
            <wp:positionV relativeFrom="paragraph">
              <wp:posOffset>-1903730</wp:posOffset>
            </wp:positionV>
            <wp:extent cx="93980" cy="128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-1252220</wp:posOffset>
            </wp:positionV>
            <wp:extent cx="93980" cy="128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-1252220</wp:posOffset>
            </wp:positionV>
            <wp:extent cx="93980" cy="128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6137275</wp:posOffset>
            </wp:positionH>
            <wp:positionV relativeFrom="paragraph">
              <wp:posOffset>-1252220</wp:posOffset>
            </wp:positionV>
            <wp:extent cx="93980" cy="128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7091680</wp:posOffset>
            </wp:positionH>
            <wp:positionV relativeFrom="paragraph">
              <wp:posOffset>-1252220</wp:posOffset>
            </wp:positionV>
            <wp:extent cx="93980" cy="128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-862330</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-862330</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-862330</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-862330</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-210820</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-210820</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-210820</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-210820</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-16510</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-5080</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-16510</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-5080</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-16510</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-5080</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-16510</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-5080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See notes to unaudited condensed consolidated financial statements.</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7" w:name="page8"/>
    <w:bookmarkEnd w:id="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135" w:lineRule="exact"/>
        <w:rPr>
          <w:sz w:val="20"/>
          <w:szCs w:val="20"/>
          <w:color w:val="auto"/>
        </w:rPr>
      </w:pPr>
    </w:p>
    <w:p>
      <w:pPr>
        <w:ind w:left="8" w:right="8460" w:hanging="8"/>
        <w:spacing w:after="0" w:line="379" w:lineRule="auto"/>
        <w:tabs>
          <w:tab w:leader="none" w:pos="1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BACKGROUND AND BASIS OF PRESENTATION Background</w:t>
      </w: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Vistance Networks, Inc. (Vistance or the Company), a global provider of intelligent network solutions, provides solutions for wired and wireless networks that enable service providers including cable, telephone and digital broadcast satellite operators and media programmers, to deliver media, voice and Internet Protocol (IP) data services. The Company’s solutions are complemented by services including technical support, systems design and integration. The Company is a leader in digital video and IP television (IPTV) distribution systems, broadband access infrastructure platforms and equipment that delivers data and voice networks to homes. The Company’s global leadership position is built upon innovative technology, broad solution offerings, high-quality and cost-effective customer solutions, and global manufacturing and distribution scale.</w:t>
      </w:r>
    </w:p>
    <w:p>
      <w:pPr>
        <w:spacing w:after="0" w:line="50" w:lineRule="exact"/>
        <w:rPr>
          <w:sz w:val="20"/>
          <w:szCs w:val="20"/>
          <w:color w:val="auto"/>
        </w:rPr>
      </w:pPr>
    </w:p>
    <w:p>
      <w:pPr>
        <w:ind w:left="8" w:right="40"/>
        <w:spacing w:after="0" w:line="260" w:lineRule="auto"/>
        <w:rPr>
          <w:sz w:val="20"/>
          <w:szCs w:val="20"/>
          <w:color w:val="auto"/>
        </w:rPr>
      </w:pPr>
      <w:r>
        <w:rPr>
          <w:rFonts w:ascii="Times New Roman" w:cs="Times New Roman" w:eastAsia="Times New Roman" w:hAnsi="Times New Roman"/>
          <w:sz w:val="12"/>
          <w:szCs w:val="12"/>
          <w:color w:val="auto"/>
        </w:rPr>
        <w:t>On July 1, 2026, the Company completed the previously announced sale of its RUCKUS segment to Belden Inc. (Belden) pursuant to the Purchase Agreement, dated as of April 29, 2026, in exchange for net cash consideration of $1.9 billion. The RUCKUS segment provided wireless networks for enterprises and service providers. Accordingly, the results of operations directly attributable to the RUCKUS segment have been reclassified to discontinued operations for all periods presented on the Condensed Consolidated Statements of Operations, and the related assets and liabilities were presented separately as assets and liabilities held for sale on the Condensed Consolidated Balance Sheet as of December 31, 2025. See Note 2 for further discussion of the sale of the RUCKUS segment and previous divestitures.</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82" w:lineRule="exact"/>
        <w:rPr>
          <w:sz w:val="20"/>
          <w:szCs w:val="20"/>
          <w:color w:val="auto"/>
        </w:rPr>
      </w:pPr>
    </w:p>
    <w:p>
      <w:pPr>
        <w:ind w:left="8" w:right="360"/>
        <w:spacing w:after="0" w:line="265"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spacing w:after="0" w:line="119" w:lineRule="exact"/>
        <w:rPr>
          <w:sz w:val="20"/>
          <w:szCs w:val="20"/>
          <w:color w:val="auto"/>
        </w:rPr>
      </w:pPr>
    </w:p>
    <w:p>
      <w:pPr>
        <w:ind w:left="8"/>
        <w:spacing w:after="0" w:line="257" w:lineRule="auto"/>
        <w:rPr>
          <w:sz w:val="20"/>
          <w:szCs w:val="20"/>
          <w:color w:val="auto"/>
        </w:rPr>
      </w:pPr>
      <w:r>
        <w:rPr>
          <w:rFonts w:ascii="Times New Roman" w:cs="Times New Roman" w:eastAsia="Times New Roman" w:hAnsi="Times New Roman"/>
          <w:sz w:val="12"/>
          <w:szCs w:val="12"/>
          <w:color w:val="auto"/>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2025 (the 2025 Annual Report). The significant accounting policies followed by the Company are set forth in Note 2 within the Company’s audited consolidated financial statements included in the 2025 Annual Report. There were no material changes in the Company’s significant accounting policies during the three or nine months ended September 30, 2026.</w:t>
      </w:r>
    </w:p>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Concentrations of Risk and Related Party Transactions</w:t>
      </w:r>
    </w:p>
    <w:p>
      <w:pPr>
        <w:spacing w:after="0" w:line="82" w:lineRule="exact"/>
        <w:rPr>
          <w:sz w:val="20"/>
          <w:szCs w:val="20"/>
          <w:color w:val="auto"/>
        </w:rPr>
      </w:pPr>
    </w:p>
    <w:p>
      <w:pPr>
        <w:ind w:left="8" w:right="40"/>
        <w:spacing w:after="0" w:line="257" w:lineRule="auto"/>
        <w:rPr>
          <w:sz w:val="20"/>
          <w:szCs w:val="20"/>
          <w:color w:val="auto"/>
        </w:rPr>
      </w:pPr>
      <w:r>
        <w:rPr>
          <w:rFonts w:ascii="Times New Roman" w:cs="Times New Roman" w:eastAsia="Times New Roman" w:hAnsi="Times New Roman"/>
          <w:sz w:val="12"/>
          <w:szCs w:val="12"/>
          <w:color w:val="212121"/>
        </w:rPr>
        <w:t xml:space="preserve">Net sales to </w:t>
      </w:r>
      <w:r>
        <w:rPr>
          <w:rFonts w:ascii="Times New Roman" w:cs="Times New Roman" w:eastAsia="Times New Roman" w:hAnsi="Times New Roman"/>
          <w:sz w:val="12"/>
          <w:szCs w:val="12"/>
          <w:color w:val="000000"/>
        </w:rPr>
        <w:t>Comcast</w:t>
      </w:r>
      <w:r>
        <w:rPr>
          <w:rFonts w:ascii="Times New Roman" w:cs="Times New Roman" w:eastAsia="Times New Roman" w:hAnsi="Times New Roman"/>
          <w:sz w:val="12"/>
          <w:szCs w:val="12"/>
          <w:color w:val="212121"/>
        </w:rPr>
        <w:t xml:space="preserve"> Corporation and affiliates (Comcast) accounted for approximately 61% and 60% of the Company’s total net sales during the three and nine months ended September 30, 2026, respectively. For the three and nine months ended September 30, 2025</w:t>
      </w:r>
      <w:r>
        <w:rPr>
          <w:rFonts w:ascii="Times New Roman" w:cs="Times New Roman" w:eastAsia="Times New Roman" w:hAnsi="Times New Roman"/>
          <w:sz w:val="12"/>
          <w:szCs w:val="12"/>
          <w:color w:val="000000"/>
        </w:rPr>
        <w:t>, net sales to Comcast accounted for approximately 60% and 49%, respectively. Net sales to Charter Communications, Inc. (Charter) accounted for approximately 11% of the Company’s total net sales</w:t>
      </w:r>
      <w:r>
        <w:rPr>
          <w:rFonts w:ascii="Times New Roman" w:cs="Times New Roman" w:eastAsia="Times New Roman" w:hAnsi="Times New Roman"/>
          <w:sz w:val="12"/>
          <w:szCs w:val="12"/>
          <w:color w:val="212121"/>
        </w:rPr>
        <w:t xml:space="preserve"> </w:t>
      </w:r>
      <w:r>
        <w:rPr>
          <w:rFonts w:ascii="Times New Roman" w:cs="Times New Roman" w:eastAsia="Times New Roman" w:hAnsi="Times New Roman"/>
          <w:sz w:val="12"/>
          <w:szCs w:val="12"/>
          <w:color w:val="000000"/>
        </w:rPr>
        <w:t>for the nine months ended September 30, 2025. Other than Comcast and Charter, no direct customer accounted for 10% or more of the Company’s net sales during the three or nine months ended September 30, 2026 or 2025. Accounts receivable from Comcast represented approximately 53% of the Company’s accounts receivable as of September 30, 2026. Other than Comcast, no direct customer accounted for 10% or more of the Company’s accounts receivable as of September 30, 2026.</w:t>
      </w:r>
    </w:p>
    <w:p>
      <w:pPr>
        <w:spacing w:after="0" w:line="125" w:lineRule="exact"/>
        <w:rPr>
          <w:sz w:val="20"/>
          <w:szCs w:val="20"/>
          <w:color w:val="auto"/>
        </w:rPr>
      </w:pPr>
    </w:p>
    <w:p>
      <w:pPr>
        <w:ind w:left="8" w:right="320"/>
        <w:spacing w:after="0" w:line="279" w:lineRule="auto"/>
        <w:rPr>
          <w:sz w:val="20"/>
          <w:szCs w:val="20"/>
          <w:color w:val="auto"/>
        </w:rPr>
      </w:pPr>
      <w:r>
        <w:rPr>
          <w:rFonts w:ascii="Times New Roman" w:cs="Times New Roman" w:eastAsia="Times New Roman" w:hAnsi="Times New Roman"/>
          <w:sz w:val="12"/>
          <w:szCs w:val="12"/>
          <w:color w:val="auto"/>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111"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Other than transactions related to the Series A Convertible Preferred Stock (Convertible Preferred Stock) through the January 9, 2026 redemption date and the Company’s continuing involvement with Vantiva SA (Vantiva) discussed in Note 2, there were no material related party transactions during the three or nine months ended September 30, 2026.</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Commitments and Contingencies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Product Warranties</w:t>
      </w:r>
    </w:p>
    <w:p>
      <w:pPr>
        <w:spacing w:after="0" w:line="8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Company recognizes a liability for the estimated claims that may be paid under its customer assurance-type warranty agreements to remedy potential deficiencies of quality or performance of the Company’s products. These product warranties extend over various periods, depending 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activity in the product warranty accrual, included in accrued and other liabilities and other noncurrent liabilities on the Condensed Consolidated Balance Sheets: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58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58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425"/>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42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jc w:val="right"/>
              <w:ind w:right="405"/>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40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133"/>
        </w:trPr>
        <w:tc>
          <w:tcPr>
            <w:tcW w:w="582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Product warranty accrual, beginning of period</w:t>
            </w:r>
          </w:p>
        </w:tc>
        <w:tc>
          <w:tcPr>
            <w:tcW w:w="26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w:t>
            </w:r>
          </w:p>
        </w:tc>
        <w:tc>
          <w:tcPr>
            <w:tcW w:w="320" w:type="dxa"/>
            <w:vAlign w:val="bottom"/>
            <w:shd w:val="clear" w:color="auto" w:fill="CCECFF"/>
          </w:tcPr>
          <w:p>
            <w:pPr>
              <w:spacing w:after="0"/>
              <w:rPr>
                <w:sz w:val="11"/>
                <w:szCs w:val="11"/>
                <w:color w:val="auto"/>
              </w:rPr>
            </w:pPr>
          </w:p>
        </w:tc>
        <w:tc>
          <w:tcPr>
            <w:tcW w:w="360" w:type="dxa"/>
            <w:vAlign w:val="bottom"/>
            <w:shd w:val="clear" w:color="auto" w:fill="CCEC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w:t>
            </w:r>
          </w:p>
        </w:tc>
        <w:tc>
          <w:tcPr>
            <w:tcW w:w="300" w:type="dxa"/>
            <w:vAlign w:val="bottom"/>
            <w:shd w:val="clear" w:color="auto" w:fill="CCECFF"/>
          </w:tcPr>
          <w:p>
            <w:pPr>
              <w:spacing w:after="0"/>
              <w:rPr>
                <w:sz w:val="11"/>
                <w:szCs w:val="11"/>
                <w:color w:val="auto"/>
              </w:rPr>
            </w:pPr>
          </w:p>
        </w:tc>
        <w:tc>
          <w:tcPr>
            <w:tcW w:w="260" w:type="dxa"/>
            <w:vAlign w:val="bottom"/>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w:t>
            </w:r>
          </w:p>
        </w:tc>
        <w:tc>
          <w:tcPr>
            <w:tcW w:w="300" w:type="dxa"/>
            <w:vAlign w:val="bottom"/>
            <w:shd w:val="clear" w:color="auto" w:fill="CCECFF"/>
          </w:tcPr>
          <w:p>
            <w:pPr>
              <w:spacing w:after="0"/>
              <w:rPr>
                <w:sz w:val="11"/>
                <w:szCs w:val="11"/>
                <w:color w:val="auto"/>
              </w:rPr>
            </w:pPr>
          </w:p>
        </w:tc>
        <w:tc>
          <w:tcPr>
            <w:tcW w:w="360" w:type="dxa"/>
            <w:vAlign w:val="bottom"/>
            <w:shd w:val="clear" w:color="auto" w:fill="CCEC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w:t>
            </w:r>
          </w:p>
        </w:tc>
        <w:tc>
          <w:tcPr>
            <w:tcW w:w="120" w:type="dxa"/>
            <w:vAlign w:val="bottom"/>
            <w:shd w:val="clear" w:color="auto" w:fill="CCECFF"/>
          </w:tcPr>
          <w:p>
            <w:pPr>
              <w:spacing w:after="0"/>
              <w:rPr>
                <w:sz w:val="11"/>
                <w:szCs w:val="11"/>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warranty claims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2"/>
                <w:szCs w:val="12"/>
                <w:color w:val="auto"/>
              </w:rPr>
            </w:pPr>
          </w:p>
        </w:tc>
      </w:tr>
      <w:tr>
        <w:trPr>
          <w:trHeight w:val="144"/>
        </w:trPr>
        <w:tc>
          <w:tcPr>
            <w:tcW w:w="582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Warranty claims paid</w:t>
            </w:r>
          </w:p>
        </w:tc>
        <w:tc>
          <w:tcPr>
            <w:tcW w:w="26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2"/>
                <w:szCs w:val="12"/>
                <w:color w:val="auto"/>
              </w:rPr>
              <w:t>(1.7)</w:t>
            </w:r>
          </w:p>
        </w:tc>
        <w:tc>
          <w:tcPr>
            <w:tcW w:w="36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(0.3)</w:t>
            </w:r>
          </w:p>
        </w:tc>
        <w:tc>
          <w:tcPr>
            <w:tcW w:w="26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(4.3)</w:t>
            </w:r>
          </w:p>
        </w:tc>
        <w:tc>
          <w:tcPr>
            <w:tcW w:w="36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(2.9)</w:t>
            </w:r>
          </w:p>
        </w:tc>
      </w:tr>
      <w:tr>
        <w:trPr>
          <w:trHeight w:val="140"/>
        </w:trPr>
        <w:tc>
          <w:tcPr>
            <w:tcW w:w="58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Product warranty accrual, end of period</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7.7</w:t>
            </w:r>
          </w:p>
        </w:tc>
        <w:tc>
          <w:tcPr>
            <w:tcW w:w="3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3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7.7</w:t>
            </w:r>
          </w:p>
        </w:tc>
        <w:tc>
          <w:tcPr>
            <w:tcW w:w="3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120" w:type="dxa"/>
            <w:vAlign w:val="bottom"/>
          </w:tcPr>
          <w:p>
            <w:pPr>
              <w:spacing w:after="0"/>
              <w:rPr>
                <w:sz w:val="12"/>
                <w:szCs w:val="12"/>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Legal Proceedings</w:t>
      </w:r>
    </w:p>
    <w:p>
      <w:pPr>
        <w:spacing w:after="0" w:line="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spacing w:after="0" w:line="125"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 Company is subject to various federal, state, local and foreign laws and regulations governing the use, discharge, disposal and remediation of hazardous materials. Compliance with current laws and regulations has not had, and is not expected to have, a material adverse effect on the Company’s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 Impairments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Goodwill</w:t>
      </w:r>
    </w:p>
    <w:p>
      <w:pPr>
        <w:spacing w:after="0" w:line="80"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Goodwill is tested for impairment annually or at other times if events have occurred or circumstances exist that indicate the carrying value of the reporting unit may exceed its fair value. There were no goodwill impairments identified during the three or nine months ended September 30, 2026 or 2025.</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As of the annual impairment test performed on October 1, 2025, the estimated fair value of the Aurora reporting unit exceeded its carrying amount by approximately 9%. Given the low headroom, the Aurora reporting unit remains sensitive to changes in key assumptions and market conditions. The significant assumptions in the discounted cash flow (DCF) model primarily include, but are not limited to, forecasts of annual revenue growth rates, annual EBITDA margin and the discount rate used to determine the present value of the cash flow projections. Adverse changes in general economic, industry, market or business conditions, reductions in forecasted cash flows, increases in the weighted average cost of capital, changes in short - and long-term growth rates assumptions, or increases in the carrying value of the reporting unit could result in the carrying value of the reporting unit exceeding its fair value. Accordingly, if projected operating results and cash flows are not achieved, or if other key valuation assumptions deteriorate, the Company could be required to recognize additional goodwill impairment charges in a future period, and these charges could be material to the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Long-lived Assets</w:t>
      </w:r>
    </w:p>
    <w:p>
      <w:pPr>
        <w:spacing w:after="0" w:line="8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Long-lived assets, which include 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their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there were no definite-lived intangible or other long-lived asset impairments identified during the three or nine months ended September 30, 2026 or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8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For the three and nine months ended September 30, 2026, the Company recognized an income tax benefit of $20.0 million on pretax income of $34.7 million and an income tax benefit of $42.3 million on pretax income of $55.1 million, respectively. The Company’s income taxes were less than the statutory rate of 21.0% for the three and nine months ended September 30, 2026, primarily due to $24.2 million and $24.7 million, respectively, of tax benefit associated with the release of certain uncertain tax positions. Additionally, the Company recognized $3.7 million and $24.8 million of tax benefit associated with the Company's equity compensation plan for the three and nine months ended September 30, 2026, respectively. Offsetting these benefits for the three and nine months ended September 30, 2026, were the unfavorable impacts of U.S. anti-deferral provisions. Certain income tax years will expire under the relevant statute of limitations during the fourth quarter of 2026. As a result, the Company expects to release a portion of its reserve for uncertain tax positions during the fourth quarter of 2026.</w:t>
      </w:r>
    </w:p>
    <w:p>
      <w:pPr>
        <w:spacing w:after="0" w:line="12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2"/>
          <w:szCs w:val="12"/>
          <w:color w:val="auto"/>
        </w:rPr>
        <w:t>For the three and nine months ended September 30, 2025, the Company recognized income tax expense of $11.4 million on a pretax loss of $7.5 million and an income tax benefit of $347.8 million on a pretax loss of $28.3 million, respectively. The Company’s income taxes for the three and nine months ended September 30, 2025, were favorably impacted by the tax benefit related to federal tax credits, as well as $361.1 million associated with a tax planning strategy for the nine months ended September 30, 2025. Offsetting these benefits for the three and nine months ended September 30, 2025, were the unfavorable impacts of U.S. anti-deferral provisions.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Earnings (Loss) Per Share</w:t>
      </w:r>
    </w:p>
    <w:p>
      <w:pPr>
        <w:spacing w:after="0" w:line="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 xml:space="preserve">Basic earnings (loss) per share (EPS) from continuing operations is computed by dividing income (loss) from continuing operations, less any dividends and deemed dividends related to the Convertible Preferred Stock, by the weighted average number of common shares outstanding during the period. The numerator in diluted EPS from continuing operations is based on the basic EPS from continuing operations numerator, adjusted to add back any dividends and deemed dividends related to the Convertible Preferred Stock, subject to antidilution requirements. Dividend equivalents associated with unvested restricted stock units (RSUs) and performance share units (PSUs) are payable only upon vesting and remain subject to forfeiture. As a result, these awards do not represent participating securities under ASC 260, </w:t>
      </w:r>
      <w:r>
        <w:rPr>
          <w:rFonts w:ascii="Times New Roman" w:cs="Times New Roman" w:eastAsia="Times New Roman" w:hAnsi="Times New Roman"/>
          <w:sz w:val="12"/>
          <w:szCs w:val="12"/>
          <w:i w:val="1"/>
          <w:iCs w:val="1"/>
          <w:color w:val="auto"/>
        </w:rPr>
        <w:t>Earnings per Share,</w:t>
      </w:r>
      <w:r>
        <w:rPr>
          <w:rFonts w:ascii="Times New Roman" w:cs="Times New Roman" w:eastAsia="Times New Roman" w:hAnsi="Times New Roman"/>
          <w:sz w:val="12"/>
          <w:szCs w:val="12"/>
          <w:color w:val="auto"/>
        </w:rPr>
        <w:t xml:space="preserve"> and the Company does not apply the two-class method in calculating earnings per share. The denominator used in diluted EPS from continuing operations is based on the basic EPS computation plus the effect of potentially dilutive common shares related to the Convertible Preferred Stock (during periods when shares of Convertible Preferred Stock were outstanding) and equity-based compensation plans, subject to antidilution requirements.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1"/>
          <w:szCs w:val="11"/>
          <w:color w:val="auto"/>
        </w:rPr>
        <w:t>Basic EPS from discontinued operations is computed by dividing income (loss) from discontinued operations, net of income taxes, by the weighted average number of common shares outstanding during the period. The numerator in diluted EPS from discontinued operations is the same as the basic EPS from discontinued operations numerator. The denominator used in diluted EPS from discontinued operations is based on the basic EPS computation plus the effect of potentially dilutive common shares related to the Convertible Preferred Stock (during periods when shares of Convertible Preferred Stock were outstanding) and equity-based compensation plans, subject to antidilution requirements.</w:t>
      </w:r>
    </w:p>
    <w:p>
      <w:pPr>
        <w:spacing w:after="0" w:line="10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For the three and nine months ended September 30, 2026, 2.7 million and 2.5 million, respectively, of outstanding equity-based compensation awards were not included in the computation of diluted EPS because the effect was antidilutive or the performance conditions were not met. For the three months ended September 30, 2025, 15.8 million of outstanding equity-based compensation awards were not included in the computation of diluted EPS because the effect was antidilutive or the performance conditions were not met. Of this amount, for the three months ended September 30, 2025, 10.3 million would have been considered dilutive if the Company had not been in a loss from continuing operations position.</w:t>
      </w:r>
    </w:p>
    <w:p>
      <w:pPr>
        <w:spacing w:after="0" w:line="122"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1"/>
          <w:szCs w:val="11"/>
          <w:color w:val="auto"/>
        </w:rPr>
        <w:t>For the three months ended September 30, 2026, there were no shares related to the Convertible Preferred Stock that were excluded from the diluted share count and considered antidilutive, since there were no shares of Convertible Preferred Stock outstanding during the period. For the nine months ended September 30, 2026, 1.5 million of as-if converted shares related to the Convertible Preferred Stock were excluded from the diluted share count because they were antidilutive. In addition, for the three months ended September 30, 2025, 45.9 million of as-if converted shares related to the Convertible Preferred Stock were excluded from the diluted share count because they were antidilutive.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basis for the EPS computations (in millions,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65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5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6580" w:type="dxa"/>
            <w:vAlign w:val="bottom"/>
          </w:tcPr>
          <w:p>
            <w:pPr>
              <w:spacing w:after="0"/>
              <w:rPr>
                <w:sz w:val="7"/>
                <w:szCs w:val="7"/>
                <w:color w:val="auto"/>
              </w:rPr>
            </w:pPr>
          </w:p>
        </w:tc>
        <w:tc>
          <w:tcPr>
            <w:tcW w:w="5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322"/>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2025</w:t>
            </w:r>
          </w:p>
        </w:tc>
        <w:tc>
          <w:tcPr>
            <w:tcW w:w="2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ind w:right="364"/>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2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36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133"/>
        </w:trPr>
        <w:tc>
          <w:tcPr>
            <w:tcW w:w="658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Numerator:</w:t>
            </w:r>
          </w:p>
        </w:tc>
        <w:tc>
          <w:tcPr>
            <w:tcW w:w="54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4"/>
        </w:trPr>
        <w:tc>
          <w:tcPr>
            <w:tcW w:w="65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Income (loss) from continuing operations</w:t>
            </w:r>
          </w:p>
        </w:tc>
        <w:tc>
          <w:tcPr>
            <w:tcW w:w="540" w:type="dxa"/>
            <w:vAlign w:val="bottom"/>
          </w:tcPr>
          <w:p>
            <w:pPr>
              <w:jc w:val="right"/>
              <w:ind w:right="42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580" w:type="dxa"/>
            <w:vAlign w:val="bottom"/>
            <w:gridSpan w:val="2"/>
          </w:tcPr>
          <w:p>
            <w:pPr>
              <w:jc w:val="right"/>
              <w:ind w:right="246"/>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(18.9)</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w:t>
            </w:r>
          </w:p>
        </w:tc>
        <w:tc>
          <w:tcPr>
            <w:tcW w:w="26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319.5</w:t>
            </w:r>
          </w:p>
        </w:tc>
        <w:tc>
          <w:tcPr>
            <w:tcW w:w="120" w:type="dxa"/>
            <w:vAlign w:val="bottom"/>
          </w:tcPr>
          <w:p>
            <w:pPr>
              <w:spacing w:after="0"/>
              <w:rPr>
                <w:sz w:val="12"/>
                <w:szCs w:val="12"/>
                <w:color w:val="auto"/>
              </w:rPr>
            </w:pPr>
          </w:p>
        </w:tc>
      </w:tr>
      <w:tr>
        <w:trPr>
          <w:trHeight w:val="144"/>
        </w:trPr>
        <w:tc>
          <w:tcPr>
            <w:tcW w:w="658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Income from discontinued operations, net of tax</w:t>
            </w:r>
          </w:p>
        </w:tc>
        <w:tc>
          <w:tcPr>
            <w:tcW w:w="540" w:type="dxa"/>
            <w:vAlign w:val="bottom"/>
            <w:tcBorders>
              <w:bottom w:val="single" w:sz="8" w:color="auto"/>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975.9</w:t>
            </w:r>
          </w:p>
        </w:tc>
        <w:tc>
          <w:tcPr>
            <w:tcW w:w="22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127.3</w:t>
            </w:r>
          </w:p>
        </w:tc>
        <w:tc>
          <w:tcPr>
            <w:tcW w:w="20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6,736.3</w:t>
            </w:r>
          </w:p>
        </w:tc>
        <w:tc>
          <w:tcPr>
            <w:tcW w:w="26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604.7</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33"/>
        </w:trPr>
        <w:tc>
          <w:tcPr>
            <w:tcW w:w="658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540" w:type="dxa"/>
            <w:vAlign w:val="bottom"/>
          </w:tcPr>
          <w:p>
            <w:pPr>
              <w:jc w:val="right"/>
              <w:ind w:right="42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4"/>
              </w:rPr>
              <w:t>1,030.6</w:t>
            </w:r>
          </w:p>
        </w:tc>
        <w:tc>
          <w:tcPr>
            <w:tcW w:w="580" w:type="dxa"/>
            <w:vAlign w:val="bottom"/>
            <w:gridSpan w:val="2"/>
          </w:tcPr>
          <w:p>
            <w:pPr>
              <w:jc w:val="right"/>
              <w:ind w:right="2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108.4</w:t>
            </w:r>
          </w:p>
        </w:tc>
        <w:tc>
          <w:tcPr>
            <w:tcW w:w="200" w:type="dxa"/>
            <w:vAlign w:val="bottom"/>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6,833.7</w:t>
            </w:r>
          </w:p>
        </w:tc>
        <w:tc>
          <w:tcPr>
            <w:tcW w:w="260" w:type="dxa"/>
            <w:vAlign w:val="bottom"/>
          </w:tcPr>
          <w:p>
            <w:pPr>
              <w:spacing w:after="0"/>
              <w:rPr>
                <w:sz w:val="11"/>
                <w:szCs w:val="11"/>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924.2</w:t>
            </w:r>
          </w:p>
        </w:tc>
        <w:tc>
          <w:tcPr>
            <w:tcW w:w="120" w:type="dxa"/>
            <w:vAlign w:val="bottom"/>
          </w:tcPr>
          <w:p>
            <w:pPr>
              <w:spacing w:after="0"/>
              <w:rPr>
                <w:sz w:val="11"/>
                <w:szCs w:val="11"/>
                <w:color w:val="auto"/>
              </w:rPr>
            </w:pPr>
          </w:p>
        </w:tc>
      </w:tr>
      <w:tr>
        <w:trPr>
          <w:trHeight w:val="144"/>
        </w:trPr>
        <w:tc>
          <w:tcPr>
            <w:tcW w:w="65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Dividends on Series A convertible preferred stock</w:t>
            </w:r>
          </w:p>
        </w:tc>
        <w:tc>
          <w:tcPr>
            <w:tcW w:w="540" w:type="dxa"/>
            <w:vAlign w:val="bottom"/>
            <w:shd w:val="clear" w:color="auto" w:fill="CCECFF"/>
          </w:tcPr>
          <w:p>
            <w:pPr>
              <w:spacing w:after="0"/>
              <w:rPr>
                <w:sz w:val="12"/>
                <w:szCs w:val="12"/>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(17.3)</w:t>
            </w:r>
          </w:p>
        </w:tc>
        <w:tc>
          <w:tcPr>
            <w:tcW w:w="24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2"/>
                <w:szCs w:val="12"/>
                <w:color w:val="auto"/>
              </w:rPr>
              <w:t>(1.7)</w:t>
            </w:r>
          </w:p>
        </w:tc>
        <w:tc>
          <w:tcPr>
            <w:tcW w:w="3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(51.3)</w:t>
            </w:r>
          </w:p>
        </w:tc>
      </w:tr>
      <w:tr>
        <w:trPr>
          <w:trHeight w:val="144"/>
        </w:trPr>
        <w:tc>
          <w:tcPr>
            <w:tcW w:w="65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Deemed dividend and related adjustments on redemption of Series A convertible preferred stock</w:t>
            </w:r>
          </w:p>
        </w:tc>
        <w:tc>
          <w:tcPr>
            <w:tcW w:w="5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(11.8)</w:t>
            </w:r>
          </w:p>
        </w:tc>
        <w:tc>
          <w:tcPr>
            <w:tcW w:w="3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6580" w:type="dxa"/>
            <w:vAlign w:val="bottom"/>
            <w:tcBorders>
              <w:bottom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Net income attributable to common stockholders</w:t>
            </w:r>
          </w:p>
        </w:tc>
        <w:tc>
          <w:tcPr>
            <w:tcW w:w="540" w:type="dxa"/>
            <w:vAlign w:val="bottom"/>
            <w:tcBorders>
              <w:top w:val="single" w:sz="8" w:color="auto"/>
              <w:bottom w:val="single" w:sz="8" w:color="auto"/>
            </w:tcBorders>
            <w:shd w:val="clear" w:color="auto" w:fill="CCECFF"/>
          </w:tcPr>
          <w:p>
            <w:pPr>
              <w:jc w:val="right"/>
              <w:ind w:right="42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w w:val="94"/>
              </w:rPr>
              <w:t>1,030.7</w:t>
            </w:r>
          </w:p>
        </w:tc>
        <w:tc>
          <w:tcPr>
            <w:tcW w:w="22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top w:val="single" w:sz="8" w:color="auto"/>
              <w:bottom w:val="single" w:sz="8" w:color="auto"/>
            </w:tcBorders>
            <w:shd w:val="clear" w:color="auto" w:fill="CCEC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91.1</w:t>
            </w:r>
          </w:p>
        </w:tc>
        <w:tc>
          <w:tcPr>
            <w:tcW w:w="20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top w:val="single" w:sz="8" w:color="auto"/>
              <w:bottom w:val="single" w:sz="8" w:color="auto"/>
            </w:tcBorders>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6,820.2</w:t>
            </w:r>
          </w:p>
        </w:tc>
        <w:tc>
          <w:tcPr>
            <w:tcW w:w="26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top w:val="single" w:sz="8" w:color="auto"/>
              <w:bottom w:val="single" w:sz="8" w:color="auto"/>
            </w:tcBorders>
            <w:shd w:val="clear" w:color="auto" w:fill="CCEC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872.9</w:t>
            </w:r>
          </w:p>
        </w:tc>
        <w:tc>
          <w:tcPr>
            <w:tcW w:w="120" w:type="dxa"/>
            <w:vAlign w:val="bottom"/>
            <w:tcBorders>
              <w:bottom w:val="single" w:sz="8" w:color="CCECFF"/>
            </w:tcBorders>
            <w:shd w:val="clear" w:color="auto" w:fill="CCEC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4755515</wp:posOffset>
            </wp:positionH>
            <wp:positionV relativeFrom="paragraph">
              <wp:posOffset>-393700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-393700</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-393700</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-393700</wp:posOffset>
            </wp:positionV>
            <wp:extent cx="7429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-16510</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-5080</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-16510</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-5080</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-16510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-5080</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-16510</wp:posOffset>
            </wp:positionV>
            <wp:extent cx="7429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-5080</wp:posOffset>
            </wp:positionV>
            <wp:extent cx="7429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Denominator:</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Weighted average common shares outstanding – basic</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Dilutive effect of equity-based awards</w:t>
      </w:r>
    </w:p>
    <w:p>
      <w:pPr>
        <w:spacing w:after="0" w:line="6" w:lineRule="exact"/>
        <w:rPr>
          <w:sz w:val="20"/>
          <w:szCs w:val="20"/>
          <w:color w:val="auto"/>
        </w:rPr>
      </w:pPr>
    </w:p>
    <w:p>
      <w:pPr>
        <w:ind w:left="60" w:right="2360" w:firstLine="119"/>
        <w:spacing w:after="0" w:line="323" w:lineRule="auto"/>
        <w:rPr>
          <w:sz w:val="20"/>
          <w:szCs w:val="20"/>
          <w:color w:val="auto"/>
        </w:rPr>
      </w:pPr>
      <w:r>
        <w:rPr>
          <w:rFonts w:ascii="Times New Roman" w:cs="Times New Roman" w:eastAsia="Times New Roman" w:hAnsi="Times New Roman"/>
          <w:sz w:val="12"/>
          <w:szCs w:val="12"/>
          <w:color w:val="auto"/>
        </w:rPr>
        <w:t>Dilutive effect of as-if converted Series A convertible preferred stock Weighted average common shares outstanding – diluted</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225.7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218.7</w:t>
            </w:r>
          </w:p>
        </w:tc>
      </w:tr>
      <w:tr>
        <w:trPr>
          <w:trHeight w:val="144"/>
        </w:trPr>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10.2</w:t>
            </w:r>
          </w:p>
        </w:tc>
      </w:tr>
      <w:tr>
        <w:trPr>
          <w:trHeight w:val="155"/>
        </w:trPr>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45.2</w:t>
            </w:r>
          </w:p>
        </w:tc>
      </w:tr>
      <w:tr>
        <w:trPr>
          <w:trHeight w:val="140"/>
        </w:trPr>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226.9</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221.5</w:t>
            </w:r>
          </w:p>
        </w:tc>
        <w:tc>
          <w:tcPr>
            <w:tcW w:w="2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231.3</w:t>
            </w:r>
          </w:p>
        </w:tc>
        <w:tc>
          <w:tcPr>
            <w:tcW w:w="2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-479425</wp:posOffset>
            </wp:positionV>
            <wp:extent cx="7178040" cy="914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-296545</wp:posOffset>
            </wp:positionV>
            <wp:extent cx="7178040" cy="914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-107950</wp:posOffset>
            </wp:positionV>
            <wp:extent cx="7178040" cy="1085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5860" w:space="720"/>
            <w:col w:w="4720"/>
          </w:cols>
          <w:pgMar w:left="300" w:top="557" w:right="29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Basic:</w:t>
            </w:r>
          </w:p>
        </w:tc>
        <w:tc>
          <w:tcPr>
            <w:tcW w:w="250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4"/>
        </w:trPr>
        <w:tc>
          <w:tcPr>
            <w:tcW w:w="4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Earnings (loss) from continuing operations per share</w:t>
            </w:r>
          </w:p>
        </w:tc>
        <w:tc>
          <w:tcPr>
            <w:tcW w:w="28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(0.16)</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0.37</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120" w:type="dxa"/>
            <w:vAlign w:val="bottom"/>
          </w:tcPr>
          <w:p>
            <w:pPr>
              <w:spacing w:after="0"/>
              <w:rPr>
                <w:sz w:val="12"/>
                <w:szCs w:val="12"/>
                <w:color w:val="auto"/>
              </w:rPr>
            </w:pPr>
          </w:p>
        </w:tc>
      </w:tr>
      <w:tr>
        <w:trPr>
          <w:trHeight w:val="144"/>
        </w:trPr>
        <w:tc>
          <w:tcPr>
            <w:tcW w:w="408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Earnings from discontinued operations per share</w:t>
            </w:r>
          </w:p>
        </w:tc>
        <w:tc>
          <w:tcPr>
            <w:tcW w:w="2500" w:type="dxa"/>
            <w:vAlign w:val="bottom"/>
            <w:tcBorders>
              <w:bottom w:val="single" w:sz="8" w:color="CCECFF"/>
            </w:tcBorders>
            <w:shd w:val="clear" w:color="auto" w:fill="CCECFF"/>
          </w:tcPr>
          <w:p>
            <w:pPr>
              <w:spacing w:after="0"/>
              <w:rPr>
                <w:sz w:val="12"/>
                <w:szCs w:val="12"/>
                <w:color w:val="auto"/>
              </w:rPr>
            </w:pPr>
          </w:p>
        </w:tc>
        <w:tc>
          <w:tcPr>
            <w:tcW w:w="3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22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0.57</w:t>
            </w:r>
          </w:p>
        </w:tc>
        <w:tc>
          <w:tcPr>
            <w:tcW w:w="200" w:type="dxa"/>
            <w:vAlign w:val="bottom"/>
            <w:tcBorders>
              <w:bottom w:val="single" w:sz="8" w:color="CCECFF"/>
            </w:tcBorders>
            <w:shd w:val="clear" w:color="auto" w:fill="CCECFF"/>
          </w:tcPr>
          <w:p>
            <w:pPr>
              <w:spacing w:after="0"/>
              <w:rPr>
                <w:sz w:val="12"/>
                <w:szCs w:val="12"/>
                <w:color w:val="auto"/>
              </w:rPr>
            </w:pPr>
          </w:p>
        </w:tc>
        <w:tc>
          <w:tcPr>
            <w:tcW w:w="42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29.85</w:t>
            </w:r>
          </w:p>
        </w:tc>
        <w:tc>
          <w:tcPr>
            <w:tcW w:w="260" w:type="dxa"/>
            <w:vAlign w:val="bottom"/>
            <w:tcBorders>
              <w:bottom w:val="single" w:sz="8" w:color="CCECFF"/>
            </w:tcBorders>
            <w:shd w:val="clear" w:color="auto" w:fill="CCECFF"/>
          </w:tcPr>
          <w:p>
            <w:pPr>
              <w:spacing w:after="0"/>
              <w:rPr>
                <w:sz w:val="12"/>
                <w:szCs w:val="12"/>
                <w:color w:val="auto"/>
              </w:rPr>
            </w:pPr>
          </w:p>
        </w:tc>
        <w:tc>
          <w:tcPr>
            <w:tcW w:w="44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0"/>
        </w:trPr>
        <w:tc>
          <w:tcPr>
            <w:tcW w:w="408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per share</w:t>
            </w:r>
          </w:p>
        </w:tc>
        <w:tc>
          <w:tcPr>
            <w:tcW w:w="288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4.59</w:t>
            </w:r>
          </w:p>
        </w:tc>
        <w:tc>
          <w:tcPr>
            <w:tcW w:w="580" w:type="dxa"/>
            <w:vAlign w:val="bottom"/>
            <w:gridSpan w:val="2"/>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0.41</w:t>
            </w:r>
          </w:p>
        </w:tc>
        <w:tc>
          <w:tcPr>
            <w:tcW w:w="20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30.22</w:t>
            </w:r>
          </w:p>
        </w:tc>
        <w:tc>
          <w:tcPr>
            <w:tcW w:w="700" w:type="dxa"/>
            <w:vAlign w:val="bottom"/>
            <w:gridSpan w:val="2"/>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3.99</w:t>
            </w:r>
          </w:p>
        </w:tc>
        <w:tc>
          <w:tcPr>
            <w:tcW w:w="120" w:type="dxa"/>
            <w:vAlign w:val="bottom"/>
          </w:tcPr>
          <w:p>
            <w:pPr>
              <w:spacing w:after="0"/>
              <w:rPr>
                <w:sz w:val="12"/>
                <w:szCs w:val="12"/>
                <w:color w:val="auto"/>
              </w:rPr>
            </w:pPr>
          </w:p>
        </w:tc>
      </w:tr>
      <w:tr>
        <w:trPr>
          <w:trHeight w:val="144"/>
        </w:trPr>
        <w:tc>
          <w:tcPr>
            <w:tcW w:w="40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380" w:type="dxa"/>
            <w:vAlign w:val="bottom"/>
            <w:tcBorders>
              <w:top w:val="single" w:sz="8" w:color="auto"/>
            </w:tcBorders>
            <w:shd w:val="clear" w:color="auto" w:fill="CCECFF"/>
          </w:tcPr>
          <w:p>
            <w:pPr>
              <w:spacing w:after="0"/>
              <w:rPr>
                <w:sz w:val="12"/>
                <w:szCs w:val="12"/>
                <w:color w:val="auto"/>
              </w:rPr>
            </w:pPr>
          </w:p>
        </w:tc>
        <w:tc>
          <w:tcPr>
            <w:tcW w:w="520" w:type="dxa"/>
            <w:vAlign w:val="bottom"/>
            <w:tcBorders>
              <w:top w:val="single" w:sz="8" w:color="auto"/>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36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2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44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4"/>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2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0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Earnings (loss) from continuing operations per share</w:t>
            </w:r>
          </w:p>
        </w:tc>
        <w:tc>
          <w:tcPr>
            <w:tcW w:w="288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58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(0.16)</w:t>
            </w:r>
          </w:p>
        </w:tc>
        <w:tc>
          <w:tcPr>
            <w:tcW w:w="420" w:type="dxa"/>
            <w:vAlign w:val="bottom"/>
            <w:shd w:val="clear" w:color="auto" w:fill="CCEC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70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20" w:type="dxa"/>
            <w:vAlign w:val="bottom"/>
            <w:shd w:val="clear" w:color="auto" w:fill="CCECFF"/>
          </w:tcPr>
          <w:p>
            <w:pPr>
              <w:spacing w:after="0"/>
              <w:rPr>
                <w:sz w:val="12"/>
                <w:szCs w:val="12"/>
                <w:color w:val="auto"/>
              </w:rPr>
            </w:pPr>
          </w:p>
        </w:tc>
      </w:tr>
      <w:tr>
        <w:trPr>
          <w:trHeight w:val="144"/>
        </w:trPr>
        <w:tc>
          <w:tcPr>
            <w:tcW w:w="4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Earnings from discontinued operations per share</w:t>
            </w:r>
          </w:p>
        </w:tc>
        <w:tc>
          <w:tcPr>
            <w:tcW w:w="25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0.57</w:t>
            </w: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29.12</w:t>
            </w: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20" w:type="dxa"/>
            <w:vAlign w:val="bottom"/>
          </w:tcPr>
          <w:p>
            <w:pPr>
              <w:spacing w:after="0"/>
              <w:rPr>
                <w:sz w:val="12"/>
                <w:szCs w:val="12"/>
                <w:color w:val="auto"/>
              </w:rPr>
            </w:pPr>
          </w:p>
        </w:tc>
      </w:tr>
      <w:tr>
        <w:trPr>
          <w:trHeight w:val="140"/>
        </w:trPr>
        <w:tc>
          <w:tcPr>
            <w:tcW w:w="408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Earnings per share</w:t>
            </w:r>
          </w:p>
        </w:tc>
        <w:tc>
          <w:tcPr>
            <w:tcW w:w="2880" w:type="dxa"/>
            <w:vAlign w:val="bottom"/>
            <w:gridSpan w:val="2"/>
            <w:shd w:val="clear" w:color="auto" w:fill="CCEC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4.54</w:t>
            </w:r>
          </w:p>
        </w:tc>
        <w:tc>
          <w:tcPr>
            <w:tcW w:w="580" w:type="dxa"/>
            <w:vAlign w:val="bottom"/>
            <w:gridSpan w:val="2"/>
            <w:shd w:val="clear" w:color="auto" w:fill="CCECFF"/>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0.41</w:t>
            </w:r>
          </w:p>
        </w:tc>
        <w:tc>
          <w:tcPr>
            <w:tcW w:w="200" w:type="dxa"/>
            <w:vAlign w:val="bottom"/>
            <w:shd w:val="clear" w:color="auto" w:fill="CCECFF"/>
          </w:tcPr>
          <w:p>
            <w:pPr>
              <w:spacing w:after="0"/>
              <w:rPr>
                <w:sz w:val="12"/>
                <w:szCs w:val="12"/>
                <w:color w:val="auto"/>
              </w:rPr>
            </w:pPr>
          </w:p>
        </w:tc>
        <w:tc>
          <w:tcPr>
            <w:tcW w:w="420" w:type="dxa"/>
            <w:vAlign w:val="bottom"/>
            <w:shd w:val="clear" w:color="auto" w:fill="CCEC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29.48</w:t>
            </w:r>
          </w:p>
        </w:tc>
        <w:tc>
          <w:tcPr>
            <w:tcW w:w="700" w:type="dxa"/>
            <w:vAlign w:val="bottom"/>
            <w:gridSpan w:val="2"/>
            <w:shd w:val="clear" w:color="auto" w:fill="CCECFF"/>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w:t>
            </w:r>
          </w:p>
        </w:tc>
        <w:tc>
          <w:tcPr>
            <w:tcW w:w="120" w:type="dxa"/>
            <w:vAlign w:val="bottom"/>
            <w:shd w:val="clear" w:color="auto" w:fill="CCECFF"/>
          </w:tcPr>
          <w:p>
            <w:pPr>
              <w:spacing w:after="0"/>
              <w:rPr>
                <w:sz w:val="12"/>
                <w:szCs w:val="12"/>
                <w:color w:val="auto"/>
              </w:rPr>
            </w:pPr>
          </w:p>
        </w:tc>
      </w:tr>
      <w:tr>
        <w:trPr>
          <w:trHeight w:val="432"/>
        </w:trPr>
        <w:tc>
          <w:tcPr>
            <w:tcW w:w="4080" w:type="dxa"/>
            <w:vAlign w:val="bottom"/>
            <w:tcBorders>
              <w:top w:val="single" w:sz="8" w:color="CCECFF"/>
            </w:tcBorders>
          </w:tcPr>
          <w:p>
            <w:pPr>
              <w:spacing w:after="0"/>
              <w:rPr>
                <w:sz w:val="24"/>
                <w:szCs w:val="24"/>
                <w:color w:val="auto"/>
              </w:rPr>
            </w:pPr>
          </w:p>
        </w:tc>
        <w:tc>
          <w:tcPr>
            <w:tcW w:w="2500" w:type="dxa"/>
            <w:vAlign w:val="bottom"/>
            <w:tcBorders>
              <w:top w:val="single" w:sz="8" w:color="CCECFF"/>
            </w:tcBorders>
          </w:tcPr>
          <w:p>
            <w:pPr>
              <w:jc w:val="right"/>
              <w:ind w:right="820"/>
              <w:spacing w:after="0"/>
              <w:rPr>
                <w:sz w:val="20"/>
                <w:szCs w:val="20"/>
                <w:color w:val="auto"/>
              </w:rPr>
            </w:pPr>
            <w:r>
              <w:rPr>
                <w:rFonts w:ascii="Times New Roman" w:cs="Times New Roman" w:eastAsia="Times New Roman" w:hAnsi="Times New Roman"/>
                <w:sz w:val="12"/>
                <w:szCs w:val="12"/>
                <w:color w:val="auto"/>
              </w:rPr>
              <w:t>10</w:t>
            </w:r>
          </w:p>
        </w:tc>
        <w:tc>
          <w:tcPr>
            <w:tcW w:w="3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CCEC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CCEC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CCEC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CFF"/>
            </w:tcBorders>
          </w:tcPr>
          <w:p>
            <w:pPr>
              <w:spacing w:after="0"/>
              <w:rPr>
                <w:sz w:val="24"/>
                <w:szCs w:val="24"/>
                <w:color w:val="auto"/>
              </w:rPr>
            </w:pPr>
          </w:p>
        </w:tc>
      </w:tr>
      <w:tr>
        <w:trPr>
          <w:trHeight w:val="792"/>
        </w:trPr>
        <w:tc>
          <w:tcPr>
            <w:tcW w:w="40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-1382395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-1382395</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-1382395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-1382395</wp:posOffset>
            </wp:positionV>
            <wp:extent cx="7429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-805180</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-793750</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-805180</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-793750</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-805180</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-793750</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-805180</wp:posOffset>
            </wp:positionV>
            <wp:extent cx="7429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-793750</wp:posOffset>
            </wp:positionV>
            <wp:extent cx="7429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Adopted During the Nine Months Ended September 30, 2026</w:t>
      </w:r>
    </w:p>
    <w:p>
      <w:pPr>
        <w:spacing w:after="0" w:line="7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 xml:space="preserve">In July 2025, the Financial Accounting Standards Board (FASB) issued Accounting Standards Update (ASU) No. 2025-05, </w:t>
      </w:r>
      <w:r>
        <w:rPr>
          <w:rFonts w:ascii="Times New Roman" w:cs="Times New Roman" w:eastAsia="Times New Roman" w:hAnsi="Times New Roman"/>
          <w:sz w:val="12"/>
          <w:szCs w:val="12"/>
          <w:i w:val="1"/>
          <w:iCs w:val="1"/>
          <w:color w:val="auto"/>
        </w:rPr>
        <w:t>Financial Instruments—Credit Losses (Topic 326): Measurement of Credit Losses for Accounts Receivable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and Contract Assets. </w:t>
      </w:r>
      <w:r>
        <w:rPr>
          <w:rFonts w:ascii="Times New Roman" w:cs="Times New Roman" w:eastAsia="Times New Roman" w:hAnsi="Times New Roman"/>
          <w:sz w:val="12"/>
          <w:szCs w:val="12"/>
          <w:color w:val="auto"/>
        </w:rPr>
        <w:t>The new guidance is expected to provide decision-useful information to investors and other financial statement users while reducing the time and effort necessary to analyze and estimate credit losses for current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accounts receivable and current contract assets. The amendments in this update introduce a practical expedient when applying the guidance related to the estimation of expected credit losses for current accounts receivable and current contract assets resulting from transactions arising from contracts with customers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The guidance is effective for the Company on a prospective basis, beginning January 1, 2026 for the interim and annual periods. The Company has elected to apply this practical expedient to determine expected credit losses for current accounts receivable and contract assets, assuming conditions as of the balance sheet date do not change for the remaining life of the asset. The adoption of ASU 2025-05 did not have a material impact on the Company’s condensed consolidated financial statements or disclosures.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Issued but Not Adopted</w:t>
      </w:r>
    </w:p>
    <w:p>
      <w:pPr>
        <w:spacing w:after="0" w:line="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2"/>
          <w:szCs w:val="12"/>
          <w:color w:val="auto"/>
        </w:rPr>
        <w:t xml:space="preserve">In September 2025, the FASB issued ASU No. 2025-06, </w:t>
      </w:r>
      <w:r>
        <w:rPr>
          <w:rFonts w:ascii="Times New Roman" w:cs="Times New Roman" w:eastAsia="Times New Roman" w:hAnsi="Times New Roman"/>
          <w:sz w:val="12"/>
          <w:szCs w:val="12"/>
          <w:i w:val="1"/>
          <w:iCs w:val="1"/>
          <w:color w:val="auto"/>
        </w:rPr>
        <w:t>Intangibles—Goodwill and Other—Internal-Use Software (Subtopic 350-40): Targeted Improvements to the Accounting for Internal-Use Software.</w:t>
      </w:r>
      <w:r>
        <w:rPr>
          <w:rFonts w:ascii="Times New Roman" w:cs="Times New Roman" w:eastAsia="Times New Roman" w:hAnsi="Times New Roman"/>
          <w:sz w:val="12"/>
          <w:szCs w:val="12"/>
          <w:color w:val="auto"/>
        </w:rPr>
        <w:t xml:space="preserve"> The new guidance modernizes the accounting for software costs and provides the following criteria for capitalization of software costs: (1) management has authorized and committed to funding the software project; and (2) it is probable that the project will be completed and the software will be used to perform the function intended. The guidance is effective for the Company on a prospective, modified prospective or retrospective basis, beginning January 1, 2028 for the interim and annual periods. Early adoption is permitted. The Company is currently evaluating the impact of the new guidance on the condensed consolidated financial statements.</w:t>
      </w:r>
    </w:p>
    <w:p>
      <w:pPr>
        <w:spacing w:after="0" w:line="1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2"/>
          <w:szCs w:val="12"/>
          <w:color w:val="auto"/>
        </w:rPr>
        <w:t xml:space="preserve">In November 2024, the FASB issued ASU No. 2024-03, </w:t>
      </w:r>
      <w:r>
        <w:rPr>
          <w:rFonts w:ascii="Times New Roman" w:cs="Times New Roman" w:eastAsia="Times New Roman" w:hAnsi="Times New Roman"/>
          <w:sz w:val="12"/>
          <w:szCs w:val="12"/>
          <w:i w:val="1"/>
          <w:iCs w:val="1"/>
          <w:color w:val="auto"/>
        </w:rPr>
        <w:t>Income Statement—Reporting Comprehensive Income—Expense Disaggregation Disclosures (Subtopic 220-40): Clarifying the Effective Date.</w:t>
      </w:r>
      <w:r>
        <w:rPr>
          <w:rFonts w:ascii="Times New Roman" w:cs="Times New Roman" w:eastAsia="Times New Roman" w:hAnsi="Times New Roman"/>
          <w:sz w:val="12"/>
          <w:szCs w:val="12"/>
          <w:color w:val="auto"/>
        </w:rPr>
        <w:t xml:space="preserve"> The new guidance improves disclosures for expenses of public entities and addresses requests from investors for more detailed information about the types of expenses in commonly presented expense captions. Coupled with recent standards that enhanced the disaggregation of revenue and income tax information, the disaggregated expense information required by these amendments will enable investors to better understand the major components of an entity’s income statement. The guidance is effective for the Company on a prospective or retrospective basis, as of January 1, 2027 for the annual period. Early adoption is permitted. As this ASU relates to disclosures only, there will be no impact to the Company’s results of operations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DIVESTITURES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RUCKUS Segment:</w:t>
      </w:r>
    </w:p>
    <w:p>
      <w:pPr>
        <w:spacing w:after="0" w:line="80" w:lineRule="exact"/>
        <w:rPr>
          <w:sz w:val="20"/>
          <w:szCs w:val="20"/>
          <w:color w:val="auto"/>
        </w:rPr>
      </w:pPr>
    </w:p>
    <w:p>
      <w:pPr>
        <w:ind w:right="20"/>
        <w:spacing w:after="0" w:line="327" w:lineRule="auto"/>
        <w:rPr>
          <w:sz w:val="20"/>
          <w:szCs w:val="20"/>
          <w:color w:val="auto"/>
        </w:rPr>
      </w:pPr>
      <w:r>
        <w:rPr>
          <w:rFonts w:ascii="Times New Roman" w:cs="Times New Roman" w:eastAsia="Times New Roman" w:hAnsi="Times New Roman"/>
          <w:sz w:val="11"/>
          <w:szCs w:val="11"/>
          <w:color w:val="auto"/>
        </w:rPr>
        <w:t>On July 1, 2026, the Company completed the previously announced sale of its RUCKUS segment to Belden, a Delaware corporation, pursuant to the Purchase Agreement, dated as of April 29, 2026, in exchange for net cash consideration of $1.9 billion. The proceeds are net of $16.2 million of transaction expenses and $38.0 million of cash included in the assets sold. The RUCKUS segment provided wireless networks for enterprises and service providers.</w:t>
      </w:r>
    </w:p>
    <w:p>
      <w:pPr>
        <w:spacing w:after="0" w:line="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 xml:space="preserve">The RUCKUS segment met the “held for sale” criteria in the second quarter of 2026 per Accounting Standard Codification (ASC) 360-10, </w:t>
      </w:r>
      <w:r>
        <w:rPr>
          <w:rFonts w:ascii="Times New Roman" w:cs="Times New Roman" w:eastAsia="Times New Roman" w:hAnsi="Times New Roman"/>
          <w:sz w:val="12"/>
          <w:szCs w:val="12"/>
          <w:i w:val="1"/>
          <w:iCs w:val="1"/>
          <w:color w:val="auto"/>
        </w:rPr>
        <w:t>Impairment and Disposal of Long Lived Assets</w:t>
      </w:r>
      <w:r>
        <w:rPr>
          <w:rFonts w:ascii="Times New Roman" w:cs="Times New Roman" w:eastAsia="Times New Roman" w:hAnsi="Times New Roman"/>
          <w:sz w:val="12"/>
          <w:szCs w:val="12"/>
          <w:color w:val="auto"/>
        </w:rPr>
        <w:t xml:space="preserve"> (ASC 360-10), and the Company determined, qualitatively and quantitatively, that this transaction represented a strategic shift that would have a major effect on its operations and financial results. As such, the results of operations directly attributable to the RUCKUS segment have been reclassified to discontinued operations per ASC 205-20, </w:t>
      </w:r>
      <w:r>
        <w:rPr>
          <w:rFonts w:ascii="Times New Roman" w:cs="Times New Roman" w:eastAsia="Times New Roman" w:hAnsi="Times New Roman"/>
          <w:sz w:val="12"/>
          <w:szCs w:val="12"/>
          <w:i w:val="1"/>
          <w:iCs w:val="1"/>
          <w:color w:val="auto"/>
        </w:rPr>
        <w:t>Presentation of Financial Statements—Discontinued Operations</w:t>
      </w:r>
      <w:r>
        <w:rPr>
          <w:rFonts w:ascii="Times New Roman" w:cs="Times New Roman" w:eastAsia="Times New Roman" w:hAnsi="Times New Roman"/>
          <w:sz w:val="12"/>
          <w:szCs w:val="12"/>
          <w:color w:val="auto"/>
        </w:rPr>
        <w:t xml:space="preserve"> (ASC 205-20), on the Condensed Consolidated Statements of Operations, retrospectively for all periods presented beginning in the second quarter of 2026. In addition, the assets and liabilities of the RUCKUS segment were presented separately as assets and liabilities held for sale on the Condensed Consolidated Balance Sheet as of December 31, 2025. Upon the closing of the transaction, the Company recognized a gain of $1.1 billion on the disposal of the RUCKUS segment, which is included in income from discontinued operations, net of income taxes, on the Condensed Consolidated Statements of Operations for the three and nine months ended September 30, 2026.</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5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connection with the transaction, the Company entered into a Transition Service Agreement (Belden TSA) (as described below under “Transition Service Agreements”).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Connectivity and Cable Solutions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CCS) Segment:</w:t>
      </w:r>
    </w:p>
    <w:p>
      <w:pPr>
        <w:spacing w:after="0" w:line="8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On January 9, 2026, the Company completed the previously announced sale of the CCS segment to Amphenol Corporation (Amphenol), a Delaware corporation, pursuant to the Purchase Agreement dated August 3, 2025, in exchange for net cash consideration of $10.5 billion. The proceeds are net of $81.3 million of transaction expenses and $204.4 million of cash included in the assets sold. The CCS segment provided wired infrastructure for data centers, enterprises and service providers on a global scale.</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The CCS segment met the “held for sale” criteria per ASC 360-10 in the fourth quarter of 2025, and the Company determined, qualitatively and quantitatively, that this transaction represented a strategic shift that would have a major effect on its operations and financial results. As such, the results of operations directly attributable to the CCS segment have been reclassified to discontinued operations per ASC 205-20 on the Condensed Consolidated Statements of Operations, retrospectively for all periods presented beginning in the fourth quarter of 2025. In addition, all assets and liabilities of the CCS segment were classified as assets and liabilities held for sale on the Condensed Consolidated Balance Sheet as of December 31, 2025. Upon the closing of the transaction, the Company recognized a gain of $5.2 billion on the disposal of the CCS segment, which is included in income from discontinued operations, net of income taxes, on the Condensed Consolidated Statements of Operations for the nine months ended September 30, 2026.</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 xml:space="preserve">In connection with the transaction, on the closing date, the Company repaid in full all outstanding indebtedness using a portion of the proceeds from the transaction and terminated all outstanding commitments under each of its then-existing (x) revolving credit agreement, dated as of April 4, 2019 (as amended, the Prior Revolving Credit Agreement), which provided for a senior secured asset-based revolving credit facility in an aggregate principal amount of up to $750.0 million (the Prior Revolving Credit Facility), and (y) term loan credit agreement, dated as of December 17, 2024 (as amended, the Prior Term Loan Credit Agreement), which provided for a senior secured term loan credit facility (the 2029 Term Loan) in an aggregate outstanding principal amount of $3,150 million. Also, the Company satisfied and discharged the indentures governing the (1) $1,000.0 million in outstanding aggregate principal amount of the 2031 Secured Notes, (2) $951.0 million in outstanding aggregate principal amount of the 2029 Secured Notes, (3) $641.6 million in outstanding aggregate principal amount of the 2028 Notes, (4) $866.9 million in outstanding aggregate principal amount of the 8.25% 2027 Notes and (5) $750.0 million in outstanding aggregate principal amount of the 5.00% 2027 Notes (collectively, the Notes). On the closing date of the transaction, notices of full redemption were issued to holders of all of the outstanding Notes, calling all outstanding Notes for redemption on January 26, 2026 using a portion of the proceeds from the transaction, and all outstanding Notes were redeemed on January 26, 2026. The Company subsequently wrote-off $101.3 million of </w:t>
      </w:r>
      <w:r>
        <w:rPr>
          <w:rFonts w:ascii="Times New Roman" w:cs="Times New Roman" w:eastAsia="Times New Roman" w:hAnsi="Times New Roman"/>
          <w:sz w:val="12"/>
          <w:szCs w:val="12"/>
          <w:color w:val="212529"/>
        </w:rPr>
        <w:t>unamortized debt issuance costs and original issuance discount associated with the debt redemption</w:t>
      </w:r>
      <w:r>
        <w:rPr>
          <w:rFonts w:ascii="Times New Roman" w:cs="Times New Roman" w:eastAsia="Times New Roman" w:hAnsi="Times New Roman"/>
          <w:sz w:val="12"/>
          <w:szCs w:val="12"/>
          <w:color w:val="auto"/>
        </w:rPr>
        <w:t xml:space="preserve"> which were recorded in interest expense within income from discontinued operations, net of income taxes, on the Condensed Consolidated Statements of Operations for the nine months ended September 30, 2026. The Company also recorded a loss of $11.3 million on the extinguishment of debt which was recorded in other expense within income from discontinued operations, net of income taxes, on the Condensed Consolidated Statements of Operations for the nine months ended September 30, 2026.</w:t>
      </w:r>
    </w:p>
    <w:p>
      <w:pPr>
        <w:spacing w:after="0" w:line="129" w:lineRule="exact"/>
        <w:rPr>
          <w:sz w:val="20"/>
          <w:szCs w:val="20"/>
          <w:color w:val="auto"/>
        </w:rPr>
      </w:pPr>
    </w:p>
    <w:p>
      <w:pPr>
        <w:jc w:val="both"/>
        <w:ind w:right="720"/>
        <w:spacing w:after="0" w:line="265" w:lineRule="auto"/>
        <w:rPr>
          <w:sz w:val="20"/>
          <w:szCs w:val="20"/>
          <w:color w:val="auto"/>
        </w:rPr>
      </w:pPr>
      <w:r>
        <w:rPr>
          <w:rFonts w:ascii="Times New Roman" w:cs="Times New Roman" w:eastAsia="Times New Roman" w:hAnsi="Times New Roman"/>
          <w:sz w:val="12"/>
          <w:szCs w:val="12"/>
          <w:color w:val="auto"/>
        </w:rPr>
        <w:t>In addition, on the closing date of the transaction, the Company redeemed 100% of the Convertible Preferred Stock for $1.3 billion of cash in accordance with the terms of the Certificate of Designations. Simultaneously with the consummation of the redemption, the Investment Agreement, dated as of November 8, 2018, by and among the Company and Carlyle Partners VII S1 Holdings, L.P. (Carlyle) pursuant to which such Convertible Preferred Stock was initially purchased, and all rights and obligations of the parties under the Investment Agreement, were terminated.</w:t>
      </w:r>
    </w:p>
    <w:p>
      <w:pPr>
        <w:spacing w:after="0" w:line="11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 connection with the transaction, the Company amended and extended the Transition Service Agreement (Amphenol TSA) (as described below under “Outdoor Wireless Networks (OWN) Segment and Distributed Antenna Systems (DAS) Business Unit” and “Transition Service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Outdoor Wireless Networks (OWN) Segment and Distributed Antenna Systems (DAS) Business Unit:</w:t>
      </w:r>
    </w:p>
    <w:p>
      <w:pPr>
        <w:spacing w:after="0" w:line="80"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In January 2025, the Company completed the sale of the OWN segment and the DAS business unit to Amphenol, pursuant to the Purchase Agreement dated July 18, 2024, in exchange for net cash consideration of $2.0 billion. The proceeds are net of $9.1 million of transaction expenses and $83.2 million of cash included in the assets sold.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5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The OWN segment and DAS business unit met the “held for sale” criteria per ASC 360-10 in the third quarter of 2024, and the Company determined, qualitatively and quantitatively, that this transaction represented a strategic shift that would have a major effect on the Company’s operations and financial results. As such, the results of operations directly attributable to the OWN segment and DAS business unit have been reclassified to discontinued operations per ASC 205-20 on the Condensed Consolidated Statements of Operations, retrospectively for all periods presented beginning in the third quarter of 2024. Upon the closing of the transaction on January 31, 2025, the Company recognized a gain on the disposal of the OWN segment and DAS business unit of $492.6 million, which is included in income from discontinued operations, net of income taxes, on the Condensed Consolidated Statements of Operations for the nine months ended September 30, 2025.</w:t>
      </w:r>
    </w:p>
    <w:p>
      <w:pPr>
        <w:spacing w:after="0" w:line="125"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In connection with the transaction, the Company entered into several contractual arrangements with Amphenol, including the Amphenol TSA (as described below under “Transition Service Agreements”), Manufacturing Supply Agreement (Amphenol MSA), Sales and Supply Agreement and a Master Professional Services Agreement.</w:t>
      </w:r>
    </w:p>
    <w:p>
      <w:pPr>
        <w:spacing w:after="0" w:line="11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Under the Amphenol MSA, the Company continues to manufacture and supply certain products to the divested business. Under the terms of the Amphenol MSA, the Company was obligated to provide manufacturing services for a period of up to twelve months following the closing date of the transaction, unless earlier terminated by the parties. The agreement was entered into to facilitate the operational transition and ensure continuity of supply for Amphenol’s customers. Pursuant to the Amphenol MSA, the Company acquired components directly from Amphenol and was also responsible for procuring certain components from suppliers for the manufacturing of finished goods at the direction of Amphenol. As the Company did not obtain control of these components before they were transferred to Amphenol, the Company accounts for revenue associated with such components on a net basis. Under the Amphenol MSA, the Company recognized net revenues of $(0.2) million and $(0.7) million for the three and nine months ended September 30, 2026, respectively, and $0.9 million and $4.9 million for the three and nine months ended September 30, 2025, respectively, presented within income from discontinued operations, net of income taxes, on the Condensed Consolidated Statements of Operations.</w:t>
      </w:r>
    </w:p>
    <w:p>
      <w:pPr>
        <w:spacing w:after="0" w:line="12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The Sales and Supply Agreement and Master Professional Services Agreement enable the companies to act as both a buyer and seller of each other’s products and services in instances where those offerings might be integral to the Company’s remaining operations. The Sales and Supply Agreement is effective for a term of thirty-six months, and the Master Professional Services Agreement term is indefinite, unless either of the agreements are terminated early. The Company has evaluated these arrangements and concluded that while they represent ongoing business activity, they do not constitute a continuation of the disposed business. Accordingly, revenues and expenses generated from these agreements are presented within income (loss) from continuing operations on the Condensed Consolidated Statements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Home Networks (Home) Business:</w:t>
      </w:r>
    </w:p>
    <w:p>
      <w:pPr>
        <w:spacing w:after="0" w:line="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completed the sale of the Home business to Vantiva in January 2024. As part of the consideration received in the transaction, the Company received shares of Vantiva common stock representing a 24.73% equity interest in Vantiva. The Home business qualified as “held for sale” per ASC 360-10 in the fourth quarter of 2023 and was classified as a discontinued operation per ASC 205-20, as the Company determined, qualitatively and quantitatively, that this transaction represented a strategic shift that would have a major effect on the Company’s operations and financial results.</w:t>
      </w:r>
    </w:p>
    <w:p>
      <w:pPr>
        <w:spacing w:after="0" w:line="119" w:lineRule="exact"/>
        <w:rPr>
          <w:sz w:val="20"/>
          <w:szCs w:val="20"/>
          <w:color w:val="auto"/>
        </w:rPr>
      </w:pPr>
    </w:p>
    <w:p>
      <w:pPr>
        <w:ind w:right="120"/>
        <w:spacing w:after="0" w:line="327" w:lineRule="auto"/>
        <w:rPr>
          <w:sz w:val="20"/>
          <w:szCs w:val="20"/>
          <w:color w:val="auto"/>
        </w:rPr>
      </w:pPr>
      <w:r>
        <w:rPr>
          <w:rFonts w:ascii="Times New Roman" w:cs="Times New Roman" w:eastAsia="Times New Roman" w:hAnsi="Times New Roman"/>
          <w:sz w:val="11"/>
          <w:szCs w:val="11"/>
          <w:color w:val="auto"/>
        </w:rPr>
        <w:t>Following the closing of the transaction, the Company entered into a Transition Service Agreement (Vantiva TSA), whereby the Company provided and received certain post-closing support on a transitional basis (as described below under “Transition Service Agreements”), and a Supply Agreement with Vantiva (Vantiva Supply Agreement), whereby the Company sold certain retained inventory at cost, or market price if below cost, for a period of two years.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4" w:name="page15"/>
    <w:bookmarkEnd w:id="1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the summarized components of income (loss) from discontinued operations, net of income taxes, for the three months ended September 30, 2026 and 2025:</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RUCKUS</w:t>
            </w: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0"/>
                <w:szCs w:val="10"/>
                <w:b w:val="1"/>
                <w:bCs w:val="1"/>
                <w:color w:val="auto"/>
              </w:rPr>
              <w:t>CCS</w:t>
            </w: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0"/>
                <w:szCs w:val="10"/>
                <w:b w:val="1"/>
                <w:bCs w:val="1"/>
                <w:color w:val="auto"/>
              </w:rPr>
              <w:t>OWN</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Home</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0"/>
                <w:szCs w:val="10"/>
                <w:b w:val="1"/>
                <w:bCs w:val="1"/>
                <w:color w:val="auto"/>
              </w:rPr>
              <w:t>Total</w:t>
            </w: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9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Net sales</w:t>
            </w:r>
          </w:p>
        </w:tc>
        <w:tc>
          <w:tcPr>
            <w:tcW w:w="5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25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233"/>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5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133"/>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3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133"/>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9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293"/>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33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960" w:type="dxa"/>
            <w:vAlign w:val="bottom"/>
            <w:vMerge w:val="continue"/>
          </w:tcPr>
          <w:p>
            <w:pPr>
              <w:spacing w:after="0"/>
              <w:rPr>
                <w:sz w:val="6"/>
                <w:szCs w:val="6"/>
                <w:color w:val="auto"/>
              </w:rPr>
            </w:pPr>
          </w:p>
        </w:tc>
        <w:tc>
          <w:tcPr>
            <w:tcW w:w="540" w:type="dxa"/>
            <w:vAlign w:val="bottom"/>
          </w:tcPr>
          <w:p>
            <w:pPr>
              <w:jc w:val="right"/>
              <w:ind w:right="468"/>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gridSpan w:val="2"/>
          </w:tcPr>
          <w:p>
            <w:pPr>
              <w:jc w:val="right"/>
              <w:ind w:right="120"/>
              <w:spacing w:after="0" w:line="7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jc w:val="right"/>
              <w:ind w:right="95"/>
              <w:spacing w:after="0" w:line="70" w:lineRule="exact"/>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178.5</w:t>
            </w:r>
          </w:p>
        </w:tc>
        <w:tc>
          <w:tcPr>
            <w:tcW w:w="120" w:type="dxa"/>
            <w:vAlign w:val="bottom"/>
          </w:tcPr>
          <w:p>
            <w:pPr>
              <w:spacing w:after="0"/>
              <w:rPr>
                <w:sz w:val="6"/>
                <w:szCs w:val="6"/>
                <w:color w:val="auto"/>
              </w:rPr>
            </w:pP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120"/>
              <w:spacing w:after="0" w:line="70"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jc w:val="right"/>
              <w:ind w:right="75"/>
              <w:spacing w:after="0" w:line="70" w:lineRule="exact"/>
              <w:rPr>
                <w:sz w:val="20"/>
                <w:szCs w:val="20"/>
                <w:color w:val="auto"/>
              </w:rPr>
            </w:pPr>
            <w:r>
              <w:rPr>
                <w:rFonts w:ascii="Times New Roman" w:cs="Times New Roman" w:eastAsia="Times New Roman" w:hAnsi="Times New Roman"/>
                <w:sz w:val="8"/>
                <w:szCs w:val="8"/>
                <w:color w:val="auto"/>
                <w:w w:val="98"/>
              </w:rPr>
              <w:t>$</w:t>
            </w:r>
          </w:p>
        </w:tc>
        <w:tc>
          <w:tcPr>
            <w:tcW w:w="60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1,113.4</w:t>
            </w:r>
          </w:p>
        </w:tc>
        <w:tc>
          <w:tcPr>
            <w:tcW w:w="120" w:type="dxa"/>
            <w:vAlign w:val="bottom"/>
          </w:tcPr>
          <w:p>
            <w:pPr>
              <w:spacing w:after="0"/>
              <w:rPr>
                <w:sz w:val="6"/>
                <w:szCs w:val="6"/>
                <w:color w:val="auto"/>
              </w:rPr>
            </w:pP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tcPr>
          <w:p>
            <w:pPr>
              <w:jc w:val="right"/>
              <w:ind w:right="80"/>
              <w:spacing w:after="0" w:line="70" w:lineRule="exact"/>
              <w:rPr>
                <w:sz w:val="20"/>
                <w:szCs w:val="20"/>
                <w:color w:val="auto"/>
              </w:rPr>
            </w:pPr>
            <w:r>
              <w:rPr>
                <w:rFonts w:ascii="Times New Roman" w:cs="Times New Roman" w:eastAsia="Times New Roman" w:hAnsi="Times New Roman"/>
                <w:sz w:val="8"/>
                <w:szCs w:val="8"/>
                <w:color w:val="auto"/>
              </w:rPr>
              <w:t>(0.2)</w:t>
            </w:r>
          </w:p>
        </w:tc>
        <w:tc>
          <w:tcPr>
            <w:tcW w:w="120" w:type="dxa"/>
            <w:vAlign w:val="bottom"/>
          </w:tcPr>
          <w:p>
            <w:pPr>
              <w:jc w:val="right"/>
              <w:ind w:right="15"/>
              <w:spacing w:after="0" w:line="70"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0.9</w:t>
            </w:r>
          </w:p>
        </w:tc>
        <w:tc>
          <w:tcPr>
            <w:tcW w:w="100" w:type="dxa"/>
            <w:vAlign w:val="bottom"/>
          </w:tcPr>
          <w:p>
            <w:pPr>
              <w:spacing w:after="0"/>
              <w:rPr>
                <w:sz w:val="6"/>
                <w:szCs w:val="6"/>
                <w:color w:val="auto"/>
              </w:rPr>
            </w:pPr>
          </w:p>
        </w:tc>
        <w:tc>
          <w:tcPr>
            <w:tcW w:w="10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0.1</w:t>
            </w:r>
          </w:p>
        </w:tc>
        <w:tc>
          <w:tcPr>
            <w:tcW w:w="100" w:type="dxa"/>
            <w:vAlign w:val="bottom"/>
          </w:tcPr>
          <w:p>
            <w:pPr>
              <w:spacing w:after="0"/>
              <w:rPr>
                <w:sz w:val="6"/>
                <w:szCs w:val="6"/>
                <w:color w:val="auto"/>
              </w:rPr>
            </w:pPr>
          </w:p>
        </w:tc>
        <w:tc>
          <w:tcPr>
            <w:tcW w:w="160" w:type="dxa"/>
            <w:vAlign w:val="bottom"/>
          </w:tcPr>
          <w:p>
            <w:pPr>
              <w:jc w:val="right"/>
              <w:ind w:right="55"/>
              <w:spacing w:after="0" w:line="70" w:lineRule="exact"/>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3.2</w:t>
            </w:r>
          </w:p>
        </w:tc>
        <w:tc>
          <w:tcPr>
            <w:tcW w:w="280" w:type="dxa"/>
            <w:vAlign w:val="bottom"/>
            <w:gridSpan w:val="2"/>
          </w:tcPr>
          <w:p>
            <w:pPr>
              <w:jc w:val="right"/>
              <w:ind w:right="116"/>
              <w:spacing w:after="0" w:line="70" w:lineRule="exact"/>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80"/>
              <w:spacing w:after="0" w:line="70" w:lineRule="exact"/>
              <w:rPr>
                <w:sz w:val="20"/>
                <w:szCs w:val="20"/>
                <w:color w:val="auto"/>
              </w:rPr>
            </w:pPr>
            <w:r>
              <w:rPr>
                <w:rFonts w:ascii="Times New Roman" w:cs="Times New Roman" w:eastAsia="Times New Roman" w:hAnsi="Times New Roman"/>
                <w:sz w:val="8"/>
                <w:szCs w:val="8"/>
                <w:color w:val="auto"/>
              </w:rPr>
              <w:t>(0.1)</w:t>
            </w:r>
          </w:p>
        </w:tc>
        <w:tc>
          <w:tcPr>
            <w:tcW w:w="240" w:type="dxa"/>
            <w:vAlign w:val="bottom"/>
          </w:tcPr>
          <w:p>
            <w:pPr>
              <w:jc w:val="right"/>
              <w:ind w:right="135"/>
              <w:spacing w:after="0" w:line="70" w:lineRule="exact"/>
              <w:rPr>
                <w:sz w:val="20"/>
                <w:szCs w:val="20"/>
                <w:color w:val="auto"/>
              </w:rPr>
            </w:pPr>
            <w:r>
              <w:rPr>
                <w:rFonts w:ascii="Times New Roman" w:cs="Times New Roman" w:eastAsia="Times New Roman" w:hAnsi="Times New Roman"/>
                <w:sz w:val="8"/>
                <w:szCs w:val="8"/>
                <w:color w:val="auto"/>
                <w:w w:val="98"/>
              </w:rPr>
              <w:t>$</w:t>
            </w:r>
          </w:p>
        </w:tc>
        <w:tc>
          <w:tcPr>
            <w:tcW w:w="70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1,296.0</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960" w:type="dxa"/>
            <w:vAlign w:val="bottom"/>
          </w:tcPr>
          <w:p>
            <w:pPr>
              <w:spacing w:after="0" w:line="126" w:lineRule="exact"/>
              <w:rPr>
                <w:sz w:val="20"/>
                <w:szCs w:val="20"/>
                <w:color w:val="auto"/>
              </w:rPr>
            </w:pPr>
            <w:r>
              <w:rPr>
                <w:rFonts w:ascii="Times New Roman" w:cs="Times New Roman" w:eastAsia="Times New Roman" w:hAnsi="Times New Roman"/>
                <w:sz w:val="10"/>
                <w:szCs w:val="10"/>
                <w:color w:val="auto"/>
              </w:rPr>
              <w:t xml:space="preserve">Cost of sales </w:t>
            </w:r>
            <w:r>
              <w:rPr>
                <w:rFonts w:ascii="Times New Roman" w:cs="Times New Roman" w:eastAsia="Times New Roman" w:hAnsi="Times New Roman"/>
                <w:sz w:val="12"/>
                <w:szCs w:val="12"/>
                <w:color w:val="auto"/>
                <w:vertAlign w:val="superscript"/>
              </w:rPr>
              <w:t>(1)</w:t>
            </w:r>
          </w:p>
        </w:tc>
        <w:tc>
          <w:tcPr>
            <w:tcW w:w="54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(25.9)</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(25.8)</w:t>
            </w:r>
          </w:p>
        </w:tc>
        <w:tc>
          <w:tcPr>
            <w:tcW w:w="2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960" w:type="dxa"/>
            <w:vAlign w:val="bottom"/>
            <w:shd w:val="clear" w:color="auto" w:fill="CCECFF"/>
          </w:tcPr>
          <w:p>
            <w:pPr>
              <w:spacing w:after="0" w:line="88" w:lineRule="exact"/>
              <w:rPr>
                <w:sz w:val="20"/>
                <w:szCs w:val="20"/>
                <w:color w:val="auto"/>
              </w:rPr>
            </w:pPr>
            <w:r>
              <w:rPr>
                <w:rFonts w:ascii="Times New Roman" w:cs="Times New Roman" w:eastAsia="Times New Roman" w:hAnsi="Times New Roman"/>
                <w:sz w:val="10"/>
                <w:szCs w:val="10"/>
                <w:color w:val="auto"/>
              </w:rPr>
              <w:t>Gross profit (loss)</w:t>
            </w:r>
          </w:p>
        </w:tc>
        <w:tc>
          <w:tcPr>
            <w:tcW w:w="540" w:type="dxa"/>
            <w:vAlign w:val="bottom"/>
            <w:shd w:val="clear" w:color="auto" w:fill="CCECFF"/>
          </w:tcPr>
          <w:p>
            <w:pPr>
              <w:spacing w:after="0"/>
              <w:rPr>
                <w:sz w:val="7"/>
                <w:szCs w:val="7"/>
                <w:color w:val="auto"/>
              </w:rPr>
            </w:pPr>
          </w:p>
        </w:tc>
        <w:tc>
          <w:tcPr>
            <w:tcW w:w="440" w:type="dxa"/>
            <w:vAlign w:val="bottom"/>
            <w:gridSpan w:val="2"/>
            <w:shd w:val="clear" w:color="auto" w:fill="CCECFF"/>
          </w:tcPr>
          <w:p>
            <w:pPr>
              <w:jc w:val="right"/>
              <w:ind w:right="80"/>
              <w:spacing w:after="0" w:line="88" w:lineRule="exact"/>
              <w:rPr>
                <w:sz w:val="20"/>
                <w:szCs w:val="20"/>
                <w:color w:val="auto"/>
              </w:rPr>
            </w:pPr>
            <w:r>
              <w:rPr>
                <w:rFonts w:ascii="Times New Roman" w:cs="Times New Roman" w:eastAsia="Times New Roman" w:hAnsi="Times New Roman"/>
                <w:sz w:val="10"/>
                <w:szCs w:val="10"/>
                <w:color w:val="auto"/>
              </w:rPr>
              <w:t>(0.1)</w:t>
            </w:r>
          </w:p>
        </w:tc>
        <w:tc>
          <w:tcPr>
            <w:tcW w:w="200" w:type="dxa"/>
            <w:vAlign w:val="bottom"/>
            <w:shd w:val="clear" w:color="auto" w:fill="CCECFF"/>
          </w:tcPr>
          <w:p>
            <w:pPr>
              <w:spacing w:after="0"/>
              <w:rPr>
                <w:sz w:val="7"/>
                <w:szCs w:val="7"/>
                <w:color w:val="auto"/>
              </w:rPr>
            </w:pPr>
          </w:p>
        </w:tc>
        <w:tc>
          <w:tcPr>
            <w:tcW w:w="58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124.0</w:t>
            </w:r>
          </w:p>
        </w:tc>
        <w:tc>
          <w:tcPr>
            <w:tcW w:w="1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58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25.9</w:t>
            </w: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0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423.5</w:t>
            </w:r>
          </w:p>
        </w:tc>
        <w:tc>
          <w:tcPr>
            <w:tcW w:w="1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560" w:type="dxa"/>
            <w:vAlign w:val="bottom"/>
            <w:gridSpan w:val="2"/>
            <w:shd w:val="clear" w:color="auto" w:fill="CCECFF"/>
          </w:tcPr>
          <w:p>
            <w:pPr>
              <w:jc w:val="right"/>
              <w:ind w:right="80"/>
              <w:spacing w:after="0" w:line="88" w:lineRule="exact"/>
              <w:rPr>
                <w:sz w:val="20"/>
                <w:szCs w:val="20"/>
                <w:color w:val="auto"/>
              </w:rPr>
            </w:pPr>
            <w:r>
              <w:rPr>
                <w:rFonts w:ascii="Times New Roman" w:cs="Times New Roman" w:eastAsia="Times New Roman" w:hAnsi="Times New Roman"/>
                <w:sz w:val="10"/>
                <w:szCs w:val="10"/>
                <w:color w:val="auto"/>
              </w:rPr>
              <w:t>(0.2)</w:t>
            </w:r>
          </w:p>
        </w:tc>
        <w:tc>
          <w:tcPr>
            <w:tcW w:w="120" w:type="dxa"/>
            <w:vAlign w:val="bottom"/>
            <w:shd w:val="clear" w:color="auto" w:fill="CCECFF"/>
          </w:tcPr>
          <w:p>
            <w:pPr>
              <w:spacing w:after="0"/>
              <w:rPr>
                <w:sz w:val="7"/>
                <w:szCs w:val="7"/>
                <w:color w:val="auto"/>
              </w:rPr>
            </w:pPr>
          </w:p>
        </w:tc>
        <w:tc>
          <w:tcPr>
            <w:tcW w:w="42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0.9</w:t>
            </w:r>
          </w:p>
        </w:tc>
        <w:tc>
          <w:tcPr>
            <w:tcW w:w="1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44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0.1</w:t>
            </w:r>
          </w:p>
        </w:tc>
        <w:tc>
          <w:tcPr>
            <w:tcW w:w="10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48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0.5</w:t>
            </w:r>
          </w:p>
        </w:tc>
        <w:tc>
          <w:tcPr>
            <w:tcW w:w="10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8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25.7</w:t>
            </w:r>
          </w:p>
        </w:tc>
        <w:tc>
          <w:tcPr>
            <w:tcW w:w="10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70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548.9</w:t>
            </w:r>
          </w:p>
        </w:tc>
        <w:tc>
          <w:tcPr>
            <w:tcW w:w="12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96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Operating expenses: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960" w:type="dxa"/>
            <w:vAlign w:val="bottom"/>
            <w:shd w:val="clear" w:color="auto" w:fill="CCECFF"/>
          </w:tcPr>
          <w:p>
            <w:pPr>
              <w:ind w:left="20"/>
              <w:spacing w:after="0" w:line="85" w:lineRule="exact"/>
              <w:rPr>
                <w:sz w:val="20"/>
                <w:szCs w:val="20"/>
                <w:color w:val="auto"/>
              </w:rPr>
            </w:pPr>
            <w:r>
              <w:rPr>
                <w:rFonts w:ascii="Times New Roman" w:cs="Times New Roman" w:eastAsia="Times New Roman" w:hAnsi="Times New Roman"/>
                <w:sz w:val="8"/>
                <w:szCs w:val="8"/>
                <w:color w:val="auto"/>
              </w:rPr>
              <w:t>Selling, general and</w:t>
            </w:r>
          </w:p>
        </w:tc>
        <w:tc>
          <w:tcPr>
            <w:tcW w:w="540" w:type="dxa"/>
            <w:vAlign w:val="bottom"/>
            <w:shd w:val="clear" w:color="auto" w:fill="CCECFF"/>
          </w:tcPr>
          <w:p>
            <w:pPr>
              <w:spacing w:after="0"/>
              <w:rPr>
                <w:sz w:val="7"/>
                <w:szCs w:val="7"/>
                <w:color w:val="auto"/>
              </w:rPr>
            </w:pPr>
          </w:p>
        </w:tc>
        <w:tc>
          <w:tcPr>
            <w:tcW w:w="3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200" w:type="dxa"/>
            <w:vAlign w:val="bottom"/>
            <w:shd w:val="clear" w:color="auto" w:fill="CCECFF"/>
          </w:tcPr>
          <w:p>
            <w:pPr>
              <w:spacing w:after="0"/>
              <w:rPr>
                <w:sz w:val="7"/>
                <w:szCs w:val="7"/>
                <w:color w:val="auto"/>
              </w:rPr>
            </w:pPr>
          </w:p>
        </w:tc>
        <w:tc>
          <w:tcPr>
            <w:tcW w:w="58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58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0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44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4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44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48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8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70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960" w:type="dxa"/>
            <w:vAlign w:val="bottom"/>
            <w:shd w:val="clear" w:color="auto" w:fill="CCECFF"/>
          </w:tcPr>
          <w:p>
            <w:pPr>
              <w:ind w:left="100"/>
              <w:spacing w:after="0" w:line="114" w:lineRule="exact"/>
              <w:rPr>
                <w:sz w:val="20"/>
                <w:szCs w:val="20"/>
                <w:color w:val="auto"/>
              </w:rPr>
            </w:pPr>
            <w:r>
              <w:rPr>
                <w:rFonts w:ascii="Times New Roman" w:cs="Times New Roman" w:eastAsia="Times New Roman" w:hAnsi="Times New Roman"/>
                <w:sz w:val="10"/>
                <w:szCs w:val="10"/>
                <w:color w:val="auto"/>
              </w:rPr>
              <w:t>administrative</w:t>
            </w:r>
          </w:p>
        </w:tc>
        <w:tc>
          <w:tcPr>
            <w:tcW w:w="540" w:type="dxa"/>
            <w:vAlign w:val="bottom"/>
            <w:shd w:val="clear" w:color="auto" w:fill="CCECFF"/>
          </w:tcPr>
          <w:p>
            <w:pPr>
              <w:spacing w:after="0"/>
              <w:rPr>
                <w:sz w:val="9"/>
                <w:szCs w:val="9"/>
                <w:color w:val="auto"/>
              </w:rPr>
            </w:pPr>
          </w:p>
        </w:tc>
        <w:tc>
          <w:tcPr>
            <w:tcW w:w="3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6.1</w:t>
            </w:r>
          </w:p>
        </w:tc>
        <w:tc>
          <w:tcPr>
            <w:tcW w:w="1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48.9</w:t>
            </w:r>
          </w:p>
        </w:tc>
        <w:tc>
          <w:tcPr>
            <w:tcW w:w="1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0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9"/>
                <w:szCs w:val="9"/>
                <w:color w:val="auto"/>
              </w:rPr>
            </w:pPr>
          </w:p>
        </w:tc>
        <w:tc>
          <w:tcPr>
            <w:tcW w:w="60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103.0</w:t>
            </w:r>
          </w:p>
        </w:tc>
        <w:tc>
          <w:tcPr>
            <w:tcW w:w="1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6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CFF"/>
          </w:tcPr>
          <w:p>
            <w:pPr>
              <w:spacing w:after="0"/>
              <w:rPr>
                <w:sz w:val="9"/>
                <w:szCs w:val="9"/>
                <w:color w:val="auto"/>
              </w:rPr>
            </w:pPr>
          </w:p>
        </w:tc>
        <w:tc>
          <w:tcPr>
            <w:tcW w:w="4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2.6</w:t>
            </w:r>
          </w:p>
        </w:tc>
        <w:tc>
          <w:tcPr>
            <w:tcW w:w="1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4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9"/>
                <w:szCs w:val="9"/>
                <w:color w:val="auto"/>
              </w:rPr>
            </w:pPr>
          </w:p>
        </w:tc>
        <w:tc>
          <w:tcPr>
            <w:tcW w:w="4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0.4</w:t>
            </w:r>
          </w:p>
        </w:tc>
        <w:tc>
          <w:tcPr>
            <w:tcW w:w="1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6.1</w:t>
            </w:r>
          </w:p>
        </w:tc>
        <w:tc>
          <w:tcPr>
            <w:tcW w:w="1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70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154.9</w:t>
            </w: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96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Research and development</w:t>
            </w:r>
          </w:p>
        </w:tc>
        <w:tc>
          <w:tcPr>
            <w:tcW w:w="540" w:type="dxa"/>
            <w:vAlign w:val="bottom"/>
          </w:tcPr>
          <w:p>
            <w:pPr>
              <w:spacing w:after="0"/>
              <w:rPr>
                <w:sz w:val="8"/>
                <w:szCs w:val="8"/>
                <w:color w:val="auto"/>
              </w:rPr>
            </w:pPr>
          </w:p>
        </w:tc>
        <w:tc>
          <w:tcPr>
            <w:tcW w:w="4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32.0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52.7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960" w:type="dxa"/>
            <w:vAlign w:val="bottom"/>
            <w:shd w:val="clear" w:color="auto" w:fill="CCECFF"/>
          </w:tcPr>
          <w:p>
            <w:pPr>
              <w:ind w:left="20"/>
              <w:spacing w:after="0" w:line="85" w:lineRule="exact"/>
              <w:rPr>
                <w:sz w:val="20"/>
                <w:szCs w:val="20"/>
                <w:color w:val="auto"/>
              </w:rPr>
            </w:pPr>
            <w:r>
              <w:rPr>
                <w:rFonts w:ascii="Times New Roman" w:cs="Times New Roman" w:eastAsia="Times New Roman" w:hAnsi="Times New Roman"/>
                <w:sz w:val="8"/>
                <w:szCs w:val="8"/>
                <w:color w:val="auto"/>
              </w:rPr>
              <w:t>Amortization of purchased</w:t>
            </w:r>
          </w:p>
        </w:tc>
        <w:tc>
          <w:tcPr>
            <w:tcW w:w="540" w:type="dxa"/>
            <w:vAlign w:val="bottom"/>
            <w:shd w:val="clear" w:color="auto" w:fill="CCECFF"/>
          </w:tcPr>
          <w:p>
            <w:pPr>
              <w:spacing w:after="0"/>
              <w:rPr>
                <w:sz w:val="7"/>
                <w:szCs w:val="7"/>
                <w:color w:val="auto"/>
              </w:rPr>
            </w:pPr>
          </w:p>
        </w:tc>
        <w:tc>
          <w:tcPr>
            <w:tcW w:w="3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200" w:type="dxa"/>
            <w:vAlign w:val="bottom"/>
            <w:shd w:val="clear" w:color="auto" w:fill="CCECFF"/>
          </w:tcPr>
          <w:p>
            <w:pPr>
              <w:spacing w:after="0"/>
              <w:rPr>
                <w:sz w:val="7"/>
                <w:szCs w:val="7"/>
                <w:color w:val="auto"/>
              </w:rPr>
            </w:pPr>
          </w:p>
        </w:tc>
        <w:tc>
          <w:tcPr>
            <w:tcW w:w="58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58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0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44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4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44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48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8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70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960" w:type="dxa"/>
            <w:vAlign w:val="bottom"/>
            <w:shd w:val="clear" w:color="auto" w:fill="CCECFF"/>
          </w:tcPr>
          <w:p>
            <w:pPr>
              <w:ind w:left="100"/>
              <w:spacing w:after="0" w:line="114" w:lineRule="exact"/>
              <w:rPr>
                <w:sz w:val="20"/>
                <w:szCs w:val="20"/>
                <w:color w:val="auto"/>
              </w:rPr>
            </w:pPr>
            <w:r>
              <w:rPr>
                <w:rFonts w:ascii="Times New Roman" w:cs="Times New Roman" w:eastAsia="Times New Roman" w:hAnsi="Times New Roman"/>
                <w:sz w:val="10"/>
                <w:szCs w:val="10"/>
                <w:color w:val="auto"/>
              </w:rPr>
              <w:t>intangible assets</w:t>
            </w:r>
          </w:p>
        </w:tc>
        <w:tc>
          <w:tcPr>
            <w:tcW w:w="540" w:type="dxa"/>
            <w:vAlign w:val="bottom"/>
            <w:shd w:val="clear" w:color="auto" w:fill="CCECFF"/>
          </w:tcPr>
          <w:p>
            <w:pPr>
              <w:spacing w:after="0"/>
              <w:rPr>
                <w:sz w:val="9"/>
                <w:szCs w:val="9"/>
                <w:color w:val="auto"/>
              </w:rPr>
            </w:pPr>
          </w:p>
        </w:tc>
        <w:tc>
          <w:tcPr>
            <w:tcW w:w="44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9"/>
                <w:szCs w:val="9"/>
                <w:color w:val="auto"/>
              </w:rPr>
            </w:pPr>
          </w:p>
        </w:tc>
        <w:tc>
          <w:tcPr>
            <w:tcW w:w="5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12.5</w:t>
            </w:r>
          </w:p>
        </w:tc>
        <w:tc>
          <w:tcPr>
            <w:tcW w:w="1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0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9"/>
                <w:szCs w:val="9"/>
                <w:color w:val="auto"/>
              </w:rPr>
            </w:pPr>
          </w:p>
        </w:tc>
        <w:tc>
          <w:tcPr>
            <w:tcW w:w="60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17.7</w:t>
            </w:r>
          </w:p>
        </w:tc>
        <w:tc>
          <w:tcPr>
            <w:tcW w:w="1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6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CFF"/>
          </w:tcPr>
          <w:p>
            <w:pPr>
              <w:spacing w:after="0"/>
              <w:rPr>
                <w:sz w:val="9"/>
                <w:szCs w:val="9"/>
                <w:color w:val="auto"/>
              </w:rPr>
            </w:pPr>
          </w:p>
        </w:tc>
        <w:tc>
          <w:tcPr>
            <w:tcW w:w="54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9"/>
                <w:szCs w:val="9"/>
                <w:color w:val="auto"/>
              </w:rPr>
            </w:pPr>
          </w:p>
        </w:tc>
        <w:tc>
          <w:tcPr>
            <w:tcW w:w="4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8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9"/>
                <w:szCs w:val="9"/>
                <w:color w:val="auto"/>
              </w:rPr>
            </w:pPr>
          </w:p>
        </w:tc>
        <w:tc>
          <w:tcPr>
            <w:tcW w:w="70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30.2</w:t>
            </w: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96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Restructuring costs (credits), net</w:t>
            </w:r>
          </w:p>
        </w:tc>
        <w:tc>
          <w:tcPr>
            <w:tcW w:w="540" w:type="dxa"/>
            <w:vAlign w:val="bottom"/>
          </w:tcPr>
          <w:p>
            <w:pPr>
              <w:spacing w:after="0"/>
              <w:rPr>
                <w:sz w:val="8"/>
                <w:szCs w:val="8"/>
                <w:color w:val="auto"/>
              </w:rPr>
            </w:pPr>
          </w:p>
        </w:tc>
        <w:tc>
          <w:tcPr>
            <w:tcW w:w="4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0.4</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8"/>
                <w:szCs w:val="8"/>
                <w:color w:val="auto"/>
              </w:rPr>
            </w:pPr>
          </w:p>
        </w:tc>
        <w:tc>
          <w:tcPr>
            <w:tcW w:w="72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(0.2)</w:t>
            </w:r>
          </w:p>
        </w:tc>
        <w:tc>
          <w:tcPr>
            <w:tcW w:w="100" w:type="dxa"/>
            <w:vAlign w:val="bottom"/>
          </w:tcPr>
          <w:p>
            <w:pPr>
              <w:spacing w:after="0"/>
              <w:rPr>
                <w:sz w:val="8"/>
                <w:szCs w:val="8"/>
                <w:color w:val="auto"/>
              </w:rPr>
            </w:pPr>
          </w:p>
        </w:tc>
        <w:tc>
          <w:tcPr>
            <w:tcW w:w="5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0.2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960" w:type="dxa"/>
            <w:vAlign w:val="bottom"/>
            <w:tcBorders>
              <w:top w:val="single" w:sz="8" w:color="CCECFF"/>
              <w:bottom w:val="single" w:sz="8" w:color="CCECFF"/>
            </w:tcBorders>
            <w:shd w:val="clear" w:color="auto" w:fill="CCECFF"/>
          </w:tcPr>
          <w:p>
            <w:pPr>
              <w:ind w:left="100"/>
              <w:spacing w:after="0" w:line="88" w:lineRule="exact"/>
              <w:rPr>
                <w:sz w:val="20"/>
                <w:szCs w:val="20"/>
                <w:color w:val="auto"/>
              </w:rPr>
            </w:pPr>
            <w:r>
              <w:rPr>
                <w:rFonts w:ascii="Times New Roman" w:cs="Times New Roman" w:eastAsia="Times New Roman" w:hAnsi="Times New Roman"/>
                <w:sz w:val="10"/>
                <w:szCs w:val="10"/>
                <w:color w:val="auto"/>
              </w:rPr>
              <w:t>Total operating expenses</w:t>
            </w:r>
          </w:p>
        </w:tc>
        <w:tc>
          <w:tcPr>
            <w:tcW w:w="540" w:type="dxa"/>
            <w:vAlign w:val="bottom"/>
            <w:tcBorders>
              <w:top w:val="single" w:sz="8" w:color="auto"/>
              <w:bottom w:val="single" w:sz="8" w:color="auto"/>
            </w:tcBorders>
            <w:shd w:val="clear" w:color="auto" w:fill="CCECFF"/>
          </w:tcPr>
          <w:p>
            <w:pPr>
              <w:spacing w:after="0"/>
              <w:rPr>
                <w:sz w:val="7"/>
                <w:szCs w:val="7"/>
                <w:color w:val="auto"/>
              </w:rPr>
            </w:pPr>
          </w:p>
        </w:tc>
        <w:tc>
          <w:tcPr>
            <w:tcW w:w="320" w:type="dxa"/>
            <w:vAlign w:val="bottom"/>
            <w:tcBorders>
              <w:top w:val="single" w:sz="8" w:color="auto"/>
              <w:bottom w:val="single" w:sz="8" w:color="auto"/>
            </w:tcBorders>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6.1</w:t>
            </w:r>
          </w:p>
        </w:tc>
        <w:tc>
          <w:tcPr>
            <w:tcW w:w="120" w:type="dxa"/>
            <w:vAlign w:val="bottom"/>
            <w:tcBorders>
              <w:top w:val="single" w:sz="8" w:color="CCECFF"/>
              <w:bottom w:val="single" w:sz="8" w:color="CCECFF"/>
            </w:tcBorders>
            <w:shd w:val="clear" w:color="auto" w:fill="CCECFF"/>
          </w:tcPr>
          <w:p>
            <w:pPr>
              <w:spacing w:after="0"/>
              <w:rPr>
                <w:sz w:val="7"/>
                <w:szCs w:val="7"/>
                <w:color w:val="auto"/>
              </w:rPr>
            </w:pPr>
          </w:p>
        </w:tc>
        <w:tc>
          <w:tcPr>
            <w:tcW w:w="200" w:type="dxa"/>
            <w:vAlign w:val="bottom"/>
            <w:tcBorders>
              <w:top w:val="single" w:sz="8" w:color="auto"/>
              <w:bottom w:val="single" w:sz="8" w:color="auto"/>
            </w:tcBorders>
            <w:shd w:val="clear" w:color="auto" w:fill="CCECFF"/>
          </w:tcPr>
          <w:p>
            <w:pPr>
              <w:spacing w:after="0"/>
              <w:rPr>
                <w:sz w:val="7"/>
                <w:szCs w:val="7"/>
                <w:color w:val="auto"/>
              </w:rPr>
            </w:pPr>
          </w:p>
        </w:tc>
        <w:tc>
          <w:tcPr>
            <w:tcW w:w="580" w:type="dxa"/>
            <w:vAlign w:val="bottom"/>
            <w:tcBorders>
              <w:top w:val="single" w:sz="8" w:color="auto"/>
              <w:bottom w:val="single" w:sz="8" w:color="auto"/>
            </w:tcBorders>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93.8</w:t>
            </w:r>
          </w:p>
        </w:tc>
        <w:tc>
          <w:tcPr>
            <w:tcW w:w="120" w:type="dxa"/>
            <w:vAlign w:val="bottom"/>
            <w:tcBorders>
              <w:top w:val="single" w:sz="8" w:color="CCECFF"/>
              <w:bottom w:val="single" w:sz="8" w:color="CCECFF"/>
            </w:tcBorders>
            <w:shd w:val="clear" w:color="auto" w:fill="CCECFF"/>
          </w:tcPr>
          <w:p>
            <w:pPr>
              <w:spacing w:after="0"/>
              <w:rPr>
                <w:sz w:val="7"/>
                <w:szCs w:val="7"/>
                <w:color w:val="auto"/>
              </w:rPr>
            </w:pPr>
          </w:p>
        </w:tc>
        <w:tc>
          <w:tcPr>
            <w:tcW w:w="160" w:type="dxa"/>
            <w:vAlign w:val="bottom"/>
            <w:tcBorders>
              <w:top w:val="single" w:sz="8" w:color="auto"/>
              <w:bottom w:val="single" w:sz="8" w:color="auto"/>
            </w:tcBorders>
            <w:shd w:val="clear" w:color="auto" w:fill="CCECFF"/>
          </w:tcPr>
          <w:p>
            <w:pPr>
              <w:spacing w:after="0"/>
              <w:rPr>
                <w:sz w:val="7"/>
                <w:szCs w:val="7"/>
                <w:color w:val="auto"/>
              </w:rPr>
            </w:pPr>
          </w:p>
        </w:tc>
        <w:tc>
          <w:tcPr>
            <w:tcW w:w="580" w:type="dxa"/>
            <w:vAlign w:val="bottom"/>
            <w:tcBorders>
              <w:top w:val="single" w:sz="8" w:color="auto"/>
              <w:bottom w:val="single" w:sz="8" w:color="auto"/>
            </w:tcBorders>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CFF"/>
              <w:bottom w:val="single" w:sz="8" w:color="CCECFF"/>
            </w:tcBorders>
            <w:shd w:val="clear" w:color="auto" w:fill="CCECFF"/>
          </w:tcPr>
          <w:p>
            <w:pPr>
              <w:spacing w:after="0"/>
              <w:rPr>
                <w:sz w:val="7"/>
                <w:szCs w:val="7"/>
                <w:color w:val="auto"/>
              </w:rPr>
            </w:pPr>
          </w:p>
        </w:tc>
        <w:tc>
          <w:tcPr>
            <w:tcW w:w="180" w:type="dxa"/>
            <w:vAlign w:val="bottom"/>
            <w:tcBorders>
              <w:top w:val="single" w:sz="8" w:color="auto"/>
              <w:bottom w:val="single" w:sz="8" w:color="auto"/>
            </w:tcBorders>
            <w:shd w:val="clear" w:color="auto" w:fill="CCECFF"/>
          </w:tcPr>
          <w:p>
            <w:pPr>
              <w:spacing w:after="0"/>
              <w:rPr>
                <w:sz w:val="7"/>
                <w:szCs w:val="7"/>
                <w:color w:val="auto"/>
              </w:rPr>
            </w:pPr>
          </w:p>
        </w:tc>
        <w:tc>
          <w:tcPr>
            <w:tcW w:w="600" w:type="dxa"/>
            <w:vAlign w:val="bottom"/>
            <w:tcBorders>
              <w:top w:val="single" w:sz="8" w:color="auto"/>
              <w:bottom w:val="single" w:sz="8" w:color="auto"/>
            </w:tcBorders>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141.2</w:t>
            </w:r>
          </w:p>
        </w:tc>
        <w:tc>
          <w:tcPr>
            <w:tcW w:w="120" w:type="dxa"/>
            <w:vAlign w:val="bottom"/>
            <w:tcBorders>
              <w:top w:val="single" w:sz="8" w:color="CCECFF"/>
              <w:bottom w:val="single" w:sz="8" w:color="CCECFF"/>
            </w:tcBorders>
            <w:shd w:val="clear" w:color="auto" w:fill="CCECFF"/>
          </w:tcPr>
          <w:p>
            <w:pPr>
              <w:spacing w:after="0"/>
              <w:rPr>
                <w:sz w:val="7"/>
                <w:szCs w:val="7"/>
                <w:color w:val="auto"/>
              </w:rPr>
            </w:pPr>
          </w:p>
        </w:tc>
        <w:tc>
          <w:tcPr>
            <w:tcW w:w="100" w:type="dxa"/>
            <w:vAlign w:val="bottom"/>
            <w:tcBorders>
              <w:top w:val="single" w:sz="8" w:color="auto"/>
              <w:bottom w:val="single" w:sz="8" w:color="auto"/>
            </w:tcBorders>
            <w:shd w:val="clear" w:color="auto" w:fill="CCECFF"/>
          </w:tcPr>
          <w:p>
            <w:pPr>
              <w:spacing w:after="0"/>
              <w:rPr>
                <w:sz w:val="7"/>
                <w:szCs w:val="7"/>
                <w:color w:val="auto"/>
              </w:rPr>
            </w:pPr>
          </w:p>
        </w:tc>
        <w:tc>
          <w:tcPr>
            <w:tcW w:w="440" w:type="dxa"/>
            <w:vAlign w:val="bottom"/>
            <w:tcBorders>
              <w:top w:val="single" w:sz="8" w:color="auto"/>
              <w:bottom w:val="single" w:sz="8" w:color="auto"/>
            </w:tcBorders>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CFF"/>
              <w:bottom w:val="single" w:sz="8" w:color="CCECFF"/>
            </w:tcBorders>
            <w:shd w:val="clear" w:color="auto" w:fill="CCECFF"/>
          </w:tcPr>
          <w:p>
            <w:pPr>
              <w:spacing w:after="0"/>
              <w:rPr>
                <w:sz w:val="7"/>
                <w:szCs w:val="7"/>
                <w:color w:val="auto"/>
              </w:rPr>
            </w:pPr>
          </w:p>
        </w:tc>
        <w:tc>
          <w:tcPr>
            <w:tcW w:w="120" w:type="dxa"/>
            <w:vAlign w:val="bottom"/>
            <w:tcBorders>
              <w:top w:val="single" w:sz="8" w:color="auto"/>
              <w:bottom w:val="single" w:sz="8" w:color="auto"/>
            </w:tcBorders>
            <w:shd w:val="clear" w:color="auto" w:fill="CCECFF"/>
          </w:tcPr>
          <w:p>
            <w:pPr>
              <w:spacing w:after="0"/>
              <w:rPr>
                <w:sz w:val="7"/>
                <w:szCs w:val="7"/>
                <w:color w:val="auto"/>
              </w:rPr>
            </w:pPr>
          </w:p>
        </w:tc>
        <w:tc>
          <w:tcPr>
            <w:tcW w:w="420" w:type="dxa"/>
            <w:vAlign w:val="bottom"/>
            <w:tcBorders>
              <w:top w:val="single" w:sz="8" w:color="auto"/>
              <w:bottom w:val="single" w:sz="8" w:color="auto"/>
            </w:tcBorders>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2.6</w:t>
            </w:r>
          </w:p>
        </w:tc>
        <w:tc>
          <w:tcPr>
            <w:tcW w:w="100" w:type="dxa"/>
            <w:vAlign w:val="bottom"/>
            <w:tcBorders>
              <w:top w:val="single" w:sz="8" w:color="CCECFF"/>
              <w:bottom w:val="single" w:sz="8" w:color="CCECFF"/>
            </w:tcBorders>
            <w:shd w:val="clear" w:color="auto" w:fill="CCECFF"/>
          </w:tcPr>
          <w:p>
            <w:pPr>
              <w:spacing w:after="0"/>
              <w:rPr>
                <w:sz w:val="7"/>
                <w:szCs w:val="7"/>
                <w:color w:val="auto"/>
              </w:rPr>
            </w:pPr>
          </w:p>
        </w:tc>
        <w:tc>
          <w:tcPr>
            <w:tcW w:w="100" w:type="dxa"/>
            <w:vAlign w:val="bottom"/>
            <w:tcBorders>
              <w:top w:val="single" w:sz="8" w:color="auto"/>
              <w:bottom w:val="single" w:sz="8" w:color="auto"/>
            </w:tcBorders>
            <w:shd w:val="clear" w:color="auto" w:fill="CCECFF"/>
          </w:tcPr>
          <w:p>
            <w:pPr>
              <w:spacing w:after="0"/>
              <w:rPr>
                <w:sz w:val="7"/>
                <w:szCs w:val="7"/>
                <w:color w:val="auto"/>
              </w:rPr>
            </w:pPr>
          </w:p>
        </w:tc>
        <w:tc>
          <w:tcPr>
            <w:tcW w:w="440" w:type="dxa"/>
            <w:vAlign w:val="bottom"/>
            <w:tcBorders>
              <w:top w:val="single" w:sz="8" w:color="auto"/>
              <w:bottom w:val="single" w:sz="8" w:color="auto"/>
            </w:tcBorders>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CFF"/>
              <w:bottom w:val="single" w:sz="8" w:color="CCECFF"/>
            </w:tcBorders>
            <w:shd w:val="clear" w:color="auto" w:fill="CCECFF"/>
          </w:tcPr>
          <w:p>
            <w:pPr>
              <w:spacing w:after="0"/>
              <w:rPr>
                <w:sz w:val="7"/>
                <w:szCs w:val="7"/>
                <w:color w:val="auto"/>
              </w:rPr>
            </w:pPr>
          </w:p>
        </w:tc>
        <w:tc>
          <w:tcPr>
            <w:tcW w:w="160" w:type="dxa"/>
            <w:vAlign w:val="bottom"/>
            <w:tcBorders>
              <w:top w:val="single" w:sz="8" w:color="auto"/>
              <w:bottom w:val="single" w:sz="8" w:color="auto"/>
            </w:tcBorders>
            <w:shd w:val="clear" w:color="auto" w:fill="CCECFF"/>
          </w:tcPr>
          <w:p>
            <w:pPr>
              <w:spacing w:after="0"/>
              <w:rPr>
                <w:sz w:val="7"/>
                <w:szCs w:val="7"/>
                <w:color w:val="auto"/>
              </w:rPr>
            </w:pPr>
          </w:p>
        </w:tc>
        <w:tc>
          <w:tcPr>
            <w:tcW w:w="480" w:type="dxa"/>
            <w:vAlign w:val="bottom"/>
            <w:tcBorders>
              <w:top w:val="single" w:sz="8" w:color="auto"/>
              <w:bottom w:val="single" w:sz="8" w:color="auto"/>
            </w:tcBorders>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0.4</w:t>
            </w:r>
          </w:p>
        </w:tc>
        <w:tc>
          <w:tcPr>
            <w:tcW w:w="100" w:type="dxa"/>
            <w:vAlign w:val="bottom"/>
            <w:tcBorders>
              <w:top w:val="single" w:sz="8" w:color="CCECFF"/>
              <w:bottom w:val="single" w:sz="8" w:color="CCECFF"/>
            </w:tcBorders>
            <w:shd w:val="clear" w:color="auto" w:fill="CCECFF"/>
          </w:tcPr>
          <w:p>
            <w:pPr>
              <w:spacing w:after="0"/>
              <w:rPr>
                <w:sz w:val="7"/>
                <w:szCs w:val="7"/>
                <w:color w:val="auto"/>
              </w:rPr>
            </w:pPr>
          </w:p>
        </w:tc>
        <w:tc>
          <w:tcPr>
            <w:tcW w:w="180" w:type="dxa"/>
            <w:vAlign w:val="bottom"/>
            <w:tcBorders>
              <w:top w:val="single" w:sz="8" w:color="auto"/>
              <w:bottom w:val="single" w:sz="8" w:color="auto"/>
            </w:tcBorders>
            <w:shd w:val="clear" w:color="auto" w:fill="CCECFF"/>
          </w:tcPr>
          <w:p>
            <w:pPr>
              <w:spacing w:after="0"/>
              <w:rPr>
                <w:sz w:val="7"/>
                <w:szCs w:val="7"/>
                <w:color w:val="auto"/>
              </w:rPr>
            </w:pPr>
          </w:p>
        </w:tc>
        <w:tc>
          <w:tcPr>
            <w:tcW w:w="680" w:type="dxa"/>
            <w:vAlign w:val="bottom"/>
            <w:tcBorders>
              <w:top w:val="single" w:sz="8" w:color="auto"/>
              <w:bottom w:val="single" w:sz="8" w:color="auto"/>
            </w:tcBorders>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6.1</w:t>
            </w:r>
          </w:p>
        </w:tc>
        <w:tc>
          <w:tcPr>
            <w:tcW w:w="100" w:type="dxa"/>
            <w:vAlign w:val="bottom"/>
            <w:tcBorders>
              <w:top w:val="single" w:sz="8" w:color="CCECFF"/>
              <w:bottom w:val="single" w:sz="8" w:color="CCECFF"/>
            </w:tcBorders>
            <w:shd w:val="clear" w:color="auto" w:fill="CCECFF"/>
          </w:tcPr>
          <w:p>
            <w:pPr>
              <w:spacing w:after="0"/>
              <w:rPr>
                <w:sz w:val="7"/>
                <w:szCs w:val="7"/>
                <w:color w:val="auto"/>
              </w:rPr>
            </w:pPr>
          </w:p>
        </w:tc>
        <w:tc>
          <w:tcPr>
            <w:tcW w:w="240" w:type="dxa"/>
            <w:vAlign w:val="bottom"/>
            <w:tcBorders>
              <w:top w:val="single" w:sz="8" w:color="auto"/>
              <w:bottom w:val="single" w:sz="8" w:color="auto"/>
            </w:tcBorders>
            <w:shd w:val="clear" w:color="auto" w:fill="CCECFF"/>
          </w:tcPr>
          <w:p>
            <w:pPr>
              <w:spacing w:after="0"/>
              <w:rPr>
                <w:sz w:val="7"/>
                <w:szCs w:val="7"/>
                <w:color w:val="auto"/>
              </w:rPr>
            </w:pPr>
          </w:p>
        </w:tc>
        <w:tc>
          <w:tcPr>
            <w:tcW w:w="700" w:type="dxa"/>
            <w:vAlign w:val="bottom"/>
            <w:tcBorders>
              <w:top w:val="single" w:sz="8" w:color="auto"/>
              <w:bottom w:val="single" w:sz="8" w:color="auto"/>
            </w:tcBorders>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238.0</w:t>
            </w:r>
          </w:p>
        </w:tc>
        <w:tc>
          <w:tcPr>
            <w:tcW w:w="120" w:type="dxa"/>
            <w:vAlign w:val="bottom"/>
            <w:tcBorders>
              <w:top w:val="single" w:sz="8" w:color="CCECFF"/>
              <w:bottom w:val="single" w:sz="8" w:color="CCECFF"/>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960" w:type="dxa"/>
            <w:vAlign w:val="bottom"/>
          </w:tcPr>
          <w:p>
            <w:pPr>
              <w:spacing w:after="0" w:line="70" w:lineRule="exact"/>
              <w:rPr>
                <w:sz w:val="20"/>
                <w:szCs w:val="20"/>
                <w:color w:val="auto"/>
              </w:rPr>
            </w:pPr>
            <w:r>
              <w:rPr>
                <w:rFonts w:ascii="Times New Roman" w:cs="Times New Roman" w:eastAsia="Times New Roman" w:hAnsi="Times New Roman"/>
                <w:sz w:val="8"/>
                <w:szCs w:val="8"/>
                <w:color w:val="auto"/>
              </w:rPr>
              <w:t>Operating income (loss)</w:t>
            </w:r>
          </w:p>
        </w:tc>
        <w:tc>
          <w:tcPr>
            <w:tcW w:w="540" w:type="dxa"/>
            <w:vAlign w:val="bottom"/>
          </w:tcPr>
          <w:p>
            <w:pPr>
              <w:spacing w:after="0"/>
              <w:rPr>
                <w:sz w:val="6"/>
                <w:szCs w:val="6"/>
                <w:color w:val="auto"/>
              </w:rPr>
            </w:pPr>
          </w:p>
        </w:tc>
        <w:tc>
          <w:tcPr>
            <w:tcW w:w="440" w:type="dxa"/>
            <w:vAlign w:val="bottom"/>
            <w:gridSpan w:val="2"/>
          </w:tcPr>
          <w:p>
            <w:pPr>
              <w:jc w:val="right"/>
              <w:ind w:right="80"/>
              <w:spacing w:after="0" w:line="70" w:lineRule="exact"/>
              <w:rPr>
                <w:sz w:val="20"/>
                <w:szCs w:val="20"/>
                <w:color w:val="auto"/>
              </w:rPr>
            </w:pPr>
            <w:r>
              <w:rPr>
                <w:rFonts w:ascii="Times New Roman" w:cs="Times New Roman" w:eastAsia="Times New Roman" w:hAnsi="Times New Roman"/>
                <w:sz w:val="8"/>
                <w:szCs w:val="8"/>
                <w:color w:val="auto"/>
              </w:rPr>
              <w:t>(6.2)</w:t>
            </w:r>
          </w:p>
        </w:tc>
        <w:tc>
          <w:tcPr>
            <w:tcW w:w="200" w:type="dxa"/>
            <w:vAlign w:val="bottom"/>
          </w:tcPr>
          <w:p>
            <w:pPr>
              <w:spacing w:after="0"/>
              <w:rPr>
                <w:sz w:val="6"/>
                <w:szCs w:val="6"/>
                <w:color w:val="auto"/>
              </w:rPr>
            </w:pPr>
          </w:p>
        </w:tc>
        <w:tc>
          <w:tcPr>
            <w:tcW w:w="58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30.2</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25.9</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282.3</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tcPr>
          <w:p>
            <w:pPr>
              <w:jc w:val="right"/>
              <w:ind w:right="80"/>
              <w:spacing w:after="0" w:line="70" w:lineRule="exact"/>
              <w:rPr>
                <w:sz w:val="20"/>
                <w:szCs w:val="20"/>
                <w:color w:val="auto"/>
              </w:rPr>
            </w:pPr>
            <w:r>
              <w:rPr>
                <w:rFonts w:ascii="Times New Roman" w:cs="Times New Roman" w:eastAsia="Times New Roman" w:hAnsi="Times New Roman"/>
                <w:sz w:val="8"/>
                <w:szCs w:val="8"/>
                <w:color w:val="auto"/>
              </w:rPr>
              <w:t>(0.2)</w:t>
            </w:r>
          </w:p>
        </w:tc>
        <w:tc>
          <w:tcPr>
            <w:tcW w:w="120" w:type="dxa"/>
            <w:vAlign w:val="bottom"/>
          </w:tcPr>
          <w:p>
            <w:pPr>
              <w:spacing w:after="0"/>
              <w:rPr>
                <w:sz w:val="6"/>
                <w:szCs w:val="6"/>
                <w:color w:val="auto"/>
              </w:rPr>
            </w:pPr>
          </w:p>
        </w:tc>
        <w:tc>
          <w:tcPr>
            <w:tcW w:w="520" w:type="dxa"/>
            <w:vAlign w:val="bottom"/>
            <w:gridSpan w:val="2"/>
          </w:tcPr>
          <w:p>
            <w:pPr>
              <w:jc w:val="right"/>
              <w:ind w:right="80"/>
              <w:spacing w:after="0" w:line="70" w:lineRule="exact"/>
              <w:rPr>
                <w:sz w:val="20"/>
                <w:szCs w:val="20"/>
                <w:color w:val="auto"/>
              </w:rPr>
            </w:pPr>
            <w:r>
              <w:rPr>
                <w:rFonts w:ascii="Times New Roman" w:cs="Times New Roman" w:eastAsia="Times New Roman" w:hAnsi="Times New Roman"/>
                <w:sz w:val="8"/>
                <w:szCs w:val="8"/>
                <w:color w:val="auto"/>
              </w:rPr>
              <w:t>(1.7)</w:t>
            </w:r>
          </w:p>
        </w:tc>
        <w:tc>
          <w:tcPr>
            <w:tcW w:w="100" w:type="dxa"/>
            <w:vAlign w:val="bottom"/>
          </w:tcPr>
          <w:p>
            <w:pPr>
              <w:spacing w:after="0"/>
              <w:rPr>
                <w:sz w:val="6"/>
                <w:szCs w:val="6"/>
                <w:color w:val="auto"/>
              </w:rPr>
            </w:pPr>
          </w:p>
        </w:tc>
        <w:tc>
          <w:tcPr>
            <w:tcW w:w="44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0.1</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0.1</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19.6</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310.9</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line="121" w:lineRule="exact"/>
              <w:rPr>
                <w:sz w:val="20"/>
                <w:szCs w:val="20"/>
                <w:color w:val="auto"/>
              </w:rPr>
            </w:pPr>
            <w:r>
              <w:rPr>
                <w:rFonts w:ascii="Times New Roman" w:cs="Times New Roman" w:eastAsia="Times New Roman" w:hAnsi="Times New Roman"/>
                <w:sz w:val="10"/>
                <w:szCs w:val="10"/>
                <w:color w:val="auto"/>
              </w:rPr>
              <w:t xml:space="preserve">Interest expense </w:t>
            </w:r>
            <w:r>
              <w:rPr>
                <w:rFonts w:ascii="Times New Roman" w:cs="Times New Roman" w:eastAsia="Times New Roman" w:hAnsi="Times New Roman"/>
                <w:sz w:val="12"/>
                <w:szCs w:val="12"/>
                <w:color w:val="auto"/>
                <w:vertAlign w:val="superscript"/>
              </w:rPr>
              <w:t>(2)</w:t>
            </w:r>
          </w:p>
        </w:tc>
        <w:tc>
          <w:tcPr>
            <w:tcW w:w="54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(154.6)</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(154.6)</w:t>
            </w:r>
          </w:p>
        </w:tc>
        <w:tc>
          <w:tcPr>
            <w:tcW w:w="0" w:type="dxa"/>
            <w:vAlign w:val="bottom"/>
          </w:tcPr>
          <w:p>
            <w:pPr>
              <w:spacing w:after="0"/>
              <w:rPr>
                <w:sz w:val="1"/>
                <w:szCs w:val="1"/>
                <w:color w:val="auto"/>
              </w:rPr>
            </w:pPr>
          </w:p>
        </w:tc>
      </w:tr>
      <w:tr>
        <w:trPr>
          <w:trHeight w:val="113"/>
        </w:trPr>
        <w:tc>
          <w:tcPr>
            <w:tcW w:w="29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Other income (expense), net</w:t>
            </w:r>
          </w:p>
        </w:tc>
        <w:tc>
          <w:tcPr>
            <w:tcW w:w="54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0.7</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0.4</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(1.1)</w:t>
            </w:r>
          </w:p>
        </w:tc>
        <w:tc>
          <w:tcPr>
            <w:tcW w:w="100" w:type="dxa"/>
            <w:vAlign w:val="bottom"/>
          </w:tcPr>
          <w:p>
            <w:pPr>
              <w:spacing w:after="0"/>
              <w:rPr>
                <w:sz w:val="9"/>
                <w:szCs w:val="9"/>
                <w:color w:val="auto"/>
              </w:rPr>
            </w:pPr>
          </w:p>
        </w:tc>
        <w:tc>
          <w:tcPr>
            <w:tcW w:w="5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4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16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0.9</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(0.9)</w:t>
            </w:r>
          </w:p>
        </w:tc>
        <w:tc>
          <w:tcPr>
            <w:tcW w:w="0" w:type="dxa"/>
            <w:vAlign w:val="bottom"/>
          </w:tcPr>
          <w:p>
            <w:pPr>
              <w:spacing w:after="0"/>
              <w:rPr>
                <w:sz w:val="1"/>
                <w:szCs w:val="1"/>
                <w:color w:val="auto"/>
              </w:rPr>
            </w:pPr>
          </w:p>
        </w:tc>
      </w:tr>
      <w:tr>
        <w:trPr>
          <w:trHeight w:val="74"/>
        </w:trPr>
        <w:tc>
          <w:tcPr>
            <w:tcW w:w="2960" w:type="dxa"/>
            <w:vAlign w:val="bottom"/>
            <w:shd w:val="clear" w:color="auto" w:fill="CCECFF"/>
          </w:tcPr>
          <w:p>
            <w:pPr>
              <w:spacing w:after="0" w:line="74" w:lineRule="exact"/>
              <w:rPr>
                <w:sz w:val="20"/>
                <w:szCs w:val="20"/>
                <w:color w:val="auto"/>
              </w:rPr>
            </w:pPr>
            <w:r>
              <w:rPr>
                <w:rFonts w:ascii="Times New Roman" w:cs="Times New Roman" w:eastAsia="Times New Roman" w:hAnsi="Times New Roman"/>
                <w:sz w:val="8"/>
                <w:szCs w:val="8"/>
                <w:color w:val="auto"/>
              </w:rPr>
              <w:t>Income (loss) from operations of</w:t>
            </w:r>
          </w:p>
        </w:tc>
        <w:tc>
          <w:tcPr>
            <w:tcW w:w="540" w:type="dxa"/>
            <w:vAlign w:val="bottom"/>
            <w:tcBorders>
              <w:top w:val="single" w:sz="8" w:color="auto"/>
            </w:tcBorders>
            <w:shd w:val="clear" w:color="auto" w:fill="CCECFF"/>
          </w:tcPr>
          <w:p>
            <w:pPr>
              <w:spacing w:after="0"/>
              <w:rPr>
                <w:sz w:val="6"/>
                <w:szCs w:val="6"/>
                <w:color w:val="auto"/>
              </w:rPr>
            </w:pPr>
          </w:p>
        </w:tc>
        <w:tc>
          <w:tcPr>
            <w:tcW w:w="32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200" w:type="dxa"/>
            <w:vAlign w:val="bottom"/>
            <w:tcBorders>
              <w:top w:val="single" w:sz="8" w:color="auto"/>
            </w:tcBorders>
            <w:shd w:val="clear" w:color="auto" w:fill="CCECFF"/>
          </w:tcPr>
          <w:p>
            <w:pPr>
              <w:spacing w:after="0"/>
              <w:rPr>
                <w:sz w:val="6"/>
                <w:szCs w:val="6"/>
                <w:color w:val="auto"/>
              </w:rPr>
            </w:pPr>
          </w:p>
        </w:tc>
        <w:tc>
          <w:tcPr>
            <w:tcW w:w="58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60" w:type="dxa"/>
            <w:vAlign w:val="bottom"/>
            <w:tcBorders>
              <w:top w:val="single" w:sz="8" w:color="auto"/>
            </w:tcBorders>
            <w:shd w:val="clear" w:color="auto" w:fill="CCECFF"/>
          </w:tcPr>
          <w:p>
            <w:pPr>
              <w:spacing w:after="0"/>
              <w:rPr>
                <w:sz w:val="6"/>
                <w:szCs w:val="6"/>
                <w:color w:val="auto"/>
              </w:rPr>
            </w:pPr>
          </w:p>
        </w:tc>
        <w:tc>
          <w:tcPr>
            <w:tcW w:w="58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80" w:type="dxa"/>
            <w:vAlign w:val="bottom"/>
            <w:tcBorders>
              <w:top w:val="single" w:sz="8" w:color="auto"/>
            </w:tcBorders>
            <w:shd w:val="clear" w:color="auto" w:fill="CCECFF"/>
          </w:tcPr>
          <w:p>
            <w:pPr>
              <w:spacing w:after="0"/>
              <w:rPr>
                <w:sz w:val="6"/>
                <w:szCs w:val="6"/>
                <w:color w:val="auto"/>
              </w:rPr>
            </w:pPr>
          </w:p>
        </w:tc>
        <w:tc>
          <w:tcPr>
            <w:tcW w:w="60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00" w:type="dxa"/>
            <w:vAlign w:val="bottom"/>
            <w:tcBorders>
              <w:top w:val="single" w:sz="8" w:color="auto"/>
            </w:tcBorders>
            <w:shd w:val="clear" w:color="auto" w:fill="CCECFF"/>
          </w:tcPr>
          <w:p>
            <w:pPr>
              <w:spacing w:after="0"/>
              <w:rPr>
                <w:sz w:val="6"/>
                <w:szCs w:val="6"/>
                <w:color w:val="auto"/>
              </w:rPr>
            </w:pPr>
          </w:p>
        </w:tc>
        <w:tc>
          <w:tcPr>
            <w:tcW w:w="44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20" w:type="dxa"/>
            <w:vAlign w:val="bottom"/>
            <w:tcBorders>
              <w:top w:val="single" w:sz="8" w:color="auto"/>
            </w:tcBorders>
            <w:shd w:val="clear" w:color="auto" w:fill="CCECFF"/>
          </w:tcPr>
          <w:p>
            <w:pPr>
              <w:spacing w:after="0"/>
              <w:rPr>
                <w:sz w:val="6"/>
                <w:szCs w:val="6"/>
                <w:color w:val="auto"/>
              </w:rPr>
            </w:pPr>
          </w:p>
        </w:tc>
        <w:tc>
          <w:tcPr>
            <w:tcW w:w="420" w:type="dxa"/>
            <w:vAlign w:val="bottom"/>
            <w:tcBorders>
              <w:top w:val="single" w:sz="8" w:color="auto"/>
            </w:tcBorders>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100" w:type="dxa"/>
            <w:vAlign w:val="bottom"/>
            <w:tcBorders>
              <w:top w:val="single" w:sz="8" w:color="auto"/>
            </w:tcBorders>
            <w:shd w:val="clear" w:color="auto" w:fill="CCECFF"/>
          </w:tcPr>
          <w:p>
            <w:pPr>
              <w:spacing w:after="0"/>
              <w:rPr>
                <w:sz w:val="6"/>
                <w:szCs w:val="6"/>
                <w:color w:val="auto"/>
              </w:rPr>
            </w:pPr>
          </w:p>
        </w:tc>
        <w:tc>
          <w:tcPr>
            <w:tcW w:w="440" w:type="dxa"/>
            <w:vAlign w:val="bottom"/>
            <w:tcBorders>
              <w:top w:val="single" w:sz="8" w:color="auto"/>
            </w:tcBorders>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160" w:type="dxa"/>
            <w:vAlign w:val="bottom"/>
            <w:tcBorders>
              <w:top w:val="single" w:sz="8" w:color="auto"/>
            </w:tcBorders>
            <w:shd w:val="clear" w:color="auto" w:fill="CCECFF"/>
          </w:tcPr>
          <w:p>
            <w:pPr>
              <w:spacing w:after="0"/>
              <w:rPr>
                <w:sz w:val="6"/>
                <w:szCs w:val="6"/>
                <w:color w:val="auto"/>
              </w:rPr>
            </w:pPr>
          </w:p>
        </w:tc>
        <w:tc>
          <w:tcPr>
            <w:tcW w:w="480" w:type="dxa"/>
            <w:vAlign w:val="bottom"/>
            <w:tcBorders>
              <w:top w:val="single" w:sz="8" w:color="auto"/>
            </w:tcBorders>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180" w:type="dxa"/>
            <w:vAlign w:val="bottom"/>
            <w:tcBorders>
              <w:top w:val="single" w:sz="8" w:color="auto"/>
            </w:tcBorders>
            <w:shd w:val="clear" w:color="auto" w:fill="CCECFF"/>
          </w:tcPr>
          <w:p>
            <w:pPr>
              <w:spacing w:after="0"/>
              <w:rPr>
                <w:sz w:val="6"/>
                <w:szCs w:val="6"/>
                <w:color w:val="auto"/>
              </w:rPr>
            </w:pPr>
          </w:p>
        </w:tc>
        <w:tc>
          <w:tcPr>
            <w:tcW w:w="680" w:type="dxa"/>
            <w:vAlign w:val="bottom"/>
            <w:tcBorders>
              <w:top w:val="single" w:sz="8" w:color="auto"/>
            </w:tcBorders>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240" w:type="dxa"/>
            <w:vAlign w:val="bottom"/>
            <w:tcBorders>
              <w:top w:val="single" w:sz="8" w:color="auto"/>
            </w:tcBorders>
            <w:shd w:val="clear" w:color="auto" w:fill="CCECFF"/>
          </w:tcPr>
          <w:p>
            <w:pPr>
              <w:spacing w:after="0"/>
              <w:rPr>
                <w:sz w:val="6"/>
                <w:szCs w:val="6"/>
                <w:color w:val="auto"/>
              </w:rPr>
            </w:pPr>
          </w:p>
        </w:tc>
        <w:tc>
          <w:tcPr>
            <w:tcW w:w="70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960" w:type="dxa"/>
            <w:vAlign w:val="bottom"/>
            <w:shd w:val="clear" w:color="auto" w:fill="CCECFF"/>
          </w:tcPr>
          <w:p>
            <w:pPr>
              <w:ind w:left="60"/>
              <w:spacing w:after="0" w:line="99" w:lineRule="exact"/>
              <w:rPr>
                <w:sz w:val="20"/>
                <w:szCs w:val="20"/>
                <w:color w:val="auto"/>
              </w:rPr>
            </w:pPr>
            <w:r>
              <w:rPr>
                <w:rFonts w:ascii="Times New Roman" w:cs="Times New Roman" w:eastAsia="Times New Roman" w:hAnsi="Times New Roman"/>
                <w:sz w:val="10"/>
                <w:szCs w:val="10"/>
                <w:color w:val="auto"/>
              </w:rPr>
              <w:t>discontinued businesses</w:t>
            </w:r>
          </w:p>
        </w:tc>
        <w:tc>
          <w:tcPr>
            <w:tcW w:w="5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4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960" w:type="dxa"/>
            <w:vAlign w:val="bottom"/>
            <w:shd w:val="clear" w:color="auto" w:fill="CCECFF"/>
          </w:tcPr>
          <w:p>
            <w:pPr>
              <w:ind w:left="60"/>
              <w:spacing w:after="0" w:line="114" w:lineRule="exact"/>
              <w:rPr>
                <w:sz w:val="20"/>
                <w:szCs w:val="20"/>
                <w:color w:val="auto"/>
              </w:rPr>
            </w:pPr>
            <w:r>
              <w:rPr>
                <w:rFonts w:ascii="Times New Roman" w:cs="Times New Roman" w:eastAsia="Times New Roman" w:hAnsi="Times New Roman"/>
                <w:sz w:val="10"/>
                <w:szCs w:val="10"/>
                <w:color w:val="auto"/>
              </w:rPr>
              <w:t>before income taxes</w:t>
            </w:r>
          </w:p>
        </w:tc>
        <w:tc>
          <w:tcPr>
            <w:tcW w:w="540" w:type="dxa"/>
            <w:vAlign w:val="bottom"/>
            <w:shd w:val="clear" w:color="auto" w:fill="CCECFF"/>
          </w:tcPr>
          <w:p>
            <w:pPr>
              <w:spacing w:after="0"/>
              <w:rPr>
                <w:sz w:val="9"/>
                <w:szCs w:val="9"/>
                <w:color w:val="auto"/>
              </w:rPr>
            </w:pPr>
          </w:p>
        </w:tc>
        <w:tc>
          <w:tcPr>
            <w:tcW w:w="440" w:type="dxa"/>
            <w:vAlign w:val="bottom"/>
            <w:gridSpan w:val="2"/>
            <w:shd w:val="clear" w:color="auto" w:fill="CCEC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(5.5)</w:t>
            </w:r>
          </w:p>
        </w:tc>
        <w:tc>
          <w:tcPr>
            <w:tcW w:w="200" w:type="dxa"/>
            <w:vAlign w:val="bottom"/>
            <w:shd w:val="clear" w:color="auto" w:fill="CCECFF"/>
          </w:tcPr>
          <w:p>
            <w:pPr>
              <w:spacing w:after="0"/>
              <w:rPr>
                <w:sz w:val="9"/>
                <w:szCs w:val="9"/>
                <w:color w:val="auto"/>
              </w:rPr>
            </w:pPr>
          </w:p>
        </w:tc>
        <w:tc>
          <w:tcPr>
            <w:tcW w:w="5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30.4</w:t>
            </w:r>
          </w:p>
        </w:tc>
        <w:tc>
          <w:tcPr>
            <w:tcW w:w="1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26.3</w:t>
            </w:r>
          </w:p>
        </w:tc>
        <w:tc>
          <w:tcPr>
            <w:tcW w:w="1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0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126.6</w:t>
            </w:r>
          </w:p>
        </w:tc>
        <w:tc>
          <w:tcPr>
            <w:tcW w:w="1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60" w:type="dxa"/>
            <w:vAlign w:val="bottom"/>
            <w:gridSpan w:val="2"/>
            <w:shd w:val="clear" w:color="auto" w:fill="CCEC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12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(1.7)</w:t>
            </w:r>
          </w:p>
        </w:tc>
        <w:tc>
          <w:tcPr>
            <w:tcW w:w="100" w:type="dxa"/>
            <w:vAlign w:val="bottom"/>
            <w:shd w:val="clear" w:color="auto" w:fill="CCECFF"/>
          </w:tcPr>
          <w:p>
            <w:pPr>
              <w:spacing w:after="0"/>
              <w:rPr>
                <w:sz w:val="9"/>
                <w:szCs w:val="9"/>
                <w:color w:val="auto"/>
              </w:rPr>
            </w:pPr>
          </w:p>
        </w:tc>
        <w:tc>
          <w:tcPr>
            <w:tcW w:w="540" w:type="dxa"/>
            <w:vAlign w:val="bottom"/>
            <w:gridSpan w:val="2"/>
            <w:shd w:val="clear" w:color="auto" w:fill="CCEC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160" w:type="dxa"/>
            <w:vAlign w:val="bottom"/>
            <w:shd w:val="clear" w:color="auto" w:fill="CCECFF"/>
          </w:tcPr>
          <w:p>
            <w:pPr>
              <w:spacing w:after="0"/>
              <w:rPr>
                <w:sz w:val="9"/>
                <w:szCs w:val="9"/>
                <w:color w:val="auto"/>
              </w:rPr>
            </w:pPr>
          </w:p>
        </w:tc>
        <w:tc>
          <w:tcPr>
            <w:tcW w:w="4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1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20.5</w:t>
            </w:r>
          </w:p>
        </w:tc>
        <w:tc>
          <w:tcPr>
            <w:tcW w:w="1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70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155.4</w:t>
            </w: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96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Gain (loss) on disposal of</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96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discontinued operations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960" w:type="dxa"/>
            <w:vAlign w:val="bottom"/>
          </w:tcPr>
          <w:p>
            <w:pPr>
              <w:ind w:left="60"/>
              <w:spacing w:after="0" w:line="114" w:lineRule="exact"/>
              <w:rPr>
                <w:sz w:val="20"/>
                <w:szCs w:val="20"/>
                <w:color w:val="auto"/>
              </w:rPr>
            </w:pPr>
            <w:r>
              <w:rPr>
                <w:rFonts w:ascii="Times New Roman" w:cs="Times New Roman" w:eastAsia="Times New Roman" w:hAnsi="Times New Roman"/>
                <w:sz w:val="10"/>
                <w:szCs w:val="10"/>
                <w:color w:val="auto"/>
              </w:rPr>
              <w:t>before income taxes</w:t>
            </w:r>
          </w:p>
        </w:tc>
        <w:tc>
          <w:tcPr>
            <w:tcW w:w="54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w w:val="99"/>
              </w:rPr>
              <w:t>1,258.6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7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(2.3)</w:t>
            </w:r>
          </w:p>
        </w:tc>
        <w:tc>
          <w:tcPr>
            <w:tcW w:w="180" w:type="dxa"/>
            <w:vAlign w:val="bottom"/>
          </w:tcPr>
          <w:p>
            <w:pPr>
              <w:spacing w:after="0"/>
              <w:rPr>
                <w:sz w:val="9"/>
                <w:szCs w:val="9"/>
                <w:color w:val="auto"/>
              </w:rPr>
            </w:pPr>
          </w:p>
        </w:tc>
        <w:tc>
          <w:tcPr>
            <w:tcW w:w="7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5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100" w:type="dxa"/>
            <w:vAlign w:val="bottom"/>
          </w:tcPr>
          <w:p>
            <w:pPr>
              <w:spacing w:after="0"/>
              <w:rPr>
                <w:sz w:val="9"/>
                <w:szCs w:val="9"/>
                <w:color w:val="auto"/>
              </w:rPr>
            </w:pPr>
          </w:p>
        </w:tc>
        <w:tc>
          <w:tcPr>
            <w:tcW w:w="54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1,256.3</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0" w:type="dxa"/>
            <w:vAlign w:val="bottom"/>
          </w:tcPr>
          <w:p>
            <w:pPr>
              <w:spacing w:after="0"/>
              <w:rPr>
                <w:sz w:val="1"/>
                <w:szCs w:val="1"/>
                <w:color w:val="auto"/>
              </w:rPr>
            </w:pPr>
          </w:p>
        </w:tc>
      </w:tr>
      <w:tr>
        <w:trPr>
          <w:trHeight w:val="99"/>
        </w:trPr>
        <w:tc>
          <w:tcPr>
            <w:tcW w:w="2960" w:type="dxa"/>
            <w:vAlign w:val="bottom"/>
            <w:shd w:val="clear" w:color="auto" w:fill="CCECFF"/>
          </w:tcPr>
          <w:p>
            <w:pPr>
              <w:spacing w:after="0" w:line="99" w:lineRule="exact"/>
              <w:rPr>
                <w:sz w:val="20"/>
                <w:szCs w:val="20"/>
                <w:color w:val="auto"/>
              </w:rPr>
            </w:pPr>
            <w:r>
              <w:rPr>
                <w:rFonts w:ascii="Times New Roman" w:cs="Times New Roman" w:eastAsia="Times New Roman" w:hAnsi="Times New Roman"/>
                <w:sz w:val="10"/>
                <w:szCs w:val="10"/>
                <w:color w:val="auto"/>
              </w:rPr>
              <w:t>Income tax (expense) benefit</w:t>
            </w:r>
          </w:p>
        </w:tc>
        <w:tc>
          <w:tcPr>
            <w:tcW w:w="540" w:type="dxa"/>
            <w:vAlign w:val="bottom"/>
            <w:shd w:val="clear" w:color="auto" w:fill="CCECFF"/>
          </w:tcPr>
          <w:p>
            <w:pPr>
              <w:spacing w:after="0"/>
              <w:rPr>
                <w:sz w:val="8"/>
                <w:szCs w:val="8"/>
                <w:color w:val="auto"/>
              </w:rPr>
            </w:pPr>
          </w:p>
        </w:tc>
        <w:tc>
          <w:tcPr>
            <w:tcW w:w="440" w:type="dxa"/>
            <w:vAlign w:val="bottom"/>
            <w:gridSpan w:val="2"/>
            <w:shd w:val="clear" w:color="auto" w:fill="CCEC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(125.5)</w:t>
            </w:r>
          </w:p>
        </w:tc>
        <w:tc>
          <w:tcPr>
            <w:tcW w:w="20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(10.0)</w:t>
            </w:r>
          </w:p>
        </w:tc>
        <w:tc>
          <w:tcPr>
            <w:tcW w:w="160" w:type="dxa"/>
            <w:vAlign w:val="bottom"/>
            <w:shd w:val="clear" w:color="auto" w:fill="CCECFF"/>
          </w:tcPr>
          <w:p>
            <w:pPr>
              <w:spacing w:after="0"/>
              <w:rPr>
                <w:sz w:val="8"/>
                <w:szCs w:val="8"/>
                <w:color w:val="auto"/>
              </w:rPr>
            </w:pPr>
          </w:p>
        </w:tc>
        <w:tc>
          <w:tcPr>
            <w:tcW w:w="700" w:type="dxa"/>
            <w:vAlign w:val="bottom"/>
            <w:gridSpan w:val="2"/>
            <w:shd w:val="clear" w:color="auto" w:fill="CCEC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(175.4)</w:t>
            </w:r>
          </w:p>
        </w:tc>
        <w:tc>
          <w:tcPr>
            <w:tcW w:w="180" w:type="dxa"/>
            <w:vAlign w:val="bottom"/>
            <w:shd w:val="clear" w:color="auto" w:fill="CCECFF"/>
          </w:tcPr>
          <w:p>
            <w:pPr>
              <w:spacing w:after="0"/>
              <w:rPr>
                <w:sz w:val="8"/>
                <w:szCs w:val="8"/>
                <w:color w:val="auto"/>
              </w:rPr>
            </w:pPr>
          </w:p>
        </w:tc>
        <w:tc>
          <w:tcPr>
            <w:tcW w:w="720" w:type="dxa"/>
            <w:vAlign w:val="bottom"/>
            <w:gridSpan w:val="2"/>
            <w:shd w:val="clear" w:color="auto" w:fill="CCEC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(21.2)</w:t>
            </w:r>
          </w:p>
        </w:tc>
        <w:tc>
          <w:tcPr>
            <w:tcW w:w="100" w:type="dxa"/>
            <w:vAlign w:val="bottom"/>
            <w:shd w:val="clear" w:color="auto" w:fill="CCECFF"/>
          </w:tcPr>
          <w:p>
            <w:pPr>
              <w:spacing w:after="0"/>
              <w:rPr>
                <w:sz w:val="8"/>
                <w:szCs w:val="8"/>
                <w:color w:val="auto"/>
              </w:rPr>
            </w:pPr>
          </w:p>
        </w:tc>
        <w:tc>
          <w:tcPr>
            <w:tcW w:w="560" w:type="dxa"/>
            <w:vAlign w:val="bottom"/>
            <w:gridSpan w:val="2"/>
            <w:shd w:val="clear" w:color="auto" w:fill="CCEC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CFF"/>
          </w:tcPr>
          <w:p>
            <w:pPr>
              <w:spacing w:after="0"/>
              <w:rPr>
                <w:sz w:val="8"/>
                <w:szCs w:val="8"/>
                <w:color w:val="auto"/>
              </w:rPr>
            </w:pPr>
          </w:p>
        </w:tc>
        <w:tc>
          <w:tcPr>
            <w:tcW w:w="420" w:type="dxa"/>
            <w:vAlign w:val="bottom"/>
            <w:shd w:val="clear" w:color="auto" w:fill="CCECFF"/>
          </w:tcPr>
          <w:p>
            <w:pPr>
              <w:jc w:val="right"/>
              <w:spacing w:after="0" w:line="99" w:lineRule="exact"/>
              <w:rPr>
                <w:sz w:val="20"/>
                <w:szCs w:val="20"/>
                <w:color w:val="auto"/>
              </w:rPr>
            </w:pPr>
            <w:r>
              <w:rPr>
                <w:rFonts w:ascii="Times New Roman" w:cs="Times New Roman" w:eastAsia="Times New Roman" w:hAnsi="Times New Roman"/>
                <w:sz w:val="10"/>
                <w:szCs w:val="10"/>
                <w:color w:val="auto"/>
              </w:rPr>
              <w:t>3.2</w:t>
            </w:r>
          </w:p>
        </w:tc>
        <w:tc>
          <w:tcPr>
            <w:tcW w:w="1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540" w:type="dxa"/>
            <w:vAlign w:val="bottom"/>
            <w:gridSpan w:val="2"/>
            <w:shd w:val="clear" w:color="auto" w:fill="CCEC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8"/>
                <w:szCs w:val="8"/>
                <w:color w:val="auto"/>
              </w:rPr>
            </w:pPr>
          </w:p>
        </w:tc>
        <w:tc>
          <w:tcPr>
            <w:tcW w:w="480" w:type="dxa"/>
            <w:vAlign w:val="bottom"/>
            <w:shd w:val="clear" w:color="auto" w:fill="CCECFF"/>
          </w:tcPr>
          <w:p>
            <w:pPr>
              <w:jc w:val="right"/>
              <w:spacing w:after="0" w:line="99" w:lineRule="exact"/>
              <w:rPr>
                <w:sz w:val="20"/>
                <w:szCs w:val="20"/>
                <w:color w:val="auto"/>
              </w:rPr>
            </w:pPr>
            <w:r>
              <w:rPr>
                <w:rFonts w:ascii="Times New Roman" w:cs="Times New Roman" w:eastAsia="Times New Roman" w:hAnsi="Times New Roman"/>
                <w:sz w:val="10"/>
                <w:szCs w:val="10"/>
                <w:color w:val="auto"/>
              </w:rPr>
              <w:t>0.1</w:t>
            </w:r>
          </w:p>
        </w:tc>
        <w:tc>
          <w:tcPr>
            <w:tcW w:w="10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80" w:type="dxa"/>
            <w:vAlign w:val="bottom"/>
            <w:gridSpan w:val="2"/>
            <w:shd w:val="clear" w:color="auto" w:fill="CCEC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(300.9)</w:t>
            </w:r>
          </w:p>
        </w:tc>
        <w:tc>
          <w:tcPr>
            <w:tcW w:w="240" w:type="dxa"/>
            <w:vAlign w:val="bottom"/>
            <w:shd w:val="clear" w:color="auto" w:fill="CCECFF"/>
          </w:tcPr>
          <w:p>
            <w:pPr>
              <w:spacing w:after="0"/>
              <w:rPr>
                <w:sz w:val="8"/>
                <w:szCs w:val="8"/>
                <w:color w:val="auto"/>
              </w:rPr>
            </w:pPr>
          </w:p>
        </w:tc>
        <w:tc>
          <w:tcPr>
            <w:tcW w:w="820" w:type="dxa"/>
            <w:vAlign w:val="bottom"/>
            <w:gridSpan w:val="2"/>
            <w:shd w:val="clear" w:color="auto" w:fill="CCEC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(27.9)</w:t>
            </w:r>
          </w:p>
        </w:tc>
        <w:tc>
          <w:tcPr>
            <w:tcW w:w="0" w:type="dxa"/>
            <w:vAlign w:val="bottom"/>
          </w:tcPr>
          <w:p>
            <w:pPr>
              <w:spacing w:after="0"/>
              <w:rPr>
                <w:sz w:val="1"/>
                <w:szCs w:val="1"/>
                <w:color w:val="auto"/>
              </w:rPr>
            </w:pPr>
          </w:p>
        </w:tc>
      </w:tr>
      <w:tr>
        <w:trPr>
          <w:trHeight w:val="74"/>
        </w:trPr>
        <w:tc>
          <w:tcPr>
            <w:tcW w:w="2960" w:type="dxa"/>
            <w:vAlign w:val="bottom"/>
            <w:tcBorders>
              <w:top w:val="single" w:sz="8" w:color="CCECFF"/>
            </w:tcBorders>
          </w:tcPr>
          <w:p>
            <w:pPr>
              <w:spacing w:after="0" w:line="74" w:lineRule="exact"/>
              <w:rPr>
                <w:sz w:val="20"/>
                <w:szCs w:val="20"/>
                <w:color w:val="auto"/>
              </w:rPr>
            </w:pPr>
            <w:r>
              <w:rPr>
                <w:rFonts w:ascii="Times New Roman" w:cs="Times New Roman" w:eastAsia="Times New Roman" w:hAnsi="Times New Roman"/>
                <w:sz w:val="8"/>
                <w:szCs w:val="8"/>
                <w:color w:val="auto"/>
              </w:rPr>
              <w:t>Income (loss) from</w:t>
            </w:r>
          </w:p>
        </w:tc>
        <w:tc>
          <w:tcPr>
            <w:tcW w:w="5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Borders>
              <w:top w:val="single" w:sz="8" w:color="CCEC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Borders>
              <w:top w:val="single" w:sz="8" w:color="CCECFF"/>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CCEC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Borders>
              <w:top w:val="single" w:sz="8" w:color="CCECFF"/>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96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discontinued operations,</w:t>
            </w:r>
          </w:p>
        </w:tc>
        <w:tc>
          <w:tcPr>
            <w:tcW w:w="540" w:type="dxa"/>
            <w:vAlign w:val="bottom"/>
            <w:vMerge w:val="restart"/>
          </w:tcPr>
          <w:p>
            <w:pPr>
              <w:jc w:val="right"/>
              <w:ind w:right="468"/>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9"/>
              </w:rPr>
              <w:t>1,127.6</w:t>
            </w:r>
          </w:p>
        </w:tc>
        <w:tc>
          <w:tcPr>
            <w:tcW w:w="120" w:type="dxa"/>
            <w:vAlign w:val="bottom"/>
          </w:tcPr>
          <w:p>
            <w:pPr>
              <w:spacing w:after="0"/>
              <w:rPr>
                <w:sz w:val="8"/>
                <w:szCs w:val="8"/>
                <w:color w:val="auto"/>
              </w:rPr>
            </w:pPr>
          </w:p>
        </w:tc>
        <w:tc>
          <w:tcPr>
            <w:tcW w:w="200" w:type="dxa"/>
            <w:vAlign w:val="bottom"/>
            <w:vMerge w:val="restart"/>
          </w:tcPr>
          <w:p>
            <w:pPr>
              <w:jc w:val="right"/>
              <w:ind w:right="95"/>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20.4</w:t>
            </w:r>
          </w:p>
        </w:tc>
        <w:tc>
          <w:tcPr>
            <w:tcW w:w="120" w:type="dxa"/>
            <w:vAlign w:val="bottom"/>
          </w:tcPr>
          <w:p>
            <w:pPr>
              <w:spacing w:after="0"/>
              <w:rPr>
                <w:sz w:val="8"/>
                <w:szCs w:val="8"/>
                <w:color w:val="auto"/>
              </w:rPr>
            </w:pPr>
          </w:p>
        </w:tc>
        <w:tc>
          <w:tcPr>
            <w:tcW w:w="160" w:type="dxa"/>
            <w:vAlign w:val="bottom"/>
            <w:vMerge w:val="restart"/>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(151.4)</w:t>
            </w:r>
          </w:p>
        </w:tc>
        <w:tc>
          <w:tcPr>
            <w:tcW w:w="180" w:type="dxa"/>
            <w:vAlign w:val="bottom"/>
            <w:vMerge w:val="restart"/>
          </w:tcPr>
          <w:p>
            <w:pPr>
              <w:jc w:val="right"/>
              <w:ind w:right="75"/>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105.4</w:t>
            </w:r>
          </w:p>
        </w:tc>
        <w:tc>
          <w:tcPr>
            <w:tcW w:w="120" w:type="dxa"/>
            <w:vAlign w:val="bottom"/>
          </w:tcPr>
          <w:p>
            <w:pPr>
              <w:spacing w:after="0"/>
              <w:rPr>
                <w:sz w:val="8"/>
                <w:szCs w:val="8"/>
                <w:color w:val="auto"/>
              </w:rPr>
            </w:pPr>
          </w:p>
        </w:tc>
        <w:tc>
          <w:tcPr>
            <w:tcW w:w="100" w:type="dxa"/>
            <w:vAlign w:val="bottom"/>
            <w:vMerge w:val="restart"/>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(0.2)</w:t>
            </w:r>
          </w:p>
        </w:tc>
        <w:tc>
          <w:tcPr>
            <w:tcW w:w="120" w:type="dxa"/>
            <w:vAlign w:val="bottom"/>
            <w:vMerge w:val="restart"/>
          </w:tcPr>
          <w:p>
            <w:pPr>
              <w:jc w:val="right"/>
              <w:ind w:right="15"/>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(0.1)</w:t>
            </w:r>
          </w:p>
        </w:tc>
        <w:tc>
          <w:tcPr>
            <w:tcW w:w="160" w:type="dxa"/>
            <w:vAlign w:val="bottom"/>
            <w:vMerge w:val="restart"/>
          </w:tcPr>
          <w:p>
            <w:pPr>
              <w:jc w:val="right"/>
              <w:ind w:right="55"/>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00" w:type="dxa"/>
            <w:vAlign w:val="bottom"/>
          </w:tcPr>
          <w:p>
            <w:pPr>
              <w:spacing w:after="0"/>
              <w:rPr>
                <w:sz w:val="8"/>
                <w:szCs w:val="8"/>
                <w:color w:val="auto"/>
              </w:rPr>
            </w:pPr>
          </w:p>
        </w:tc>
        <w:tc>
          <w:tcPr>
            <w:tcW w:w="180" w:type="dxa"/>
            <w:vAlign w:val="bottom"/>
            <w:vMerge w:val="restart"/>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975.9</w:t>
            </w:r>
          </w:p>
        </w:tc>
        <w:tc>
          <w:tcPr>
            <w:tcW w:w="100" w:type="dxa"/>
            <w:vAlign w:val="bottom"/>
          </w:tcPr>
          <w:p>
            <w:pPr>
              <w:spacing w:after="0"/>
              <w:rPr>
                <w:sz w:val="8"/>
                <w:szCs w:val="8"/>
                <w:color w:val="auto"/>
              </w:rPr>
            </w:pPr>
          </w:p>
        </w:tc>
        <w:tc>
          <w:tcPr>
            <w:tcW w:w="240" w:type="dxa"/>
            <w:vAlign w:val="bottom"/>
            <w:vMerge w:val="restart"/>
          </w:tcPr>
          <w:p>
            <w:pPr>
              <w:jc w:val="right"/>
              <w:ind w:right="135"/>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127.3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96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auto"/>
              </w:rPr>
              <w:t>net of income taxes</w:t>
            </w:r>
          </w:p>
        </w:tc>
        <w:tc>
          <w:tcPr>
            <w:tcW w:w="5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-1553845</wp:posOffset>
            </wp:positionV>
            <wp:extent cx="7178040" cy="62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-776605</wp:posOffset>
            </wp:positionV>
            <wp:extent cx="7178040" cy="742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7429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-926465</wp:posOffset>
            </wp:positionV>
            <wp:extent cx="99695" cy="996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-926465</wp:posOffset>
            </wp:positionV>
            <wp:extent cx="99695" cy="996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-926465</wp:posOffset>
            </wp:positionV>
            <wp:extent cx="99695" cy="996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4107815</wp:posOffset>
            </wp:positionH>
            <wp:positionV relativeFrom="paragraph">
              <wp:posOffset>-926465</wp:posOffset>
            </wp:positionV>
            <wp:extent cx="99695" cy="996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-926465</wp:posOffset>
            </wp:positionV>
            <wp:extent cx="99695" cy="996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-926465</wp:posOffset>
            </wp:positionV>
            <wp:extent cx="93980" cy="996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-926465</wp:posOffset>
            </wp:positionV>
            <wp:extent cx="93980" cy="996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-926465</wp:posOffset>
            </wp:positionV>
            <wp:extent cx="93980" cy="996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-926465</wp:posOffset>
            </wp:positionV>
            <wp:extent cx="93980" cy="996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-926465</wp:posOffset>
            </wp:positionV>
            <wp:extent cx="93980" cy="996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-193675</wp:posOffset>
            </wp:positionV>
            <wp:extent cx="7429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-193675</wp:posOffset>
            </wp:positionV>
            <wp:extent cx="7429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3554730</wp:posOffset>
            </wp:positionH>
            <wp:positionV relativeFrom="paragraph">
              <wp:posOffset>-193675</wp:posOffset>
            </wp:positionV>
            <wp:extent cx="7429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-193675</wp:posOffset>
            </wp:positionV>
            <wp:extent cx="7429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-193675</wp:posOffset>
            </wp:positionV>
            <wp:extent cx="7429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-193675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-193675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-193675</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6440805</wp:posOffset>
            </wp:positionH>
            <wp:positionV relativeFrom="paragraph">
              <wp:posOffset>-193675</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-193675</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7" w:lineRule="exact"/>
        <w:rPr>
          <w:sz w:val="20"/>
          <w:szCs w:val="20"/>
          <w:color w:val="auto"/>
        </w:rPr>
      </w:pPr>
    </w:p>
    <w:p>
      <w:pPr>
        <w:ind w:left="508" w:right="300" w:hanging="508"/>
        <w:spacing w:after="0" w:line="296" w:lineRule="auto"/>
        <w:tabs>
          <w:tab w:leader="none" w:pos="508"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three months ended September 30, 2026, the Company received $26.1 million related to tariff refund claims associated with products sold by its previously divested CCS business. The amount reflects the settlement and recovery of tariffs previously paid on imported products and is included in the results of discontinued operations for the period presented.</w:t>
      </w:r>
    </w:p>
    <w:p>
      <w:pPr>
        <w:spacing w:after="0" w:line="12" w:lineRule="exact"/>
        <w:rPr>
          <w:rFonts w:ascii="Times New Roman" w:cs="Times New Roman" w:eastAsia="Times New Roman" w:hAnsi="Times New Roman"/>
          <w:sz w:val="11"/>
          <w:szCs w:val="11"/>
          <w:color w:val="auto"/>
        </w:rPr>
      </w:pPr>
    </w:p>
    <w:p>
      <w:pPr>
        <w:ind w:left="508" w:right="80" w:hanging="508"/>
        <w:spacing w:after="0" w:line="146" w:lineRule="exact"/>
        <w:tabs>
          <w:tab w:leader="none" w:pos="508"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connection with the sale of the CCS segment that was completed on January 9, 2026, the terms of the Purchase Agreement with Amphenol required that the CCS segment be transferred on a debt</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free basis, and therefore, the Company repaid its third</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party borrowings at closing using a portion of the proceeds from the sale of the CCS segment. Accordingly, all third-party debt obligations remained classified as long-term debt on the Condensed Consolidated Balance Sheet as of December 31, 2025. However, in accordance with accounting guidance, interest expense on debt that is required to be repaid as a direct result of a disposal transaction that qualifies as a discontinued operation is reported within discontinued operations. Because the closing of the divestiture required repayment of all outstanding third</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party debt due to the contractual requirement to deliver the business debt</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free, all interest expense has been presented within discontinued operations for all periods presented.</w:t>
      </w:r>
    </w:p>
    <w:p>
      <w:pPr>
        <w:spacing w:after="0" w:line="1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15" w:name="page16"/>
    <w:bookmarkEnd w:id="1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the summarized components of income (loss) from discontinued operations, net of income taxes, for the nine months ended September 30, 2026 and 2025:</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RUCKUS</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0"/>
                <w:szCs w:val="10"/>
                <w:b w:val="1"/>
                <w:bCs w:val="1"/>
                <w:color w:val="auto"/>
              </w:rPr>
              <w:t>CCS</w:t>
            </w: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0"/>
                <w:szCs w:val="10"/>
                <w:b w:val="1"/>
                <w:bCs w:val="1"/>
                <w:color w:val="auto"/>
              </w:rPr>
              <w:t>OWN</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89"/>
              </w:rPr>
              <w:t>DAS</w:t>
            </w: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Home</w:t>
            </w: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3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Net sales</w:t>
            </w: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173"/>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9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53"/>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7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53"/>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9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1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73"/>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73"/>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2025</w:t>
            </w: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53"/>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5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340" w:type="dxa"/>
            <w:vAlign w:val="bottom"/>
            <w:vMerge w:val="continue"/>
          </w:tcPr>
          <w:p>
            <w:pPr>
              <w:spacing w:after="0"/>
              <w:rPr>
                <w:sz w:val="6"/>
                <w:szCs w:val="6"/>
                <w:color w:val="auto"/>
              </w:rPr>
            </w:pPr>
          </w:p>
        </w:tc>
        <w:tc>
          <w:tcPr>
            <w:tcW w:w="140" w:type="dxa"/>
            <w:vAlign w:val="bottom"/>
          </w:tcPr>
          <w:p>
            <w:pPr>
              <w:jc w:val="right"/>
              <w:ind w:right="35"/>
              <w:spacing w:after="0" w:line="70" w:lineRule="exact"/>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351.0</w:t>
            </w:r>
          </w:p>
        </w:tc>
        <w:tc>
          <w:tcPr>
            <w:tcW w:w="300" w:type="dxa"/>
            <w:vAlign w:val="bottom"/>
            <w:gridSpan w:val="2"/>
          </w:tcPr>
          <w:p>
            <w:pPr>
              <w:jc w:val="right"/>
              <w:ind w:right="72"/>
              <w:spacing w:after="0" w:line="70"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519.7</w:t>
            </w:r>
          </w:p>
        </w:tc>
        <w:tc>
          <w:tcPr>
            <w:tcW w:w="120" w:type="dxa"/>
            <w:vAlign w:val="bottom"/>
          </w:tcPr>
          <w:p>
            <w:pPr>
              <w:spacing w:after="0"/>
              <w:rPr>
                <w:sz w:val="6"/>
                <w:szCs w:val="6"/>
                <w:color w:val="auto"/>
              </w:rPr>
            </w:pPr>
          </w:p>
        </w:tc>
        <w:tc>
          <w:tcPr>
            <w:tcW w:w="180" w:type="dxa"/>
            <w:vAlign w:val="bottom"/>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87.4</w:t>
            </w:r>
          </w:p>
        </w:tc>
        <w:tc>
          <w:tcPr>
            <w:tcW w:w="120" w:type="dxa"/>
            <w:vAlign w:val="bottom"/>
          </w:tcPr>
          <w:p>
            <w:pPr>
              <w:spacing w:after="0"/>
              <w:rPr>
                <w:sz w:val="6"/>
                <w:szCs w:val="6"/>
                <w:color w:val="auto"/>
              </w:rPr>
            </w:pPr>
          </w:p>
        </w:tc>
        <w:tc>
          <w:tcPr>
            <w:tcW w:w="180" w:type="dxa"/>
            <w:vAlign w:val="bottom"/>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2,712.9</w:t>
            </w:r>
          </w:p>
        </w:tc>
        <w:tc>
          <w:tcPr>
            <w:tcW w:w="120" w:type="dxa"/>
            <w:vAlign w:val="bottom"/>
          </w:tcPr>
          <w:p>
            <w:pPr>
              <w:spacing w:after="0"/>
              <w:rPr>
                <w:sz w:val="6"/>
                <w:szCs w:val="6"/>
                <w:color w:val="auto"/>
              </w:rPr>
            </w:pPr>
          </w:p>
        </w:tc>
        <w:tc>
          <w:tcPr>
            <w:tcW w:w="120" w:type="dxa"/>
            <w:vAlign w:val="bottom"/>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2"/>
          </w:tcPr>
          <w:p>
            <w:pPr>
              <w:jc w:val="right"/>
              <w:ind w:right="80"/>
              <w:spacing w:after="0" w:line="70" w:lineRule="exact"/>
              <w:rPr>
                <w:sz w:val="20"/>
                <w:szCs w:val="20"/>
                <w:color w:val="auto"/>
              </w:rPr>
            </w:pPr>
            <w:r>
              <w:rPr>
                <w:rFonts w:ascii="Times New Roman" w:cs="Times New Roman" w:eastAsia="Times New Roman" w:hAnsi="Times New Roman"/>
                <w:sz w:val="8"/>
                <w:szCs w:val="8"/>
                <w:color w:val="auto"/>
              </w:rPr>
              <w:t>(0.7)</w:t>
            </w: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90.2</w:t>
            </w:r>
          </w:p>
        </w:tc>
        <w:tc>
          <w:tcPr>
            <w:tcW w:w="100" w:type="dxa"/>
            <w:vAlign w:val="bottom"/>
          </w:tcPr>
          <w:p>
            <w:pPr>
              <w:spacing w:after="0"/>
              <w:rPr>
                <w:sz w:val="6"/>
                <w:szCs w:val="6"/>
                <w:color w:val="auto"/>
              </w:rPr>
            </w:pPr>
          </w:p>
        </w:tc>
        <w:tc>
          <w:tcPr>
            <w:tcW w:w="8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ind w:left="260"/>
              <w:spacing w:after="0" w:line="70" w:lineRule="exact"/>
              <w:rPr>
                <w:sz w:val="20"/>
                <w:szCs w:val="20"/>
                <w:color w:val="auto"/>
              </w:rPr>
            </w:pPr>
            <w:r>
              <w:rPr>
                <w:rFonts w:ascii="Times New Roman" w:cs="Times New Roman" w:eastAsia="Times New Roman" w:hAnsi="Times New Roman"/>
                <w:sz w:val="8"/>
                <w:szCs w:val="8"/>
                <w:color w:val="auto"/>
                <w:w w:val="99"/>
              </w:rPr>
              <w:t>—</w:t>
            </w:r>
          </w:p>
        </w:tc>
        <w:tc>
          <w:tcPr>
            <w:tcW w:w="240" w:type="dxa"/>
            <w:vAlign w:val="bottom"/>
            <w:gridSpan w:val="2"/>
          </w:tcPr>
          <w:p>
            <w:pPr>
              <w:jc w:val="right"/>
              <w:ind w:right="32"/>
              <w:spacing w:after="0" w:line="70" w:lineRule="exact"/>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11.7</w:t>
            </w:r>
          </w:p>
        </w:tc>
        <w:tc>
          <w:tcPr>
            <w:tcW w:w="120" w:type="dxa"/>
            <w:vAlign w:val="bottom"/>
          </w:tcPr>
          <w:p>
            <w:pPr>
              <w:spacing w:after="0"/>
              <w:rPr>
                <w:sz w:val="6"/>
                <w:szCs w:val="6"/>
                <w:color w:val="auto"/>
              </w:rPr>
            </w:pPr>
          </w:p>
        </w:tc>
        <w:tc>
          <w:tcPr>
            <w:tcW w:w="8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0.4</w:t>
            </w:r>
          </w:p>
        </w:tc>
        <w:tc>
          <w:tcPr>
            <w:tcW w:w="100" w:type="dxa"/>
            <w:vAlign w:val="bottom"/>
          </w:tcPr>
          <w:p>
            <w:pPr>
              <w:spacing w:after="0"/>
              <w:rPr>
                <w:sz w:val="6"/>
                <w:szCs w:val="6"/>
                <w:color w:val="auto"/>
              </w:rPr>
            </w:pPr>
          </w:p>
        </w:tc>
        <w:tc>
          <w:tcPr>
            <w:tcW w:w="10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w w:val="98"/>
              </w:rPr>
              <w:t>$</w:t>
            </w:r>
          </w:p>
        </w:tc>
        <w:tc>
          <w:tcPr>
            <w:tcW w:w="34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13.1</w:t>
            </w:r>
          </w:p>
        </w:tc>
        <w:tc>
          <w:tcPr>
            <w:tcW w:w="120" w:type="dxa"/>
            <w:vAlign w:val="bottom"/>
          </w:tcPr>
          <w:p>
            <w:pPr>
              <w:spacing w:after="0"/>
              <w:rPr>
                <w:sz w:val="6"/>
                <w:szCs w:val="6"/>
                <w:color w:val="auto"/>
              </w:rPr>
            </w:pP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438.1</w:t>
            </w:r>
          </w:p>
        </w:tc>
        <w:tc>
          <w:tcPr>
            <w:tcW w:w="100" w:type="dxa"/>
            <w:vAlign w:val="bottom"/>
          </w:tcPr>
          <w:p>
            <w:pPr>
              <w:spacing w:after="0"/>
              <w:rPr>
                <w:sz w:val="6"/>
                <w:szCs w:val="6"/>
                <w:color w:val="auto"/>
              </w:rPr>
            </w:pPr>
          </w:p>
        </w:tc>
        <w:tc>
          <w:tcPr>
            <w:tcW w:w="180" w:type="dxa"/>
            <w:vAlign w:val="bottom"/>
          </w:tcPr>
          <w:p>
            <w:pPr>
              <w:jc w:val="right"/>
              <w:ind w:right="75"/>
              <w:spacing w:after="0" w:line="70" w:lineRule="exact"/>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3,347.6</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line="126" w:lineRule="exact"/>
              <w:rPr>
                <w:sz w:val="20"/>
                <w:szCs w:val="20"/>
                <w:color w:val="auto"/>
              </w:rPr>
            </w:pPr>
            <w:r>
              <w:rPr>
                <w:rFonts w:ascii="Times New Roman" w:cs="Times New Roman" w:eastAsia="Times New Roman" w:hAnsi="Times New Roman"/>
                <w:sz w:val="10"/>
                <w:szCs w:val="10"/>
                <w:color w:val="auto"/>
              </w:rPr>
              <w:t xml:space="preserve">Cost of sales </w:t>
            </w:r>
            <w:r>
              <w:rPr>
                <w:rFonts w:ascii="Times New Roman" w:cs="Times New Roman" w:eastAsia="Times New Roman" w:hAnsi="Times New Roman"/>
                <w:sz w:val="12"/>
                <w:szCs w:val="12"/>
                <w:color w:val="auto"/>
                <w:vertAlign w:val="superscript"/>
              </w:rPr>
              <w:t>(1)</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120.1</w:t>
            </w: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168.4</w:t>
            </w: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1,706.4</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49.8</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14.4</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153.5</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1,949.0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340" w:type="dxa"/>
            <w:vAlign w:val="bottom"/>
            <w:shd w:val="clear" w:color="auto" w:fill="CCECFF"/>
          </w:tcPr>
          <w:p>
            <w:pPr>
              <w:spacing w:after="0" w:line="88" w:lineRule="exact"/>
              <w:rPr>
                <w:sz w:val="20"/>
                <w:szCs w:val="20"/>
                <w:color w:val="auto"/>
              </w:rPr>
            </w:pPr>
            <w:r>
              <w:rPr>
                <w:rFonts w:ascii="Times New Roman" w:cs="Times New Roman" w:eastAsia="Times New Roman" w:hAnsi="Times New Roman"/>
                <w:sz w:val="10"/>
                <w:szCs w:val="10"/>
                <w:color w:val="auto"/>
              </w:rPr>
              <w:t>Gross profit (loss)</w:t>
            </w:r>
          </w:p>
        </w:tc>
        <w:tc>
          <w:tcPr>
            <w:tcW w:w="140" w:type="dxa"/>
            <w:vAlign w:val="bottom"/>
            <w:shd w:val="clear" w:color="auto" w:fill="CCECFF"/>
          </w:tcPr>
          <w:p>
            <w:pPr>
              <w:spacing w:after="0"/>
              <w:rPr>
                <w:sz w:val="7"/>
                <w:szCs w:val="7"/>
                <w:color w:val="auto"/>
              </w:rPr>
            </w:pPr>
          </w:p>
        </w:tc>
        <w:tc>
          <w:tcPr>
            <w:tcW w:w="52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230.9</w:t>
            </w: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48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351.3</w:t>
            </w: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2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54.1</w:t>
            </w: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2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1,006.5</w:t>
            </w:r>
          </w:p>
        </w:tc>
        <w:tc>
          <w:tcPr>
            <w:tcW w:w="1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580" w:type="dxa"/>
            <w:vAlign w:val="bottom"/>
            <w:gridSpan w:val="2"/>
            <w:shd w:val="clear" w:color="auto" w:fill="CCECFF"/>
          </w:tcPr>
          <w:p>
            <w:pPr>
              <w:jc w:val="right"/>
              <w:ind w:right="80"/>
              <w:spacing w:after="0" w:line="88" w:lineRule="exact"/>
              <w:rPr>
                <w:sz w:val="20"/>
                <w:szCs w:val="20"/>
                <w:color w:val="auto"/>
              </w:rPr>
            </w:pPr>
            <w:r>
              <w:rPr>
                <w:rFonts w:ascii="Times New Roman" w:cs="Times New Roman" w:eastAsia="Times New Roman" w:hAnsi="Times New Roman"/>
                <w:sz w:val="10"/>
                <w:szCs w:val="10"/>
                <w:color w:val="auto"/>
              </w:rPr>
              <w:t>(0.7)</w:t>
            </w:r>
          </w:p>
        </w:tc>
        <w:tc>
          <w:tcPr>
            <w:tcW w:w="160" w:type="dxa"/>
            <w:vAlign w:val="bottom"/>
            <w:shd w:val="clear" w:color="auto" w:fill="CCECFF"/>
          </w:tcPr>
          <w:p>
            <w:pPr>
              <w:spacing w:after="0"/>
              <w:rPr>
                <w:sz w:val="7"/>
                <w:szCs w:val="7"/>
                <w:color w:val="auto"/>
              </w:rPr>
            </w:pPr>
          </w:p>
        </w:tc>
        <w:tc>
          <w:tcPr>
            <w:tcW w:w="50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40.4</w:t>
            </w:r>
          </w:p>
        </w:tc>
        <w:tc>
          <w:tcPr>
            <w:tcW w:w="10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360" w:type="dxa"/>
            <w:vAlign w:val="bottom"/>
            <w:shd w:val="clear" w:color="auto" w:fill="CCECFF"/>
          </w:tcPr>
          <w:p>
            <w:pPr>
              <w:ind w:left="260"/>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40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1.7</w:t>
            </w:r>
          </w:p>
        </w:tc>
        <w:tc>
          <w:tcPr>
            <w:tcW w:w="12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36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0.3</w:t>
            </w:r>
          </w:p>
        </w:tc>
        <w:tc>
          <w:tcPr>
            <w:tcW w:w="1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460" w:type="dxa"/>
            <w:vAlign w:val="bottom"/>
            <w:gridSpan w:val="2"/>
            <w:shd w:val="clear" w:color="auto" w:fill="CCECFF"/>
          </w:tcPr>
          <w:p>
            <w:pPr>
              <w:jc w:val="right"/>
              <w:ind w:right="80"/>
              <w:spacing w:after="0" w:line="88" w:lineRule="exact"/>
              <w:rPr>
                <w:sz w:val="20"/>
                <w:szCs w:val="20"/>
                <w:color w:val="auto"/>
              </w:rPr>
            </w:pPr>
            <w:r>
              <w:rPr>
                <w:rFonts w:ascii="Times New Roman" w:cs="Times New Roman" w:eastAsia="Times New Roman" w:hAnsi="Times New Roman"/>
                <w:sz w:val="10"/>
                <w:szCs w:val="10"/>
                <w:color w:val="auto"/>
              </w:rPr>
              <w:t>(1.3)</w:t>
            </w:r>
          </w:p>
        </w:tc>
        <w:tc>
          <w:tcPr>
            <w:tcW w:w="160" w:type="dxa"/>
            <w:vAlign w:val="bottom"/>
            <w:shd w:val="clear" w:color="auto" w:fill="CCECFF"/>
          </w:tcPr>
          <w:p>
            <w:pPr>
              <w:spacing w:after="0"/>
              <w:rPr>
                <w:sz w:val="7"/>
                <w:szCs w:val="7"/>
                <w:color w:val="auto"/>
              </w:rPr>
            </w:pPr>
          </w:p>
        </w:tc>
        <w:tc>
          <w:tcPr>
            <w:tcW w:w="62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284.6</w:t>
            </w:r>
          </w:p>
        </w:tc>
        <w:tc>
          <w:tcPr>
            <w:tcW w:w="10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20" w:type="dxa"/>
            <w:vAlign w:val="bottom"/>
            <w:shd w:val="clear" w:color="auto" w:fill="CCECFF"/>
          </w:tcPr>
          <w:p>
            <w:pPr>
              <w:jc w:val="right"/>
              <w:spacing w:after="0" w:line="88" w:lineRule="exact"/>
              <w:rPr>
                <w:sz w:val="20"/>
                <w:szCs w:val="20"/>
                <w:color w:val="auto"/>
              </w:rPr>
            </w:pPr>
            <w:r>
              <w:rPr>
                <w:rFonts w:ascii="Times New Roman" w:cs="Times New Roman" w:eastAsia="Times New Roman" w:hAnsi="Times New Roman"/>
                <w:sz w:val="10"/>
                <w:szCs w:val="10"/>
                <w:color w:val="auto"/>
              </w:rPr>
              <w:t>1,398.6</w:t>
            </w:r>
          </w:p>
        </w:tc>
        <w:tc>
          <w:tcPr>
            <w:tcW w:w="12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3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Operating expenses:</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340" w:type="dxa"/>
            <w:vAlign w:val="bottom"/>
            <w:shd w:val="clear" w:color="auto" w:fill="CCECFF"/>
          </w:tcPr>
          <w:p>
            <w:pPr>
              <w:ind w:left="20"/>
              <w:spacing w:after="0" w:line="85" w:lineRule="exact"/>
              <w:rPr>
                <w:sz w:val="20"/>
                <w:szCs w:val="20"/>
                <w:color w:val="auto"/>
              </w:rPr>
            </w:pPr>
            <w:r>
              <w:rPr>
                <w:rFonts w:ascii="Times New Roman" w:cs="Times New Roman" w:eastAsia="Times New Roman" w:hAnsi="Times New Roman"/>
                <w:sz w:val="8"/>
                <w:szCs w:val="8"/>
                <w:color w:val="auto"/>
              </w:rPr>
              <w:t>Selling, general and</w:t>
            </w:r>
          </w:p>
        </w:tc>
        <w:tc>
          <w:tcPr>
            <w:tcW w:w="140" w:type="dxa"/>
            <w:vAlign w:val="bottom"/>
            <w:shd w:val="clear" w:color="auto" w:fill="CCECFF"/>
          </w:tcPr>
          <w:p>
            <w:pPr>
              <w:spacing w:after="0"/>
              <w:rPr>
                <w:sz w:val="7"/>
                <w:szCs w:val="7"/>
                <w:color w:val="auto"/>
              </w:rPr>
            </w:pPr>
          </w:p>
        </w:tc>
        <w:tc>
          <w:tcPr>
            <w:tcW w:w="5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48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46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5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36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40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36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34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40" w:type="dxa"/>
            <w:vAlign w:val="bottom"/>
            <w:shd w:val="clear" w:color="auto" w:fill="CCECFF"/>
          </w:tcPr>
          <w:p>
            <w:pPr>
              <w:ind w:left="80"/>
              <w:spacing w:after="0" w:line="114" w:lineRule="exact"/>
              <w:rPr>
                <w:sz w:val="20"/>
                <w:szCs w:val="20"/>
                <w:color w:val="auto"/>
              </w:rPr>
            </w:pPr>
            <w:r>
              <w:rPr>
                <w:rFonts w:ascii="Times New Roman" w:cs="Times New Roman" w:eastAsia="Times New Roman" w:hAnsi="Times New Roman"/>
                <w:sz w:val="10"/>
                <w:szCs w:val="10"/>
                <w:color w:val="auto"/>
              </w:rPr>
              <w:t>administrative</w:t>
            </w:r>
          </w:p>
        </w:tc>
        <w:tc>
          <w:tcPr>
            <w:tcW w:w="140" w:type="dxa"/>
            <w:vAlign w:val="bottom"/>
            <w:shd w:val="clear" w:color="auto" w:fill="CCECFF"/>
          </w:tcPr>
          <w:p>
            <w:pPr>
              <w:spacing w:after="0"/>
              <w:rPr>
                <w:sz w:val="9"/>
                <w:szCs w:val="9"/>
                <w:color w:val="auto"/>
              </w:rPr>
            </w:pPr>
          </w:p>
        </w:tc>
        <w:tc>
          <w:tcPr>
            <w:tcW w:w="5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117.6</w:t>
            </w:r>
          </w:p>
        </w:tc>
        <w:tc>
          <w:tcPr>
            <w:tcW w:w="1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4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139.0</w:t>
            </w:r>
          </w:p>
        </w:tc>
        <w:tc>
          <w:tcPr>
            <w:tcW w:w="1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11.7</w:t>
            </w:r>
          </w:p>
        </w:tc>
        <w:tc>
          <w:tcPr>
            <w:tcW w:w="1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275.5</w:t>
            </w:r>
          </w:p>
        </w:tc>
        <w:tc>
          <w:tcPr>
            <w:tcW w:w="1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0.1</w:t>
            </w:r>
          </w:p>
        </w:tc>
        <w:tc>
          <w:tcPr>
            <w:tcW w:w="1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0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22.8</w:t>
            </w:r>
          </w:p>
        </w:tc>
        <w:tc>
          <w:tcPr>
            <w:tcW w:w="1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360" w:type="dxa"/>
            <w:vAlign w:val="bottom"/>
            <w:shd w:val="clear" w:color="auto" w:fill="CCECFF"/>
          </w:tcPr>
          <w:p>
            <w:pPr>
              <w:ind w:left="260"/>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40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3.4</w:t>
            </w:r>
          </w:p>
        </w:tc>
        <w:tc>
          <w:tcPr>
            <w:tcW w:w="1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36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0.2</w:t>
            </w:r>
          </w:p>
        </w:tc>
        <w:tc>
          <w:tcPr>
            <w:tcW w:w="1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460" w:type="dxa"/>
            <w:vAlign w:val="bottom"/>
            <w:gridSpan w:val="2"/>
            <w:shd w:val="clear" w:color="auto" w:fill="CCEC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(2.0)</w:t>
            </w:r>
          </w:p>
        </w:tc>
        <w:tc>
          <w:tcPr>
            <w:tcW w:w="16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129.6</w:t>
            </w:r>
          </w:p>
        </w:tc>
        <w:tc>
          <w:tcPr>
            <w:tcW w:w="1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438.7</w:t>
            </w: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34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Research and development</w:t>
            </w:r>
          </w:p>
        </w:tc>
        <w:tc>
          <w:tcPr>
            <w:tcW w:w="14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53.8</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88.3</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57.1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ind w:left="260"/>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55.7</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151.5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340" w:type="dxa"/>
            <w:vAlign w:val="bottom"/>
            <w:shd w:val="clear" w:color="auto" w:fill="CCECFF"/>
          </w:tcPr>
          <w:p>
            <w:pPr>
              <w:ind w:left="20"/>
              <w:spacing w:after="0" w:line="85" w:lineRule="exact"/>
              <w:rPr>
                <w:sz w:val="20"/>
                <w:szCs w:val="20"/>
                <w:color w:val="auto"/>
              </w:rPr>
            </w:pPr>
            <w:r>
              <w:rPr>
                <w:rFonts w:ascii="Times New Roman" w:cs="Times New Roman" w:eastAsia="Times New Roman" w:hAnsi="Times New Roman"/>
                <w:sz w:val="8"/>
                <w:szCs w:val="8"/>
                <w:color w:val="auto"/>
              </w:rPr>
              <w:t>Amortization of purchased</w:t>
            </w:r>
          </w:p>
        </w:tc>
        <w:tc>
          <w:tcPr>
            <w:tcW w:w="140" w:type="dxa"/>
            <w:vAlign w:val="bottom"/>
            <w:shd w:val="clear" w:color="auto" w:fill="CCECFF"/>
          </w:tcPr>
          <w:p>
            <w:pPr>
              <w:spacing w:after="0"/>
              <w:rPr>
                <w:sz w:val="7"/>
                <w:szCs w:val="7"/>
                <w:color w:val="auto"/>
              </w:rPr>
            </w:pPr>
          </w:p>
        </w:tc>
        <w:tc>
          <w:tcPr>
            <w:tcW w:w="5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48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46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5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36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40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80" w:type="dxa"/>
            <w:vAlign w:val="bottom"/>
            <w:shd w:val="clear" w:color="auto" w:fill="CCECFF"/>
          </w:tcPr>
          <w:p>
            <w:pPr>
              <w:spacing w:after="0"/>
              <w:rPr>
                <w:sz w:val="7"/>
                <w:szCs w:val="7"/>
                <w:color w:val="auto"/>
              </w:rPr>
            </w:pPr>
          </w:p>
        </w:tc>
        <w:tc>
          <w:tcPr>
            <w:tcW w:w="36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34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340" w:type="dxa"/>
            <w:vAlign w:val="bottom"/>
            <w:shd w:val="clear" w:color="auto" w:fill="CCECFF"/>
          </w:tcPr>
          <w:p>
            <w:pPr>
              <w:ind w:left="80"/>
              <w:spacing w:after="0" w:line="114" w:lineRule="exact"/>
              <w:rPr>
                <w:sz w:val="20"/>
                <w:szCs w:val="20"/>
                <w:color w:val="auto"/>
              </w:rPr>
            </w:pPr>
            <w:r>
              <w:rPr>
                <w:rFonts w:ascii="Times New Roman" w:cs="Times New Roman" w:eastAsia="Times New Roman" w:hAnsi="Times New Roman"/>
                <w:sz w:val="10"/>
                <w:szCs w:val="10"/>
                <w:color w:val="auto"/>
              </w:rPr>
              <w:t>intangible assets</w:t>
            </w:r>
          </w:p>
        </w:tc>
        <w:tc>
          <w:tcPr>
            <w:tcW w:w="140" w:type="dxa"/>
            <w:vAlign w:val="bottom"/>
            <w:shd w:val="clear" w:color="auto" w:fill="CCECFF"/>
          </w:tcPr>
          <w:p>
            <w:pPr>
              <w:spacing w:after="0"/>
              <w:rPr>
                <w:sz w:val="9"/>
                <w:szCs w:val="9"/>
                <w:color w:val="auto"/>
              </w:rPr>
            </w:pPr>
          </w:p>
        </w:tc>
        <w:tc>
          <w:tcPr>
            <w:tcW w:w="5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13.7</w:t>
            </w:r>
          </w:p>
        </w:tc>
        <w:tc>
          <w:tcPr>
            <w:tcW w:w="1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4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37.4</w:t>
            </w:r>
          </w:p>
        </w:tc>
        <w:tc>
          <w:tcPr>
            <w:tcW w:w="1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4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53.1</w:t>
            </w:r>
          </w:p>
        </w:tc>
        <w:tc>
          <w:tcPr>
            <w:tcW w:w="1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8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9"/>
                <w:szCs w:val="9"/>
                <w:color w:val="auto"/>
              </w:rPr>
            </w:pPr>
          </w:p>
        </w:tc>
        <w:tc>
          <w:tcPr>
            <w:tcW w:w="60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9"/>
                <w:szCs w:val="9"/>
                <w:color w:val="auto"/>
              </w:rPr>
            </w:pPr>
          </w:p>
        </w:tc>
        <w:tc>
          <w:tcPr>
            <w:tcW w:w="360" w:type="dxa"/>
            <w:vAlign w:val="bottom"/>
            <w:shd w:val="clear" w:color="auto" w:fill="CCECFF"/>
          </w:tcPr>
          <w:p>
            <w:pPr>
              <w:ind w:left="260"/>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9"/>
                <w:szCs w:val="9"/>
                <w:color w:val="auto"/>
              </w:rPr>
            </w:pPr>
          </w:p>
        </w:tc>
        <w:tc>
          <w:tcPr>
            <w:tcW w:w="460" w:type="dxa"/>
            <w:vAlign w:val="bottom"/>
            <w:gridSpan w:val="2"/>
            <w:shd w:val="clear" w:color="auto" w:fill="CCEC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CFF"/>
          </w:tcPr>
          <w:p>
            <w:pPr>
              <w:spacing w:after="0"/>
              <w:rPr>
                <w:sz w:val="9"/>
                <w:szCs w:val="9"/>
                <w:color w:val="auto"/>
              </w:rPr>
            </w:pPr>
          </w:p>
        </w:tc>
        <w:tc>
          <w:tcPr>
            <w:tcW w:w="460" w:type="dxa"/>
            <w:vAlign w:val="bottom"/>
            <w:gridSpan w:val="2"/>
            <w:shd w:val="clear" w:color="auto" w:fill="CCEC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13.7</w:t>
            </w:r>
          </w:p>
        </w:tc>
        <w:tc>
          <w:tcPr>
            <w:tcW w:w="1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90.5</w:t>
            </w: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34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Restructuring costs, net</w:t>
            </w: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2.9</w:t>
            </w: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2.7</w:t>
            </w: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0.1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0.2</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6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360" w:type="dxa"/>
            <w:vAlign w:val="bottom"/>
          </w:tcPr>
          <w:p>
            <w:pPr>
              <w:ind w:left="260"/>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340" w:type="dxa"/>
            <w:vAlign w:val="bottom"/>
            <w:vMerge w:val="restart"/>
            <w:shd w:val="clear" w:color="auto" w:fill="CCECFF"/>
          </w:tcPr>
          <w:p>
            <w:pPr>
              <w:ind w:left="80"/>
              <w:spacing w:after="0" w:line="97" w:lineRule="exact"/>
              <w:rPr>
                <w:sz w:val="20"/>
                <w:szCs w:val="20"/>
                <w:color w:val="auto"/>
              </w:rPr>
            </w:pPr>
            <w:r>
              <w:rPr>
                <w:rFonts w:ascii="Times New Roman" w:cs="Times New Roman" w:eastAsia="Times New Roman" w:hAnsi="Times New Roman"/>
                <w:sz w:val="10"/>
                <w:szCs w:val="10"/>
                <w:color w:val="auto"/>
              </w:rPr>
              <w:t>Total operating expenses</w:t>
            </w:r>
          </w:p>
        </w:tc>
        <w:tc>
          <w:tcPr>
            <w:tcW w:w="140" w:type="dxa"/>
            <w:vAlign w:val="bottom"/>
            <w:shd w:val="clear" w:color="auto" w:fill="CCECFF"/>
          </w:tcPr>
          <w:p>
            <w:pPr>
              <w:spacing w:after="0" w:line="20" w:lineRule="exact"/>
              <w:rPr>
                <w:sz w:val="1"/>
                <w:szCs w:val="1"/>
                <w:color w:val="auto"/>
              </w:rPr>
            </w:pPr>
          </w:p>
        </w:tc>
        <w:tc>
          <w:tcPr>
            <w:tcW w:w="520" w:type="dxa"/>
            <w:vAlign w:val="bottom"/>
            <w:vMerge w:val="restart"/>
            <w:shd w:val="clear" w:color="auto" w:fill="CCECFF"/>
          </w:tcPr>
          <w:p>
            <w:pPr>
              <w:jc w:val="right"/>
              <w:spacing w:after="0" w:line="97" w:lineRule="exact"/>
              <w:rPr>
                <w:sz w:val="20"/>
                <w:szCs w:val="20"/>
                <w:color w:val="auto"/>
              </w:rPr>
            </w:pPr>
            <w:r>
              <w:rPr>
                <w:rFonts w:ascii="Times New Roman" w:cs="Times New Roman" w:eastAsia="Times New Roman" w:hAnsi="Times New Roman"/>
                <w:sz w:val="10"/>
                <w:szCs w:val="10"/>
                <w:color w:val="auto"/>
              </w:rPr>
              <w:t>188.0</w:t>
            </w:r>
          </w:p>
        </w:tc>
        <w:tc>
          <w:tcPr>
            <w:tcW w:w="12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480" w:type="dxa"/>
            <w:vAlign w:val="bottom"/>
            <w:vMerge w:val="restart"/>
            <w:shd w:val="clear" w:color="auto" w:fill="CCECFF"/>
          </w:tcPr>
          <w:p>
            <w:pPr>
              <w:jc w:val="right"/>
              <w:spacing w:after="0" w:line="97" w:lineRule="exact"/>
              <w:rPr>
                <w:sz w:val="20"/>
                <w:szCs w:val="20"/>
                <w:color w:val="auto"/>
              </w:rPr>
            </w:pPr>
            <w:r>
              <w:rPr>
                <w:rFonts w:ascii="Times New Roman" w:cs="Times New Roman" w:eastAsia="Times New Roman" w:hAnsi="Times New Roman"/>
                <w:sz w:val="10"/>
                <w:szCs w:val="10"/>
                <w:color w:val="auto"/>
              </w:rPr>
              <w:t>267.4</w:t>
            </w:r>
          </w:p>
        </w:tc>
        <w:tc>
          <w:tcPr>
            <w:tcW w:w="12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620" w:type="dxa"/>
            <w:vAlign w:val="bottom"/>
            <w:vMerge w:val="restart"/>
            <w:shd w:val="clear" w:color="auto" w:fill="CCECFF"/>
          </w:tcPr>
          <w:p>
            <w:pPr>
              <w:jc w:val="right"/>
              <w:spacing w:after="0" w:line="97" w:lineRule="exact"/>
              <w:rPr>
                <w:sz w:val="20"/>
                <w:szCs w:val="20"/>
                <w:color w:val="auto"/>
              </w:rPr>
            </w:pPr>
            <w:r>
              <w:rPr>
                <w:rFonts w:ascii="Times New Roman" w:cs="Times New Roman" w:eastAsia="Times New Roman" w:hAnsi="Times New Roman"/>
                <w:sz w:val="10"/>
                <w:szCs w:val="10"/>
                <w:color w:val="auto"/>
              </w:rPr>
              <w:t>13.7</w:t>
            </w:r>
          </w:p>
        </w:tc>
        <w:tc>
          <w:tcPr>
            <w:tcW w:w="12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340" w:type="dxa"/>
            <w:vAlign w:val="bottom"/>
            <w:vMerge w:val="continue"/>
            <w:shd w:val="clear" w:color="auto" w:fill="CCECFF"/>
          </w:tcPr>
          <w:p>
            <w:pPr>
              <w:spacing w:after="0"/>
              <w:rPr>
                <w:sz w:val="6"/>
                <w:szCs w:val="6"/>
                <w:color w:val="auto"/>
              </w:rPr>
            </w:pPr>
          </w:p>
        </w:tc>
        <w:tc>
          <w:tcPr>
            <w:tcW w:w="140" w:type="dxa"/>
            <w:vAlign w:val="bottom"/>
            <w:shd w:val="clear" w:color="auto" w:fill="CCECFF"/>
          </w:tcPr>
          <w:p>
            <w:pPr>
              <w:spacing w:after="0"/>
              <w:rPr>
                <w:sz w:val="6"/>
                <w:szCs w:val="6"/>
                <w:color w:val="auto"/>
              </w:rPr>
            </w:pPr>
          </w:p>
        </w:tc>
        <w:tc>
          <w:tcPr>
            <w:tcW w:w="520" w:type="dxa"/>
            <w:vAlign w:val="bottom"/>
            <w:vMerge w:val="continue"/>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80" w:type="dxa"/>
            <w:vAlign w:val="bottom"/>
            <w:shd w:val="clear" w:color="auto" w:fill="CCECFF"/>
          </w:tcPr>
          <w:p>
            <w:pPr>
              <w:spacing w:after="0"/>
              <w:rPr>
                <w:sz w:val="6"/>
                <w:szCs w:val="6"/>
                <w:color w:val="auto"/>
              </w:rPr>
            </w:pPr>
          </w:p>
        </w:tc>
        <w:tc>
          <w:tcPr>
            <w:tcW w:w="480" w:type="dxa"/>
            <w:vAlign w:val="bottom"/>
            <w:vMerge w:val="continue"/>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80" w:type="dxa"/>
            <w:vAlign w:val="bottom"/>
            <w:shd w:val="clear" w:color="auto" w:fill="CCECFF"/>
          </w:tcPr>
          <w:p>
            <w:pPr>
              <w:spacing w:after="0"/>
              <w:rPr>
                <w:sz w:val="6"/>
                <w:szCs w:val="6"/>
                <w:color w:val="auto"/>
              </w:rPr>
            </w:pPr>
          </w:p>
        </w:tc>
        <w:tc>
          <w:tcPr>
            <w:tcW w:w="620" w:type="dxa"/>
            <w:vAlign w:val="bottom"/>
            <w:vMerge w:val="continue"/>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80" w:type="dxa"/>
            <w:vAlign w:val="bottom"/>
            <w:shd w:val="clear" w:color="auto" w:fill="CCECFF"/>
          </w:tcPr>
          <w:p>
            <w:pPr>
              <w:spacing w:after="0"/>
              <w:rPr>
                <w:sz w:val="6"/>
                <w:szCs w:val="6"/>
                <w:color w:val="auto"/>
              </w:rPr>
            </w:pPr>
          </w:p>
        </w:tc>
        <w:tc>
          <w:tcPr>
            <w:tcW w:w="620" w:type="dxa"/>
            <w:vAlign w:val="bottom"/>
            <w:shd w:val="clear" w:color="auto" w:fill="CCECFF"/>
          </w:tcPr>
          <w:p>
            <w:pPr>
              <w:jc w:val="right"/>
              <w:spacing w:after="0" w:line="77" w:lineRule="exact"/>
              <w:rPr>
                <w:sz w:val="20"/>
                <w:szCs w:val="20"/>
                <w:color w:val="auto"/>
              </w:rPr>
            </w:pPr>
            <w:r>
              <w:rPr>
                <w:rFonts w:ascii="Times New Roman" w:cs="Times New Roman" w:eastAsia="Times New Roman" w:hAnsi="Times New Roman"/>
                <w:sz w:val="8"/>
                <w:szCs w:val="8"/>
                <w:color w:val="auto"/>
              </w:rPr>
              <w:t>385.9</w:t>
            </w:r>
          </w:p>
        </w:tc>
        <w:tc>
          <w:tcPr>
            <w:tcW w:w="120" w:type="dxa"/>
            <w:vAlign w:val="bottom"/>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460" w:type="dxa"/>
            <w:vAlign w:val="bottom"/>
            <w:shd w:val="clear" w:color="auto" w:fill="CCECFF"/>
          </w:tcPr>
          <w:p>
            <w:pPr>
              <w:jc w:val="right"/>
              <w:spacing w:after="0" w:line="77" w:lineRule="exact"/>
              <w:rPr>
                <w:sz w:val="20"/>
                <w:szCs w:val="20"/>
                <w:color w:val="auto"/>
              </w:rPr>
            </w:pPr>
            <w:r>
              <w:rPr>
                <w:rFonts w:ascii="Times New Roman" w:cs="Times New Roman" w:eastAsia="Times New Roman" w:hAnsi="Times New Roman"/>
                <w:sz w:val="8"/>
                <w:szCs w:val="8"/>
                <w:color w:val="auto"/>
              </w:rPr>
              <w:t>0.1</w:t>
            </w:r>
          </w:p>
        </w:tc>
        <w:tc>
          <w:tcPr>
            <w:tcW w:w="120" w:type="dxa"/>
            <w:vAlign w:val="bottom"/>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500" w:type="dxa"/>
            <w:vAlign w:val="bottom"/>
            <w:shd w:val="clear" w:color="auto" w:fill="CCECFF"/>
          </w:tcPr>
          <w:p>
            <w:pPr>
              <w:jc w:val="right"/>
              <w:spacing w:after="0" w:line="77" w:lineRule="exact"/>
              <w:rPr>
                <w:sz w:val="20"/>
                <w:szCs w:val="20"/>
                <w:color w:val="auto"/>
              </w:rPr>
            </w:pPr>
            <w:r>
              <w:rPr>
                <w:rFonts w:ascii="Times New Roman" w:cs="Times New Roman" w:eastAsia="Times New Roman" w:hAnsi="Times New Roman"/>
                <w:sz w:val="8"/>
                <w:szCs w:val="8"/>
                <w:color w:val="auto"/>
              </w:rPr>
              <w:t>25.9</w:t>
            </w:r>
          </w:p>
        </w:tc>
        <w:tc>
          <w:tcPr>
            <w:tcW w:w="10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360" w:type="dxa"/>
            <w:vAlign w:val="bottom"/>
            <w:shd w:val="clear" w:color="auto" w:fill="CCECFF"/>
          </w:tcPr>
          <w:p>
            <w:pPr>
              <w:ind w:left="260"/>
              <w:spacing w:after="0" w:line="77" w:lineRule="exact"/>
              <w:rPr>
                <w:sz w:val="20"/>
                <w:szCs w:val="20"/>
                <w:color w:val="auto"/>
              </w:rPr>
            </w:pPr>
            <w:r>
              <w:rPr>
                <w:rFonts w:ascii="Times New Roman" w:cs="Times New Roman" w:eastAsia="Times New Roman" w:hAnsi="Times New Roman"/>
                <w:sz w:val="8"/>
                <w:szCs w:val="8"/>
                <w:color w:val="auto"/>
                <w:w w:val="99"/>
              </w:rPr>
              <w:t>—</w:t>
            </w:r>
          </w:p>
        </w:tc>
        <w:tc>
          <w:tcPr>
            <w:tcW w:w="100" w:type="dxa"/>
            <w:vAlign w:val="bottom"/>
            <w:shd w:val="clear" w:color="auto" w:fill="CCECFF"/>
          </w:tcPr>
          <w:p>
            <w:pPr>
              <w:spacing w:after="0"/>
              <w:rPr>
                <w:sz w:val="6"/>
                <w:szCs w:val="6"/>
                <w:color w:val="auto"/>
              </w:rPr>
            </w:pPr>
          </w:p>
        </w:tc>
        <w:tc>
          <w:tcPr>
            <w:tcW w:w="140" w:type="dxa"/>
            <w:vAlign w:val="bottom"/>
            <w:shd w:val="clear" w:color="auto" w:fill="CCECFF"/>
          </w:tcPr>
          <w:p>
            <w:pPr>
              <w:spacing w:after="0"/>
              <w:rPr>
                <w:sz w:val="6"/>
                <w:szCs w:val="6"/>
                <w:color w:val="auto"/>
              </w:rPr>
            </w:pPr>
          </w:p>
        </w:tc>
        <w:tc>
          <w:tcPr>
            <w:tcW w:w="400" w:type="dxa"/>
            <w:vAlign w:val="bottom"/>
            <w:shd w:val="clear" w:color="auto" w:fill="CCECFF"/>
          </w:tcPr>
          <w:p>
            <w:pPr>
              <w:jc w:val="right"/>
              <w:spacing w:after="0" w:line="77" w:lineRule="exact"/>
              <w:rPr>
                <w:sz w:val="20"/>
                <w:szCs w:val="20"/>
                <w:color w:val="auto"/>
              </w:rPr>
            </w:pPr>
            <w:r>
              <w:rPr>
                <w:rFonts w:ascii="Times New Roman" w:cs="Times New Roman" w:eastAsia="Times New Roman" w:hAnsi="Times New Roman"/>
                <w:sz w:val="8"/>
                <w:szCs w:val="8"/>
                <w:color w:val="auto"/>
              </w:rPr>
              <w:t>6.4</w:t>
            </w:r>
          </w:p>
        </w:tc>
        <w:tc>
          <w:tcPr>
            <w:tcW w:w="12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360" w:type="dxa"/>
            <w:vAlign w:val="bottom"/>
            <w:shd w:val="clear" w:color="auto" w:fill="CCECFF"/>
          </w:tcPr>
          <w:p>
            <w:pPr>
              <w:jc w:val="right"/>
              <w:spacing w:after="0" w:line="77" w:lineRule="exact"/>
              <w:rPr>
                <w:sz w:val="20"/>
                <w:szCs w:val="20"/>
                <w:color w:val="auto"/>
              </w:rPr>
            </w:pPr>
            <w:r>
              <w:rPr>
                <w:rFonts w:ascii="Times New Roman" w:cs="Times New Roman" w:eastAsia="Times New Roman" w:hAnsi="Times New Roman"/>
                <w:sz w:val="8"/>
                <w:szCs w:val="8"/>
                <w:color w:val="auto"/>
              </w:rPr>
              <w:t>0.2</w:t>
            </w:r>
          </w:p>
        </w:tc>
        <w:tc>
          <w:tcPr>
            <w:tcW w:w="10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460" w:type="dxa"/>
            <w:vAlign w:val="bottom"/>
            <w:gridSpan w:val="2"/>
            <w:shd w:val="clear" w:color="auto" w:fill="CCECFF"/>
          </w:tcPr>
          <w:p>
            <w:pPr>
              <w:jc w:val="right"/>
              <w:ind w:right="80"/>
              <w:spacing w:after="0" w:line="77" w:lineRule="exact"/>
              <w:rPr>
                <w:sz w:val="20"/>
                <w:szCs w:val="20"/>
                <w:color w:val="auto"/>
              </w:rPr>
            </w:pPr>
            <w:r>
              <w:rPr>
                <w:rFonts w:ascii="Times New Roman" w:cs="Times New Roman" w:eastAsia="Times New Roman" w:hAnsi="Times New Roman"/>
                <w:sz w:val="8"/>
                <w:szCs w:val="8"/>
                <w:color w:val="auto"/>
              </w:rPr>
              <w:t>(2.0)</w:t>
            </w:r>
          </w:p>
        </w:tc>
        <w:tc>
          <w:tcPr>
            <w:tcW w:w="160" w:type="dxa"/>
            <w:vAlign w:val="bottom"/>
            <w:shd w:val="clear" w:color="auto" w:fill="CCECFF"/>
          </w:tcPr>
          <w:p>
            <w:pPr>
              <w:spacing w:after="0"/>
              <w:rPr>
                <w:sz w:val="6"/>
                <w:szCs w:val="6"/>
                <w:color w:val="auto"/>
              </w:rPr>
            </w:pPr>
          </w:p>
        </w:tc>
        <w:tc>
          <w:tcPr>
            <w:tcW w:w="620" w:type="dxa"/>
            <w:vAlign w:val="bottom"/>
            <w:shd w:val="clear" w:color="auto" w:fill="CCECFF"/>
          </w:tcPr>
          <w:p>
            <w:pPr>
              <w:jc w:val="right"/>
              <w:spacing w:after="0" w:line="77" w:lineRule="exact"/>
              <w:rPr>
                <w:sz w:val="20"/>
                <w:szCs w:val="20"/>
                <w:color w:val="auto"/>
              </w:rPr>
            </w:pPr>
            <w:r>
              <w:rPr>
                <w:rFonts w:ascii="Times New Roman" w:cs="Times New Roman" w:eastAsia="Times New Roman" w:hAnsi="Times New Roman"/>
                <w:sz w:val="8"/>
                <w:szCs w:val="8"/>
                <w:color w:val="auto"/>
              </w:rPr>
              <w:t>202.0</w:t>
            </w:r>
          </w:p>
        </w:tc>
        <w:tc>
          <w:tcPr>
            <w:tcW w:w="100" w:type="dxa"/>
            <w:vAlign w:val="bottom"/>
            <w:shd w:val="clear" w:color="auto" w:fill="CCECFF"/>
          </w:tcPr>
          <w:p>
            <w:pPr>
              <w:spacing w:after="0"/>
              <w:rPr>
                <w:sz w:val="6"/>
                <w:szCs w:val="6"/>
                <w:color w:val="auto"/>
              </w:rPr>
            </w:pPr>
          </w:p>
        </w:tc>
        <w:tc>
          <w:tcPr>
            <w:tcW w:w="180" w:type="dxa"/>
            <w:vAlign w:val="bottom"/>
            <w:shd w:val="clear" w:color="auto" w:fill="CCECFF"/>
          </w:tcPr>
          <w:p>
            <w:pPr>
              <w:spacing w:after="0"/>
              <w:rPr>
                <w:sz w:val="6"/>
                <w:szCs w:val="6"/>
                <w:color w:val="auto"/>
              </w:rPr>
            </w:pPr>
          </w:p>
        </w:tc>
        <w:tc>
          <w:tcPr>
            <w:tcW w:w="620" w:type="dxa"/>
            <w:vAlign w:val="bottom"/>
            <w:shd w:val="clear" w:color="auto" w:fill="CCECFF"/>
          </w:tcPr>
          <w:p>
            <w:pPr>
              <w:jc w:val="right"/>
              <w:spacing w:after="0" w:line="77" w:lineRule="exact"/>
              <w:rPr>
                <w:sz w:val="20"/>
                <w:szCs w:val="20"/>
                <w:color w:val="auto"/>
              </w:rPr>
            </w:pPr>
            <w:r>
              <w:rPr>
                <w:rFonts w:ascii="Times New Roman" w:cs="Times New Roman" w:eastAsia="Times New Roman" w:hAnsi="Times New Roman"/>
                <w:sz w:val="8"/>
                <w:szCs w:val="8"/>
                <w:color w:val="auto"/>
              </w:rPr>
              <w:t>683.6</w:t>
            </w:r>
          </w:p>
        </w:tc>
        <w:tc>
          <w:tcPr>
            <w:tcW w:w="1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340" w:type="dxa"/>
            <w:vAlign w:val="bottom"/>
          </w:tcPr>
          <w:p>
            <w:pPr>
              <w:spacing w:after="0" w:line="70" w:lineRule="exact"/>
              <w:rPr>
                <w:sz w:val="20"/>
                <w:szCs w:val="20"/>
                <w:color w:val="auto"/>
              </w:rPr>
            </w:pPr>
            <w:r>
              <w:rPr>
                <w:rFonts w:ascii="Times New Roman" w:cs="Times New Roman" w:eastAsia="Times New Roman" w:hAnsi="Times New Roman"/>
                <w:sz w:val="8"/>
                <w:szCs w:val="8"/>
                <w:color w:val="auto"/>
              </w:rPr>
              <w:t>Operating income (loss)</w:t>
            </w:r>
          </w:p>
        </w:tc>
        <w:tc>
          <w:tcPr>
            <w:tcW w:w="140" w:type="dxa"/>
            <w:vAlign w:val="bottom"/>
          </w:tcPr>
          <w:p>
            <w:pPr>
              <w:spacing w:after="0"/>
              <w:rPr>
                <w:sz w:val="6"/>
                <w:szCs w:val="6"/>
                <w:color w:val="auto"/>
              </w:rPr>
            </w:pPr>
          </w:p>
        </w:tc>
        <w:tc>
          <w:tcPr>
            <w:tcW w:w="5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42.9</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83.9</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40.4</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620.6</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tcPr>
          <w:p>
            <w:pPr>
              <w:jc w:val="right"/>
              <w:ind w:right="80"/>
              <w:spacing w:after="0" w:line="70" w:lineRule="exact"/>
              <w:rPr>
                <w:sz w:val="20"/>
                <w:szCs w:val="20"/>
                <w:color w:val="auto"/>
              </w:rPr>
            </w:pPr>
            <w:r>
              <w:rPr>
                <w:rFonts w:ascii="Times New Roman" w:cs="Times New Roman" w:eastAsia="Times New Roman" w:hAnsi="Times New Roman"/>
                <w:sz w:val="8"/>
                <w:szCs w:val="8"/>
                <w:color w:val="auto"/>
              </w:rPr>
              <w:t>(0.8)</w:t>
            </w:r>
          </w:p>
        </w:tc>
        <w:tc>
          <w:tcPr>
            <w:tcW w:w="160" w:type="dxa"/>
            <w:vAlign w:val="bottom"/>
          </w:tcPr>
          <w:p>
            <w:pPr>
              <w:spacing w:after="0"/>
              <w:rPr>
                <w:sz w:val="6"/>
                <w:szCs w:val="6"/>
                <w:color w:val="auto"/>
              </w:rPr>
            </w:pPr>
          </w:p>
        </w:tc>
        <w:tc>
          <w:tcPr>
            <w:tcW w:w="50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14.5</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ind w:left="260"/>
              <w:spacing w:after="0" w:line="70" w:lineRule="exact"/>
              <w:rPr>
                <w:sz w:val="20"/>
                <w:szCs w:val="20"/>
                <w:color w:val="auto"/>
              </w:rPr>
            </w:pPr>
            <w:r>
              <w:rPr>
                <w:rFonts w:ascii="Times New Roman" w:cs="Times New Roman" w:eastAsia="Times New Roman" w:hAnsi="Times New Roman"/>
                <w:sz w:val="8"/>
                <w:szCs w:val="8"/>
                <w:color w:val="auto"/>
                <w:w w:val="99"/>
              </w:rPr>
              <w:t>—</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gridSpan w:val="2"/>
          </w:tcPr>
          <w:p>
            <w:pPr>
              <w:jc w:val="right"/>
              <w:ind w:right="80"/>
              <w:spacing w:after="0" w:line="70" w:lineRule="exact"/>
              <w:rPr>
                <w:sz w:val="20"/>
                <w:szCs w:val="20"/>
                <w:color w:val="auto"/>
              </w:rPr>
            </w:pPr>
            <w:r>
              <w:rPr>
                <w:rFonts w:ascii="Times New Roman" w:cs="Times New Roman" w:eastAsia="Times New Roman" w:hAnsi="Times New Roman"/>
                <w:sz w:val="8"/>
                <w:szCs w:val="8"/>
                <w:color w:val="auto"/>
              </w:rPr>
              <w:t>(4.7)</w:t>
            </w:r>
          </w:p>
        </w:tc>
        <w:tc>
          <w:tcPr>
            <w:tcW w:w="80" w:type="dxa"/>
            <w:vAlign w:val="bottom"/>
          </w:tcPr>
          <w:p>
            <w:pPr>
              <w:spacing w:after="0"/>
              <w:rPr>
                <w:sz w:val="6"/>
                <w:szCs w:val="6"/>
                <w:color w:val="auto"/>
              </w:rPr>
            </w:pPr>
          </w:p>
        </w:tc>
        <w:tc>
          <w:tcPr>
            <w:tcW w:w="36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0.1</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0.7</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82.6</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715.0</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line="121" w:lineRule="exact"/>
              <w:rPr>
                <w:sz w:val="20"/>
                <w:szCs w:val="20"/>
                <w:color w:val="auto"/>
              </w:rPr>
            </w:pPr>
            <w:r>
              <w:rPr>
                <w:rFonts w:ascii="Times New Roman" w:cs="Times New Roman" w:eastAsia="Times New Roman" w:hAnsi="Times New Roman"/>
                <w:sz w:val="10"/>
                <w:szCs w:val="10"/>
                <w:color w:val="auto"/>
              </w:rPr>
              <w:t xml:space="preserve">Interest expense </w:t>
            </w:r>
            <w:r>
              <w:rPr>
                <w:rFonts w:ascii="Times New Roman" w:cs="Times New Roman" w:eastAsia="Times New Roman" w:hAnsi="Times New Roman"/>
                <w:sz w:val="12"/>
                <w:szCs w:val="12"/>
                <w:color w:val="auto"/>
                <w:vertAlign w:val="superscript"/>
              </w:rPr>
              <w:t>(2)</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(129.1)</w:t>
            </w:r>
          </w:p>
        </w:tc>
        <w:tc>
          <w:tcPr>
            <w:tcW w:w="18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(484.4)</w:t>
            </w:r>
          </w:p>
        </w:tc>
        <w:tc>
          <w:tcPr>
            <w:tcW w:w="12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(129.1)</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(484.4)</w:t>
            </w:r>
          </w:p>
        </w:tc>
        <w:tc>
          <w:tcPr>
            <w:tcW w:w="0" w:type="dxa"/>
            <w:vAlign w:val="bottom"/>
          </w:tcPr>
          <w:p>
            <w:pPr>
              <w:spacing w:after="0"/>
              <w:rPr>
                <w:sz w:val="1"/>
                <w:szCs w:val="1"/>
                <w:color w:val="auto"/>
              </w:rPr>
            </w:pPr>
          </w:p>
        </w:tc>
      </w:tr>
      <w:tr>
        <w:trPr>
          <w:trHeight w:val="95"/>
        </w:trPr>
        <w:tc>
          <w:tcPr>
            <w:tcW w:w="2340" w:type="dxa"/>
            <w:vAlign w:val="bottom"/>
          </w:tcPr>
          <w:p>
            <w:pPr>
              <w:spacing w:after="0" w:line="96" w:lineRule="exact"/>
              <w:rPr>
                <w:sz w:val="20"/>
                <w:szCs w:val="20"/>
                <w:color w:val="auto"/>
              </w:rPr>
            </w:pPr>
            <w:r>
              <w:rPr>
                <w:rFonts w:ascii="Times New Roman" w:cs="Times New Roman" w:eastAsia="Times New Roman" w:hAnsi="Times New Roman"/>
                <w:sz w:val="10"/>
                <w:szCs w:val="10"/>
                <w:color w:val="auto"/>
              </w:rPr>
              <w:t>Other income (expense),</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340" w:type="dxa"/>
            <w:vAlign w:val="bottom"/>
          </w:tcPr>
          <w:p>
            <w:pPr>
              <w:ind w:left="60"/>
              <w:spacing w:after="0" w:line="126" w:lineRule="exact"/>
              <w:rPr>
                <w:sz w:val="20"/>
                <w:szCs w:val="20"/>
                <w:color w:val="auto"/>
              </w:rPr>
            </w:pPr>
            <w:r>
              <w:rPr>
                <w:rFonts w:ascii="Times New Roman" w:cs="Times New Roman" w:eastAsia="Times New Roman" w:hAnsi="Times New Roman"/>
                <w:sz w:val="10"/>
                <w:szCs w:val="10"/>
                <w:color w:val="auto"/>
              </w:rPr>
              <w:t xml:space="preserve">net </w:t>
            </w:r>
            <w:r>
              <w:rPr>
                <w:rFonts w:ascii="Times New Roman" w:cs="Times New Roman" w:eastAsia="Times New Roman" w:hAnsi="Times New Roman"/>
                <w:sz w:val="12"/>
                <w:szCs w:val="12"/>
                <w:color w:val="auto"/>
                <w:vertAlign w:val="superscript"/>
              </w:rPr>
              <w:t>(3)</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(2.0)</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(11.1)</w:t>
            </w:r>
          </w:p>
        </w:tc>
        <w:tc>
          <w:tcPr>
            <w:tcW w:w="18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(13.9)</w:t>
            </w:r>
          </w:p>
        </w:tc>
        <w:tc>
          <w:tcPr>
            <w:tcW w:w="12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tcPr>
          <w:p>
            <w:pPr>
              <w:spacing w:after="0"/>
              <w:rPr>
                <w:sz w:val="10"/>
                <w:szCs w:val="10"/>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(8.2)</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(16.8)</w:t>
            </w:r>
          </w:p>
        </w:tc>
        <w:tc>
          <w:tcPr>
            <w:tcW w:w="0" w:type="dxa"/>
            <w:vAlign w:val="bottom"/>
          </w:tcPr>
          <w:p>
            <w:pPr>
              <w:spacing w:after="0"/>
              <w:rPr>
                <w:sz w:val="1"/>
                <w:szCs w:val="1"/>
                <w:color w:val="auto"/>
              </w:rPr>
            </w:pPr>
          </w:p>
        </w:tc>
      </w:tr>
      <w:tr>
        <w:trPr>
          <w:trHeight w:val="74"/>
        </w:trPr>
        <w:tc>
          <w:tcPr>
            <w:tcW w:w="2340" w:type="dxa"/>
            <w:vAlign w:val="bottom"/>
            <w:shd w:val="clear" w:color="auto" w:fill="CCECFF"/>
          </w:tcPr>
          <w:p>
            <w:pPr>
              <w:spacing w:after="0" w:line="74" w:lineRule="exact"/>
              <w:rPr>
                <w:sz w:val="20"/>
                <w:szCs w:val="20"/>
                <w:color w:val="auto"/>
              </w:rPr>
            </w:pPr>
            <w:r>
              <w:rPr>
                <w:rFonts w:ascii="Times New Roman" w:cs="Times New Roman" w:eastAsia="Times New Roman" w:hAnsi="Times New Roman"/>
                <w:sz w:val="8"/>
                <w:szCs w:val="8"/>
                <w:color w:val="auto"/>
              </w:rPr>
              <w:t>Income (loss) from</w:t>
            </w:r>
          </w:p>
        </w:tc>
        <w:tc>
          <w:tcPr>
            <w:tcW w:w="140" w:type="dxa"/>
            <w:vAlign w:val="bottom"/>
            <w:tcBorders>
              <w:top w:val="single" w:sz="8" w:color="auto"/>
            </w:tcBorders>
            <w:shd w:val="clear" w:color="auto" w:fill="CCECFF"/>
          </w:tcPr>
          <w:p>
            <w:pPr>
              <w:spacing w:after="0"/>
              <w:rPr>
                <w:sz w:val="6"/>
                <w:szCs w:val="6"/>
                <w:color w:val="auto"/>
              </w:rPr>
            </w:pPr>
          </w:p>
        </w:tc>
        <w:tc>
          <w:tcPr>
            <w:tcW w:w="52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80" w:type="dxa"/>
            <w:vAlign w:val="bottom"/>
            <w:tcBorders>
              <w:top w:val="single" w:sz="8" w:color="auto"/>
            </w:tcBorders>
            <w:shd w:val="clear" w:color="auto" w:fill="CCECFF"/>
          </w:tcPr>
          <w:p>
            <w:pPr>
              <w:spacing w:after="0"/>
              <w:rPr>
                <w:sz w:val="6"/>
                <w:szCs w:val="6"/>
                <w:color w:val="auto"/>
              </w:rPr>
            </w:pPr>
          </w:p>
        </w:tc>
        <w:tc>
          <w:tcPr>
            <w:tcW w:w="48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80" w:type="dxa"/>
            <w:vAlign w:val="bottom"/>
            <w:tcBorders>
              <w:top w:val="single" w:sz="8" w:color="auto"/>
            </w:tcBorders>
            <w:shd w:val="clear" w:color="auto" w:fill="CCECFF"/>
          </w:tcPr>
          <w:p>
            <w:pPr>
              <w:spacing w:after="0"/>
              <w:rPr>
                <w:sz w:val="6"/>
                <w:szCs w:val="6"/>
                <w:color w:val="auto"/>
              </w:rPr>
            </w:pPr>
          </w:p>
        </w:tc>
        <w:tc>
          <w:tcPr>
            <w:tcW w:w="62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80" w:type="dxa"/>
            <w:vAlign w:val="bottom"/>
            <w:tcBorders>
              <w:top w:val="single" w:sz="8" w:color="auto"/>
            </w:tcBorders>
            <w:shd w:val="clear" w:color="auto" w:fill="CCECFF"/>
          </w:tcPr>
          <w:p>
            <w:pPr>
              <w:spacing w:after="0"/>
              <w:rPr>
                <w:sz w:val="6"/>
                <w:szCs w:val="6"/>
                <w:color w:val="auto"/>
              </w:rPr>
            </w:pPr>
          </w:p>
        </w:tc>
        <w:tc>
          <w:tcPr>
            <w:tcW w:w="62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20" w:type="dxa"/>
            <w:vAlign w:val="bottom"/>
            <w:tcBorders>
              <w:top w:val="single" w:sz="8" w:color="auto"/>
            </w:tcBorders>
            <w:shd w:val="clear" w:color="auto" w:fill="CCECFF"/>
          </w:tcPr>
          <w:p>
            <w:pPr>
              <w:spacing w:after="0"/>
              <w:rPr>
                <w:sz w:val="6"/>
                <w:szCs w:val="6"/>
                <w:color w:val="auto"/>
              </w:rPr>
            </w:pPr>
          </w:p>
        </w:tc>
        <w:tc>
          <w:tcPr>
            <w:tcW w:w="46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60" w:type="dxa"/>
            <w:vAlign w:val="bottom"/>
            <w:tcBorders>
              <w:top w:val="single" w:sz="8" w:color="auto"/>
            </w:tcBorders>
            <w:shd w:val="clear" w:color="auto" w:fill="CCECFF"/>
          </w:tcPr>
          <w:p>
            <w:pPr>
              <w:spacing w:after="0"/>
              <w:rPr>
                <w:sz w:val="6"/>
                <w:szCs w:val="6"/>
                <w:color w:val="auto"/>
              </w:rPr>
            </w:pPr>
          </w:p>
        </w:tc>
        <w:tc>
          <w:tcPr>
            <w:tcW w:w="500" w:type="dxa"/>
            <w:vAlign w:val="bottom"/>
            <w:tcBorders>
              <w:top w:val="single" w:sz="8" w:color="auto"/>
            </w:tcBorders>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80" w:type="dxa"/>
            <w:vAlign w:val="bottom"/>
            <w:tcBorders>
              <w:top w:val="single" w:sz="8" w:color="auto"/>
            </w:tcBorders>
            <w:shd w:val="clear" w:color="auto" w:fill="CCECFF"/>
          </w:tcPr>
          <w:p>
            <w:pPr>
              <w:spacing w:after="0"/>
              <w:rPr>
                <w:sz w:val="6"/>
                <w:szCs w:val="6"/>
                <w:color w:val="auto"/>
              </w:rPr>
            </w:pPr>
          </w:p>
        </w:tc>
        <w:tc>
          <w:tcPr>
            <w:tcW w:w="360" w:type="dxa"/>
            <w:vAlign w:val="bottom"/>
            <w:tcBorders>
              <w:top w:val="single" w:sz="8" w:color="auto"/>
            </w:tcBorders>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140" w:type="dxa"/>
            <w:vAlign w:val="bottom"/>
            <w:tcBorders>
              <w:top w:val="single" w:sz="8" w:color="auto"/>
            </w:tcBorders>
            <w:shd w:val="clear" w:color="auto" w:fill="CCECFF"/>
          </w:tcPr>
          <w:p>
            <w:pPr>
              <w:spacing w:after="0"/>
              <w:rPr>
                <w:sz w:val="6"/>
                <w:szCs w:val="6"/>
                <w:color w:val="auto"/>
              </w:rPr>
            </w:pPr>
          </w:p>
        </w:tc>
        <w:tc>
          <w:tcPr>
            <w:tcW w:w="40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80" w:type="dxa"/>
            <w:vAlign w:val="bottom"/>
            <w:tcBorders>
              <w:top w:val="single" w:sz="8" w:color="auto"/>
            </w:tcBorders>
            <w:shd w:val="clear" w:color="auto" w:fill="CCECFF"/>
          </w:tcPr>
          <w:p>
            <w:pPr>
              <w:spacing w:after="0"/>
              <w:rPr>
                <w:sz w:val="6"/>
                <w:szCs w:val="6"/>
                <w:color w:val="auto"/>
              </w:rPr>
            </w:pPr>
          </w:p>
        </w:tc>
        <w:tc>
          <w:tcPr>
            <w:tcW w:w="360" w:type="dxa"/>
            <w:vAlign w:val="bottom"/>
            <w:tcBorders>
              <w:top w:val="single" w:sz="8" w:color="auto"/>
            </w:tcBorders>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100" w:type="dxa"/>
            <w:vAlign w:val="bottom"/>
            <w:tcBorders>
              <w:top w:val="single" w:sz="8" w:color="auto"/>
            </w:tcBorders>
            <w:shd w:val="clear" w:color="auto" w:fill="CCECFF"/>
          </w:tcPr>
          <w:p>
            <w:pPr>
              <w:spacing w:after="0"/>
              <w:rPr>
                <w:sz w:val="6"/>
                <w:szCs w:val="6"/>
                <w:color w:val="auto"/>
              </w:rPr>
            </w:pPr>
          </w:p>
        </w:tc>
        <w:tc>
          <w:tcPr>
            <w:tcW w:w="34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60" w:type="dxa"/>
            <w:vAlign w:val="bottom"/>
            <w:tcBorders>
              <w:top w:val="single" w:sz="8" w:color="auto"/>
            </w:tcBorders>
            <w:shd w:val="clear" w:color="auto" w:fill="CCECFF"/>
          </w:tcPr>
          <w:p>
            <w:pPr>
              <w:spacing w:after="0"/>
              <w:rPr>
                <w:sz w:val="6"/>
                <w:szCs w:val="6"/>
                <w:color w:val="auto"/>
              </w:rPr>
            </w:pPr>
          </w:p>
        </w:tc>
        <w:tc>
          <w:tcPr>
            <w:tcW w:w="620" w:type="dxa"/>
            <w:vAlign w:val="bottom"/>
            <w:tcBorders>
              <w:top w:val="single" w:sz="8" w:color="auto"/>
            </w:tcBorders>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180" w:type="dxa"/>
            <w:vAlign w:val="bottom"/>
            <w:tcBorders>
              <w:top w:val="single" w:sz="8" w:color="auto"/>
            </w:tcBorders>
            <w:shd w:val="clear" w:color="auto" w:fill="CCECFF"/>
          </w:tcPr>
          <w:p>
            <w:pPr>
              <w:spacing w:after="0"/>
              <w:rPr>
                <w:sz w:val="6"/>
                <w:szCs w:val="6"/>
                <w:color w:val="auto"/>
              </w:rPr>
            </w:pPr>
          </w:p>
        </w:tc>
        <w:tc>
          <w:tcPr>
            <w:tcW w:w="620" w:type="dxa"/>
            <w:vAlign w:val="bottom"/>
            <w:tcBorders>
              <w:top w:val="single" w:sz="8" w:color="auto"/>
            </w:tcBorders>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340" w:type="dxa"/>
            <w:vAlign w:val="bottom"/>
            <w:shd w:val="clear" w:color="auto" w:fill="CCECFF"/>
          </w:tcPr>
          <w:p>
            <w:pPr>
              <w:ind w:left="60"/>
              <w:spacing w:after="0" w:line="99" w:lineRule="exact"/>
              <w:rPr>
                <w:sz w:val="20"/>
                <w:szCs w:val="20"/>
                <w:color w:val="auto"/>
              </w:rPr>
            </w:pPr>
            <w:r>
              <w:rPr>
                <w:rFonts w:ascii="Times New Roman" w:cs="Times New Roman" w:eastAsia="Times New Roman" w:hAnsi="Times New Roman"/>
                <w:sz w:val="10"/>
                <w:szCs w:val="10"/>
                <w:color w:val="auto"/>
              </w:rPr>
              <w:t>operations of discontinued</w:t>
            </w:r>
          </w:p>
        </w:tc>
        <w:tc>
          <w:tcPr>
            <w:tcW w:w="1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48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340" w:type="dxa"/>
            <w:vAlign w:val="bottom"/>
            <w:shd w:val="clear" w:color="auto" w:fill="CCECFF"/>
          </w:tcPr>
          <w:p>
            <w:pPr>
              <w:ind w:left="60"/>
              <w:spacing w:after="0" w:line="99" w:lineRule="exact"/>
              <w:rPr>
                <w:sz w:val="20"/>
                <w:szCs w:val="20"/>
                <w:color w:val="auto"/>
              </w:rPr>
            </w:pPr>
            <w:r>
              <w:rPr>
                <w:rFonts w:ascii="Times New Roman" w:cs="Times New Roman" w:eastAsia="Times New Roman" w:hAnsi="Times New Roman"/>
                <w:sz w:val="10"/>
                <w:szCs w:val="10"/>
                <w:color w:val="auto"/>
              </w:rPr>
              <w:t>businesses before income</w:t>
            </w:r>
          </w:p>
        </w:tc>
        <w:tc>
          <w:tcPr>
            <w:tcW w:w="14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48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340" w:type="dxa"/>
            <w:vAlign w:val="bottom"/>
            <w:shd w:val="clear" w:color="auto" w:fill="CCECFF"/>
          </w:tcPr>
          <w:p>
            <w:pPr>
              <w:ind w:left="60"/>
              <w:spacing w:after="0" w:line="114" w:lineRule="exact"/>
              <w:rPr>
                <w:sz w:val="20"/>
                <w:szCs w:val="20"/>
                <w:color w:val="auto"/>
              </w:rPr>
            </w:pPr>
            <w:r>
              <w:rPr>
                <w:rFonts w:ascii="Times New Roman" w:cs="Times New Roman" w:eastAsia="Times New Roman" w:hAnsi="Times New Roman"/>
                <w:sz w:val="10"/>
                <w:szCs w:val="10"/>
                <w:color w:val="auto"/>
              </w:rPr>
              <w:t>taxes</w:t>
            </w:r>
          </w:p>
        </w:tc>
        <w:tc>
          <w:tcPr>
            <w:tcW w:w="140" w:type="dxa"/>
            <w:vAlign w:val="bottom"/>
            <w:shd w:val="clear" w:color="auto" w:fill="CCECFF"/>
          </w:tcPr>
          <w:p>
            <w:pPr>
              <w:spacing w:after="0"/>
              <w:rPr>
                <w:sz w:val="9"/>
                <w:szCs w:val="9"/>
                <w:color w:val="auto"/>
              </w:rPr>
            </w:pPr>
          </w:p>
        </w:tc>
        <w:tc>
          <w:tcPr>
            <w:tcW w:w="5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43.5</w:t>
            </w:r>
          </w:p>
        </w:tc>
        <w:tc>
          <w:tcPr>
            <w:tcW w:w="1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48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81.9</w:t>
            </w:r>
          </w:p>
        </w:tc>
        <w:tc>
          <w:tcPr>
            <w:tcW w:w="1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40" w:type="dxa"/>
            <w:vAlign w:val="bottom"/>
            <w:gridSpan w:val="2"/>
            <w:shd w:val="clear" w:color="auto" w:fill="CCEC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(99.8)</w:t>
            </w: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122.3</w:t>
            </w:r>
          </w:p>
        </w:tc>
        <w:tc>
          <w:tcPr>
            <w:tcW w:w="1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80" w:type="dxa"/>
            <w:vAlign w:val="bottom"/>
            <w:gridSpan w:val="2"/>
            <w:shd w:val="clear" w:color="auto" w:fill="CCEC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(0.8)</w:t>
            </w:r>
          </w:p>
        </w:tc>
        <w:tc>
          <w:tcPr>
            <w:tcW w:w="160" w:type="dxa"/>
            <w:vAlign w:val="bottom"/>
            <w:shd w:val="clear" w:color="auto" w:fill="CCECFF"/>
          </w:tcPr>
          <w:p>
            <w:pPr>
              <w:spacing w:after="0"/>
              <w:rPr>
                <w:sz w:val="9"/>
                <w:szCs w:val="9"/>
                <w:color w:val="auto"/>
              </w:rPr>
            </w:pPr>
          </w:p>
        </w:tc>
        <w:tc>
          <w:tcPr>
            <w:tcW w:w="50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13.4</w:t>
            </w:r>
          </w:p>
        </w:tc>
        <w:tc>
          <w:tcPr>
            <w:tcW w:w="1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360" w:type="dxa"/>
            <w:vAlign w:val="bottom"/>
            <w:shd w:val="clear" w:color="auto" w:fill="CCECFF"/>
          </w:tcPr>
          <w:p>
            <w:pPr>
              <w:ind w:left="260"/>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ind w:right="80"/>
              <w:spacing w:after="0" w:line="114" w:lineRule="exact"/>
              <w:rPr>
                <w:sz w:val="20"/>
                <w:szCs w:val="20"/>
                <w:color w:val="auto"/>
              </w:rPr>
            </w:pPr>
            <w:r>
              <w:rPr>
                <w:rFonts w:ascii="Times New Roman" w:cs="Times New Roman" w:eastAsia="Times New Roman" w:hAnsi="Times New Roman"/>
                <w:sz w:val="10"/>
                <w:szCs w:val="10"/>
                <w:color w:val="auto"/>
              </w:rPr>
              <w:t>(4.7)</w:t>
            </w:r>
          </w:p>
        </w:tc>
        <w:tc>
          <w:tcPr>
            <w:tcW w:w="80" w:type="dxa"/>
            <w:vAlign w:val="bottom"/>
            <w:shd w:val="clear" w:color="auto" w:fill="CCECFF"/>
          </w:tcPr>
          <w:p>
            <w:pPr>
              <w:spacing w:after="0"/>
              <w:rPr>
                <w:sz w:val="9"/>
                <w:szCs w:val="9"/>
                <w:color w:val="auto"/>
              </w:rPr>
            </w:pPr>
          </w:p>
        </w:tc>
        <w:tc>
          <w:tcPr>
            <w:tcW w:w="36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2.4</w:t>
            </w:r>
          </w:p>
        </w:tc>
        <w:tc>
          <w:tcPr>
            <w:tcW w:w="1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34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0.9</w:t>
            </w:r>
          </w:p>
        </w:tc>
        <w:tc>
          <w:tcPr>
            <w:tcW w:w="1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20" w:type="dxa"/>
            <w:vAlign w:val="bottom"/>
            <w:gridSpan w:val="2"/>
            <w:shd w:val="clear" w:color="auto" w:fill="CCECFF"/>
          </w:tcPr>
          <w:p>
            <w:pPr>
              <w:jc w:val="right"/>
              <w:ind w:right="60"/>
              <w:spacing w:after="0" w:line="114" w:lineRule="exact"/>
              <w:rPr>
                <w:sz w:val="20"/>
                <w:szCs w:val="20"/>
                <w:color w:val="auto"/>
              </w:rPr>
            </w:pPr>
            <w:r>
              <w:rPr>
                <w:rFonts w:ascii="Times New Roman" w:cs="Times New Roman" w:eastAsia="Times New Roman" w:hAnsi="Times New Roman"/>
                <w:sz w:val="10"/>
                <w:szCs w:val="10"/>
                <w:color w:val="auto"/>
              </w:rPr>
              <w:t>(54.7)</w:t>
            </w: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4" w:lineRule="exact"/>
              <w:rPr>
                <w:sz w:val="20"/>
                <w:szCs w:val="20"/>
                <w:color w:val="auto"/>
              </w:rPr>
            </w:pPr>
            <w:r>
              <w:rPr>
                <w:rFonts w:ascii="Times New Roman" w:cs="Times New Roman" w:eastAsia="Times New Roman" w:hAnsi="Times New Roman"/>
                <w:sz w:val="10"/>
                <w:szCs w:val="10"/>
                <w:color w:val="auto"/>
              </w:rPr>
              <w:t>213.8</w:t>
            </w: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34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Gain on disposal of</w:t>
            </w: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34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discontinued operations</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340" w:type="dxa"/>
            <w:vAlign w:val="bottom"/>
          </w:tcPr>
          <w:p>
            <w:pPr>
              <w:ind w:left="60"/>
              <w:spacing w:after="0" w:line="114" w:lineRule="exact"/>
              <w:rPr>
                <w:sz w:val="20"/>
                <w:szCs w:val="20"/>
                <w:color w:val="auto"/>
              </w:rPr>
            </w:pPr>
            <w:r>
              <w:rPr>
                <w:rFonts w:ascii="Times New Roman" w:cs="Times New Roman" w:eastAsia="Times New Roman" w:hAnsi="Times New Roman"/>
                <w:sz w:val="10"/>
                <w:szCs w:val="10"/>
                <w:color w:val="auto"/>
              </w:rPr>
              <w:t>before income taxes</w:t>
            </w:r>
          </w:p>
        </w:tc>
        <w:tc>
          <w:tcPr>
            <w:tcW w:w="1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1,258.6</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7,006.1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1.0</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869.0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ind w:left="260"/>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4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8,265.7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869.0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340" w:type="dxa"/>
            <w:vAlign w:val="bottom"/>
            <w:shd w:val="clear" w:color="auto" w:fill="CCECFF"/>
          </w:tcPr>
          <w:p>
            <w:pPr>
              <w:spacing w:after="0" w:line="99" w:lineRule="exact"/>
              <w:rPr>
                <w:sz w:val="20"/>
                <w:szCs w:val="20"/>
                <w:color w:val="auto"/>
              </w:rPr>
            </w:pPr>
            <w:r>
              <w:rPr>
                <w:rFonts w:ascii="Times New Roman" w:cs="Times New Roman" w:eastAsia="Times New Roman" w:hAnsi="Times New Roman"/>
                <w:sz w:val="10"/>
                <w:szCs w:val="10"/>
                <w:color w:val="auto"/>
              </w:rPr>
              <w:t>Income tax (expense) benefit</w:t>
            </w:r>
          </w:p>
        </w:tc>
        <w:tc>
          <w:tcPr>
            <w:tcW w:w="140" w:type="dxa"/>
            <w:vAlign w:val="bottom"/>
            <w:shd w:val="clear" w:color="auto" w:fill="CCECFF"/>
          </w:tcPr>
          <w:p>
            <w:pPr>
              <w:spacing w:after="0"/>
              <w:rPr>
                <w:sz w:val="8"/>
                <w:szCs w:val="8"/>
                <w:color w:val="auto"/>
              </w:rPr>
            </w:pPr>
          </w:p>
        </w:tc>
        <w:tc>
          <w:tcPr>
            <w:tcW w:w="520" w:type="dxa"/>
            <w:vAlign w:val="bottom"/>
            <w:shd w:val="clear" w:color="auto" w:fill="CCECFF"/>
          </w:tcPr>
          <w:p>
            <w:pPr>
              <w:jc w:val="right"/>
              <w:spacing w:after="0" w:line="99" w:lineRule="exact"/>
              <w:rPr>
                <w:sz w:val="20"/>
                <w:szCs w:val="20"/>
                <w:color w:val="auto"/>
              </w:rPr>
            </w:pPr>
            <w:r>
              <w:rPr>
                <w:rFonts w:ascii="Times New Roman" w:cs="Times New Roman" w:eastAsia="Times New Roman" w:hAnsi="Times New Roman"/>
                <w:sz w:val="10"/>
                <w:szCs w:val="10"/>
                <w:color w:val="auto"/>
              </w:rPr>
              <w:t>387.0</w:t>
            </w:r>
          </w:p>
        </w:tc>
        <w:tc>
          <w:tcPr>
            <w:tcW w:w="1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00" w:type="dxa"/>
            <w:vAlign w:val="bottom"/>
            <w:gridSpan w:val="2"/>
            <w:shd w:val="clear" w:color="auto" w:fill="CCEC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(26.9)</w:t>
            </w:r>
          </w:p>
        </w:tc>
        <w:tc>
          <w:tcPr>
            <w:tcW w:w="180" w:type="dxa"/>
            <w:vAlign w:val="bottom"/>
            <w:shd w:val="clear" w:color="auto" w:fill="CCECFF"/>
          </w:tcPr>
          <w:p>
            <w:pPr>
              <w:spacing w:after="0"/>
              <w:rPr>
                <w:sz w:val="8"/>
                <w:szCs w:val="8"/>
                <w:color w:val="auto"/>
              </w:rPr>
            </w:pPr>
          </w:p>
        </w:tc>
        <w:tc>
          <w:tcPr>
            <w:tcW w:w="740" w:type="dxa"/>
            <w:vAlign w:val="bottom"/>
            <w:gridSpan w:val="2"/>
            <w:shd w:val="clear" w:color="auto" w:fill="CCEC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(1,861.1)</w:t>
            </w:r>
          </w:p>
        </w:tc>
        <w:tc>
          <w:tcPr>
            <w:tcW w:w="180" w:type="dxa"/>
            <w:vAlign w:val="bottom"/>
            <w:shd w:val="clear" w:color="auto" w:fill="CCECFF"/>
          </w:tcPr>
          <w:p>
            <w:pPr>
              <w:spacing w:after="0"/>
              <w:rPr>
                <w:sz w:val="8"/>
                <w:szCs w:val="8"/>
                <w:color w:val="auto"/>
              </w:rPr>
            </w:pPr>
          </w:p>
        </w:tc>
        <w:tc>
          <w:tcPr>
            <w:tcW w:w="740" w:type="dxa"/>
            <w:vAlign w:val="bottom"/>
            <w:gridSpan w:val="2"/>
            <w:shd w:val="clear" w:color="auto" w:fill="CCEC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(70.8)</w:t>
            </w:r>
          </w:p>
        </w:tc>
        <w:tc>
          <w:tcPr>
            <w:tcW w:w="120" w:type="dxa"/>
            <w:vAlign w:val="bottom"/>
            <w:shd w:val="clear" w:color="auto" w:fill="CCECFF"/>
          </w:tcPr>
          <w:p>
            <w:pPr>
              <w:spacing w:after="0"/>
              <w:rPr>
                <w:sz w:val="8"/>
                <w:szCs w:val="8"/>
                <w:color w:val="auto"/>
              </w:rPr>
            </w:pPr>
          </w:p>
        </w:tc>
        <w:tc>
          <w:tcPr>
            <w:tcW w:w="580" w:type="dxa"/>
            <w:vAlign w:val="bottom"/>
            <w:gridSpan w:val="2"/>
            <w:shd w:val="clear" w:color="auto" w:fill="CCEC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8"/>
                <w:szCs w:val="8"/>
                <w:color w:val="auto"/>
              </w:rPr>
            </w:pPr>
          </w:p>
        </w:tc>
        <w:tc>
          <w:tcPr>
            <w:tcW w:w="600" w:type="dxa"/>
            <w:vAlign w:val="bottom"/>
            <w:gridSpan w:val="2"/>
            <w:shd w:val="clear" w:color="auto" w:fill="CCEC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(382.4)</w:t>
            </w:r>
          </w:p>
        </w:tc>
        <w:tc>
          <w:tcPr>
            <w:tcW w:w="80" w:type="dxa"/>
            <w:vAlign w:val="bottom"/>
            <w:shd w:val="clear" w:color="auto" w:fill="CCECFF"/>
          </w:tcPr>
          <w:p>
            <w:pPr>
              <w:spacing w:after="0"/>
              <w:rPr>
                <w:sz w:val="8"/>
                <w:szCs w:val="8"/>
                <w:color w:val="auto"/>
              </w:rPr>
            </w:pPr>
          </w:p>
        </w:tc>
        <w:tc>
          <w:tcPr>
            <w:tcW w:w="360" w:type="dxa"/>
            <w:vAlign w:val="bottom"/>
            <w:shd w:val="clear" w:color="auto" w:fill="CCECFF"/>
          </w:tcPr>
          <w:p>
            <w:pPr>
              <w:ind w:left="260"/>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400" w:type="dxa"/>
            <w:vAlign w:val="bottom"/>
            <w:shd w:val="clear" w:color="auto" w:fill="CCECFF"/>
          </w:tcPr>
          <w:p>
            <w:pPr>
              <w:jc w:val="right"/>
              <w:spacing w:after="0" w:line="99" w:lineRule="exact"/>
              <w:rPr>
                <w:sz w:val="20"/>
                <w:szCs w:val="20"/>
                <w:color w:val="auto"/>
              </w:rPr>
            </w:pPr>
            <w:r>
              <w:rPr>
                <w:rFonts w:ascii="Times New Roman" w:cs="Times New Roman" w:eastAsia="Times New Roman" w:hAnsi="Times New Roman"/>
                <w:sz w:val="10"/>
                <w:szCs w:val="10"/>
                <w:color w:val="auto"/>
              </w:rPr>
              <w:t>2.0</w:t>
            </w:r>
          </w:p>
        </w:tc>
        <w:tc>
          <w:tcPr>
            <w:tcW w:w="12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460" w:type="dxa"/>
            <w:vAlign w:val="bottom"/>
            <w:gridSpan w:val="2"/>
            <w:shd w:val="clear" w:color="auto" w:fill="CCEC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(0.6)</w:t>
            </w:r>
          </w:p>
        </w:tc>
        <w:tc>
          <w:tcPr>
            <w:tcW w:w="100" w:type="dxa"/>
            <w:vAlign w:val="bottom"/>
            <w:shd w:val="clear" w:color="auto" w:fill="CCECFF"/>
          </w:tcPr>
          <w:p>
            <w:pPr>
              <w:spacing w:after="0"/>
              <w:rPr>
                <w:sz w:val="8"/>
                <w:szCs w:val="8"/>
                <w:color w:val="auto"/>
              </w:rPr>
            </w:pPr>
          </w:p>
        </w:tc>
        <w:tc>
          <w:tcPr>
            <w:tcW w:w="460" w:type="dxa"/>
            <w:vAlign w:val="bottom"/>
            <w:gridSpan w:val="2"/>
            <w:shd w:val="clear" w:color="auto" w:fill="CCEC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8"/>
                <w:szCs w:val="8"/>
                <w:color w:val="auto"/>
              </w:rPr>
            </w:pPr>
          </w:p>
        </w:tc>
        <w:tc>
          <w:tcPr>
            <w:tcW w:w="720" w:type="dxa"/>
            <w:vAlign w:val="bottom"/>
            <w:gridSpan w:val="2"/>
            <w:shd w:val="clear" w:color="auto" w:fill="CCEC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(1,474.7)</w:t>
            </w:r>
          </w:p>
        </w:tc>
        <w:tc>
          <w:tcPr>
            <w:tcW w:w="180" w:type="dxa"/>
            <w:vAlign w:val="bottom"/>
            <w:shd w:val="clear" w:color="auto" w:fill="CCECFF"/>
          </w:tcPr>
          <w:p>
            <w:pPr>
              <w:spacing w:after="0"/>
              <w:rPr>
                <w:sz w:val="8"/>
                <w:szCs w:val="8"/>
                <w:color w:val="auto"/>
              </w:rPr>
            </w:pPr>
          </w:p>
        </w:tc>
        <w:tc>
          <w:tcPr>
            <w:tcW w:w="740" w:type="dxa"/>
            <w:vAlign w:val="bottom"/>
            <w:gridSpan w:val="2"/>
            <w:shd w:val="clear" w:color="auto" w:fill="CCEC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(478.1)</w:t>
            </w:r>
          </w:p>
        </w:tc>
        <w:tc>
          <w:tcPr>
            <w:tcW w:w="0" w:type="dxa"/>
            <w:vAlign w:val="bottom"/>
          </w:tcPr>
          <w:p>
            <w:pPr>
              <w:spacing w:after="0"/>
              <w:rPr>
                <w:sz w:val="1"/>
                <w:szCs w:val="1"/>
                <w:color w:val="auto"/>
              </w:rPr>
            </w:pPr>
          </w:p>
        </w:tc>
      </w:tr>
      <w:tr>
        <w:trPr>
          <w:trHeight w:val="74"/>
        </w:trPr>
        <w:tc>
          <w:tcPr>
            <w:tcW w:w="2340" w:type="dxa"/>
            <w:vAlign w:val="bottom"/>
            <w:tcBorders>
              <w:top w:val="single" w:sz="8" w:color="CCECFF"/>
            </w:tcBorders>
          </w:tcPr>
          <w:p>
            <w:pPr>
              <w:spacing w:after="0" w:line="74" w:lineRule="exact"/>
              <w:rPr>
                <w:sz w:val="20"/>
                <w:szCs w:val="20"/>
                <w:color w:val="auto"/>
              </w:rPr>
            </w:pPr>
            <w:r>
              <w:rPr>
                <w:rFonts w:ascii="Times New Roman" w:cs="Times New Roman" w:eastAsia="Times New Roman" w:hAnsi="Times New Roman"/>
                <w:sz w:val="8"/>
                <w:szCs w:val="8"/>
                <w:color w:val="auto"/>
              </w:rPr>
              <w:t>Income (loss) from</w:t>
            </w:r>
          </w:p>
        </w:tc>
        <w:tc>
          <w:tcPr>
            <w:tcW w:w="1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Borders>
              <w:top w:val="single" w:sz="8" w:color="CCEC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Borders>
              <w:top w:val="single" w:sz="8" w:color="CCECFF"/>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Borders>
              <w:top w:val="single" w:sz="8" w:color="CCEC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Borders>
              <w:top w:val="single" w:sz="8" w:color="CCEC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Borders>
              <w:top w:val="single" w:sz="8" w:color="CCECFF"/>
            </w:tcBorders>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34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discontinued operations,</w:t>
            </w:r>
          </w:p>
        </w:tc>
        <w:tc>
          <w:tcPr>
            <w:tcW w:w="140" w:type="dxa"/>
            <w:vAlign w:val="bottom"/>
            <w:vMerge w:val="restart"/>
          </w:tcPr>
          <w:p>
            <w:pPr>
              <w:jc w:val="right"/>
              <w:ind w:right="35"/>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1,689.1</w:t>
            </w:r>
          </w:p>
        </w:tc>
        <w:tc>
          <w:tcPr>
            <w:tcW w:w="120" w:type="dxa"/>
            <w:vAlign w:val="bottom"/>
          </w:tcPr>
          <w:p>
            <w:pPr>
              <w:spacing w:after="0"/>
              <w:rPr>
                <w:sz w:val="8"/>
                <w:szCs w:val="8"/>
                <w:color w:val="auto"/>
              </w:rPr>
            </w:pPr>
          </w:p>
        </w:tc>
        <w:tc>
          <w:tcPr>
            <w:tcW w:w="1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55.0</w:t>
            </w:r>
          </w:p>
        </w:tc>
        <w:tc>
          <w:tcPr>
            <w:tcW w:w="120" w:type="dxa"/>
            <w:vAlign w:val="bottom"/>
          </w:tcPr>
          <w:p>
            <w:pPr>
              <w:spacing w:after="0"/>
              <w:rPr>
                <w:sz w:val="8"/>
                <w:szCs w:val="8"/>
                <w:color w:val="auto"/>
              </w:rPr>
            </w:pPr>
          </w:p>
        </w:tc>
        <w:tc>
          <w:tcPr>
            <w:tcW w:w="180" w:type="dxa"/>
            <w:vAlign w:val="bottom"/>
            <w:vMerge w:val="restart"/>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5,045.2</w:t>
            </w:r>
          </w:p>
        </w:tc>
        <w:tc>
          <w:tcPr>
            <w:tcW w:w="120" w:type="dxa"/>
            <w:vAlign w:val="bottom"/>
          </w:tcPr>
          <w:p>
            <w:pPr>
              <w:spacing w:after="0"/>
              <w:rPr>
                <w:sz w:val="8"/>
                <w:szCs w:val="8"/>
                <w:color w:val="auto"/>
              </w:rPr>
            </w:pPr>
          </w:p>
        </w:tc>
        <w:tc>
          <w:tcPr>
            <w:tcW w:w="180" w:type="dxa"/>
            <w:vAlign w:val="bottom"/>
            <w:vMerge w:val="restart"/>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51.5</w:t>
            </w:r>
          </w:p>
        </w:tc>
        <w:tc>
          <w:tcPr>
            <w:tcW w:w="120" w:type="dxa"/>
            <w:vAlign w:val="bottom"/>
          </w:tcPr>
          <w:p>
            <w:pPr>
              <w:spacing w:after="0"/>
              <w:rPr>
                <w:sz w:val="8"/>
                <w:szCs w:val="8"/>
                <w:color w:val="auto"/>
              </w:rPr>
            </w:pPr>
          </w:p>
        </w:tc>
        <w:tc>
          <w:tcPr>
            <w:tcW w:w="120" w:type="dxa"/>
            <w:vAlign w:val="bottom"/>
            <w:vMerge w:val="restart"/>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120" w:type="dxa"/>
            <w:vAlign w:val="bottom"/>
          </w:tcPr>
          <w:p>
            <w:pPr>
              <w:spacing w:after="0"/>
              <w:rPr>
                <w:sz w:val="8"/>
                <w:szCs w:val="8"/>
                <w:color w:val="auto"/>
              </w:rPr>
            </w:pPr>
          </w:p>
        </w:tc>
        <w:tc>
          <w:tcPr>
            <w:tcW w:w="160" w:type="dxa"/>
            <w:vAlign w:val="bottom"/>
            <w:vMerge w:val="restart"/>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100" w:type="dxa"/>
            <w:vAlign w:val="bottom"/>
          </w:tcPr>
          <w:p>
            <w:pPr>
              <w:spacing w:after="0"/>
              <w:rPr>
                <w:sz w:val="8"/>
                <w:szCs w:val="8"/>
                <w:color w:val="auto"/>
              </w:rPr>
            </w:pPr>
          </w:p>
        </w:tc>
        <w:tc>
          <w:tcPr>
            <w:tcW w:w="80" w:type="dxa"/>
            <w:vAlign w:val="bottom"/>
            <w:vMerge w:val="restart"/>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8"/>
                <w:szCs w:val="8"/>
                <w:color w:val="auto"/>
              </w:rPr>
            </w:pPr>
          </w:p>
        </w:tc>
        <w:tc>
          <w:tcPr>
            <w:tcW w:w="1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(2.7)</w:t>
            </w:r>
          </w:p>
        </w:tc>
        <w:tc>
          <w:tcPr>
            <w:tcW w:w="80" w:type="dxa"/>
            <w:vAlign w:val="bottom"/>
            <w:vMerge w:val="restart"/>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120" w:type="dxa"/>
            <w:vAlign w:val="bottom"/>
          </w:tcPr>
          <w:p>
            <w:pPr>
              <w:spacing w:after="0"/>
              <w:rPr>
                <w:sz w:val="8"/>
                <w:szCs w:val="8"/>
                <w:color w:val="auto"/>
              </w:rPr>
            </w:pPr>
          </w:p>
        </w:tc>
        <w:tc>
          <w:tcPr>
            <w:tcW w:w="160" w:type="dxa"/>
            <w:vAlign w:val="bottom"/>
            <w:vMerge w:val="restart"/>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6,736.3</w:t>
            </w:r>
          </w:p>
        </w:tc>
        <w:tc>
          <w:tcPr>
            <w:tcW w:w="100" w:type="dxa"/>
            <w:vAlign w:val="bottom"/>
          </w:tcPr>
          <w:p>
            <w:pPr>
              <w:spacing w:after="0"/>
              <w:rPr>
                <w:sz w:val="8"/>
                <w:szCs w:val="8"/>
                <w:color w:val="auto"/>
              </w:rPr>
            </w:pPr>
          </w:p>
        </w:tc>
        <w:tc>
          <w:tcPr>
            <w:tcW w:w="180" w:type="dxa"/>
            <w:vAlign w:val="bottom"/>
            <w:vMerge w:val="restart"/>
          </w:tcPr>
          <w:p>
            <w:pPr>
              <w:jc w:val="right"/>
              <w:ind w:right="7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604.7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34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auto"/>
              </w:rPr>
              <w:t>net of income taxes</w:t>
            </w: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-1691005</wp:posOffset>
            </wp:positionV>
            <wp:extent cx="7178040" cy="62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-908050</wp:posOffset>
            </wp:positionV>
            <wp:extent cx="7178040" cy="742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7429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-976630</wp:posOffset>
            </wp:positionV>
            <wp:extent cx="7429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-976630</wp:posOffset>
            </wp:positionV>
            <wp:extent cx="7429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-976630</wp:posOffset>
            </wp:positionV>
            <wp:extent cx="7429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-1057910</wp:posOffset>
            </wp:positionV>
            <wp:extent cx="99695" cy="996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-1057910</wp:posOffset>
            </wp:positionV>
            <wp:extent cx="99695" cy="996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-1057910</wp:posOffset>
            </wp:positionV>
            <wp:extent cx="93980" cy="996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4845050</wp:posOffset>
            </wp:positionH>
            <wp:positionV relativeFrom="paragraph">
              <wp:posOffset>-1057910</wp:posOffset>
            </wp:positionV>
            <wp:extent cx="93980" cy="996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-1057910</wp:posOffset>
            </wp:positionV>
            <wp:extent cx="93980" cy="996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-1057910</wp:posOffset>
            </wp:positionV>
            <wp:extent cx="93980" cy="996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-1057910</wp:posOffset>
            </wp:positionV>
            <wp:extent cx="93980" cy="996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-1057910</wp:posOffset>
            </wp:positionV>
            <wp:extent cx="93980" cy="996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-1057910</wp:posOffset>
            </wp:positionV>
            <wp:extent cx="93980" cy="996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9969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-193675</wp:posOffset>
            </wp:positionV>
            <wp:extent cx="7429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-193675</wp:posOffset>
            </wp:positionV>
            <wp:extent cx="7429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-193675</wp:posOffset>
            </wp:positionV>
            <wp:extent cx="7429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-193675</wp:posOffset>
            </wp:positionV>
            <wp:extent cx="7429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-193675</wp:posOffset>
            </wp:positionV>
            <wp:extent cx="7429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-193675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-193675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-193675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-193675</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-193675</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6532245</wp:posOffset>
            </wp:positionH>
            <wp:positionV relativeFrom="paragraph">
              <wp:posOffset>-193675</wp:posOffset>
            </wp:positionV>
            <wp:extent cx="685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-193675</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7" w:lineRule="exact"/>
        <w:rPr>
          <w:sz w:val="20"/>
          <w:szCs w:val="20"/>
          <w:color w:val="auto"/>
        </w:rPr>
      </w:pPr>
    </w:p>
    <w:p>
      <w:pPr>
        <w:ind w:left="508" w:right="340" w:hanging="508"/>
        <w:spacing w:after="0" w:line="296" w:lineRule="auto"/>
        <w:tabs>
          <w:tab w:leader="none" w:pos="508"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nine months ended September 30, 2026, the Company received $26.1 million related to tariff refund claims associated with products sold by its previously divested CCS business. The amount reflects the settlement and recovery of tariffs previously paid on imported products and is included in the results of discontinued operations for the period presented.</w:t>
      </w:r>
    </w:p>
    <w:p>
      <w:pPr>
        <w:spacing w:after="0" w:line="12" w:lineRule="exact"/>
        <w:rPr>
          <w:rFonts w:ascii="Times New Roman" w:cs="Times New Roman" w:eastAsia="Times New Roman" w:hAnsi="Times New Roman"/>
          <w:sz w:val="11"/>
          <w:szCs w:val="11"/>
          <w:color w:val="auto"/>
        </w:rPr>
      </w:pPr>
    </w:p>
    <w:p>
      <w:pPr>
        <w:ind w:left="508" w:right="60" w:hanging="508"/>
        <w:spacing w:after="0" w:line="146" w:lineRule="exact"/>
        <w:tabs>
          <w:tab w:leader="none" w:pos="508"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connection with the sale of the CCS segment that was completed on January 9, 2026, the terms of the Purchase Agreement with Amphenol required that the CCS segment be transferred on a debt</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free basis, and therefore, the Company repaid its third</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party borrowings at closing using a portion of the proceeds from the sale of the CCS segment. Accordingly, all third-party debt obligations remained classified as long-term debt on the Condensed Consolidated Balance Sheets as of December 31, 2025. However, in accordance with accounting guidance, interest expense on debt that is required to be repaid as a direct result of a disposal transaction that qualifies as a discontinued operation is reported within discontinued operations. Because the closing of the divestiture required repayment of all outstanding third</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party debt due to the contractual requirement to deliver the business debt</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free, all interest expense, including the write-off of $101.3 million of </w:t>
      </w:r>
      <w:r>
        <w:rPr>
          <w:rFonts w:ascii="Times New Roman" w:cs="Times New Roman" w:eastAsia="Times New Roman" w:hAnsi="Times New Roman"/>
          <w:sz w:val="11"/>
          <w:szCs w:val="11"/>
          <w:color w:val="212529"/>
        </w:rPr>
        <w:t>unamortized debt issuance costs and original issuance discount associated with the debt redemption,</w:t>
      </w:r>
      <w:r>
        <w:rPr>
          <w:rFonts w:ascii="Times New Roman" w:cs="Times New Roman" w:eastAsia="Times New Roman" w:hAnsi="Times New Roman"/>
          <w:sz w:val="11"/>
          <w:szCs w:val="11"/>
          <w:color w:val="auto"/>
        </w:rPr>
        <w:t xml:space="preserve"> has been presented within discontinued operations for all periods presented.</w:t>
      </w:r>
    </w:p>
    <w:p>
      <w:pPr>
        <w:spacing w:after="0" w:line="25" w:lineRule="exact"/>
        <w:rPr>
          <w:rFonts w:ascii="Times New Roman" w:cs="Times New Roman" w:eastAsia="Times New Roman" w:hAnsi="Times New Roman"/>
          <w:sz w:val="11"/>
          <w:szCs w:val="11"/>
          <w:color w:val="auto"/>
        </w:rPr>
      </w:pPr>
    </w:p>
    <w:p>
      <w:pPr>
        <w:ind w:left="508" w:hanging="508"/>
        <w:spacing w:after="0"/>
        <w:tabs>
          <w:tab w:leader="none" w:pos="508"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 loss of $11.3 million on the extinguishment of debt, for the nine months ended September 30, 2026, associated with the divestiture of the CCS segment.</w:t>
      </w:r>
    </w:p>
    <w:p>
      <w:pPr>
        <w:spacing w:after="0" w:line="1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balance sheet information for assets and liabilities held for sale related to the discontinued operations:</w:t>
      </w:r>
    </w:p>
    <w:p>
      <w:pPr>
        <w:spacing w:after="0" w:line="180"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0"/>
          <w:szCs w:val="10"/>
          <w:b w:val="1"/>
          <w:bCs w:val="1"/>
          <w:color w:val="auto"/>
        </w:rPr>
        <w:t>December 31, 2025</w:t>
      </w:r>
    </w:p>
    <w:p>
      <w:pPr>
        <w:sectPr>
          <w:pgSz w:w="11900" w:h="16838" w:orient="portrait"/>
          <w:cols w:equalWidth="0" w:num="1">
            <w:col w:w="11300"/>
          </w:cols>
          <w:pgMar w:left="300" w:top="557" w:right="29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Accounts receivable,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Inventories,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Prepaid expenses and other current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plant and equipment,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Goodwill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intangible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income taxes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assets</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Total current assets held for sale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plant and equipment,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Goodwill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intangible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1640" w:type="dxa"/>
            <w:vAlign w:val="bottom"/>
            <w:tcBorders>
              <w:top w:val="single" w:sz="8" w:color="auto"/>
            </w:tcBorders>
          </w:tcPr>
          <w:p>
            <w:pPr>
              <w:jc w:val="right"/>
              <w:ind w:right="15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309.2</w:t>
            </w:r>
          </w:p>
        </w:tc>
      </w:tr>
      <w:tr>
        <w:trPr>
          <w:trHeight w:val="144"/>
        </w:trPr>
        <w:tc>
          <w:tcPr>
            <w:tcW w:w="164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703.5</w:t>
            </w:r>
          </w:p>
        </w:tc>
      </w:tr>
      <w:tr>
        <w:trPr>
          <w:trHeight w:val="144"/>
        </w:trPr>
        <w:tc>
          <w:tcPr>
            <w:tcW w:w="164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584.2</w:t>
            </w:r>
          </w:p>
        </w:tc>
      </w:tr>
      <w:tr>
        <w:trPr>
          <w:trHeight w:val="144"/>
        </w:trPr>
        <w:tc>
          <w:tcPr>
            <w:tcW w:w="164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w:t>
            </w:r>
          </w:p>
        </w:tc>
      </w:tr>
      <w:tr>
        <w:trPr>
          <w:trHeight w:val="144"/>
        </w:trPr>
        <w:tc>
          <w:tcPr>
            <w:tcW w:w="164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293.4</w:t>
            </w:r>
          </w:p>
        </w:tc>
      </w:tr>
      <w:tr>
        <w:trPr>
          <w:trHeight w:val="144"/>
        </w:trPr>
        <w:tc>
          <w:tcPr>
            <w:tcW w:w="164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2,160.6</w:t>
            </w:r>
          </w:p>
        </w:tc>
      </w:tr>
      <w:tr>
        <w:trPr>
          <w:trHeight w:val="144"/>
        </w:trPr>
        <w:tc>
          <w:tcPr>
            <w:tcW w:w="164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186.0</w:t>
            </w:r>
          </w:p>
        </w:tc>
      </w:tr>
      <w:tr>
        <w:trPr>
          <w:trHeight w:val="144"/>
        </w:trPr>
        <w:tc>
          <w:tcPr>
            <w:tcW w:w="164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w:t>
            </w:r>
          </w:p>
        </w:tc>
      </w:tr>
      <w:tr>
        <w:trPr>
          <w:trHeight w:val="155"/>
        </w:trPr>
        <w:tc>
          <w:tcPr>
            <w:tcW w:w="16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193.7</w:t>
            </w:r>
          </w:p>
        </w:tc>
      </w:tr>
      <w:tr>
        <w:trPr>
          <w:trHeight w:val="133"/>
        </w:trPr>
        <w:tc>
          <w:tcPr>
            <w:tcW w:w="1640" w:type="dxa"/>
            <w:vAlign w:val="bottom"/>
            <w:tcBorders>
              <w:bottom w:val="single" w:sz="8" w:color="auto"/>
            </w:tcBorders>
          </w:tcPr>
          <w:p>
            <w:pPr>
              <w:jc w:val="right"/>
              <w:ind w:right="1526"/>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4,624.6</w:t>
            </w:r>
          </w:p>
        </w:tc>
      </w:tr>
      <w:tr>
        <w:trPr>
          <w:trHeight w:val="122"/>
        </w:trPr>
        <w:tc>
          <w:tcPr>
            <w:tcW w:w="1640" w:type="dxa"/>
            <w:vAlign w:val="bottom"/>
          </w:tcPr>
          <w:p>
            <w:pPr>
              <w:spacing w:after="0"/>
              <w:rPr>
                <w:sz w:val="10"/>
                <w:szCs w:val="10"/>
                <w:color w:val="auto"/>
              </w:rPr>
            </w:pPr>
          </w:p>
        </w:tc>
        <w:tc>
          <w:tcPr>
            <w:tcW w:w="192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8.3</w:t>
            </w:r>
          </w:p>
        </w:tc>
      </w:tr>
      <w:tr>
        <w:trPr>
          <w:trHeight w:val="144"/>
        </w:trPr>
        <w:tc>
          <w:tcPr>
            <w:tcW w:w="164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495.9</w:t>
            </w:r>
          </w:p>
        </w:tc>
      </w:tr>
      <w:tr>
        <w:trPr>
          <w:trHeight w:val="144"/>
        </w:trPr>
        <w:tc>
          <w:tcPr>
            <w:tcW w:w="164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120.1</w:t>
            </w:r>
          </w:p>
        </w:tc>
      </w:tr>
      <w:tr>
        <w:trPr>
          <w:trHeight w:val="153"/>
        </w:trPr>
        <w:tc>
          <w:tcPr>
            <w:tcW w:w="164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-1289685</wp:posOffset>
            </wp:positionV>
            <wp:extent cx="7178040" cy="914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-1106805</wp:posOffset>
            </wp:positionV>
            <wp:extent cx="7178040" cy="914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-923925</wp:posOffset>
            </wp:positionV>
            <wp:extent cx="7178040" cy="914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-741045</wp:posOffset>
            </wp:positionV>
            <wp:extent cx="7178040" cy="914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-363855</wp:posOffset>
            </wp:positionV>
            <wp:extent cx="7178040" cy="914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-180975</wp:posOffset>
            </wp:positionV>
            <wp:extent cx="7178040" cy="914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-558165</wp:posOffset>
            </wp:positionV>
            <wp:extent cx="7178040" cy="971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6900" w:space="720"/>
            <w:col w:w="3680"/>
          </w:cols>
          <w:pgMar w:left="300" w:top="557" w:right="29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37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3880" w:type="dxa"/>
            <w:vAlign w:val="bottom"/>
            <w:tcBorders>
              <w:bottom w:val="single" w:sz="8" w:color="CCECFF"/>
            </w:tcBorders>
            <w:shd w:val="clear" w:color="auto" w:fill="CCECFF"/>
          </w:tcPr>
          <w:p>
            <w:pPr>
              <w:spacing w:after="0"/>
              <w:rPr>
                <w:sz w:val="12"/>
                <w:szCs w:val="12"/>
                <w:color w:val="auto"/>
              </w:rPr>
            </w:pPr>
          </w:p>
        </w:tc>
        <w:tc>
          <w:tcPr>
            <w:tcW w:w="1640" w:type="dxa"/>
            <w:vAlign w:val="bottom"/>
            <w:tcBorders>
              <w:bottom w:val="single" w:sz="8" w:color="auto"/>
            </w:tcBorders>
            <w:shd w:val="clear" w:color="auto" w:fill="CCECFF"/>
          </w:tcPr>
          <w:p>
            <w:pPr>
              <w:spacing w:after="0"/>
              <w:rPr>
                <w:sz w:val="12"/>
                <w:szCs w:val="12"/>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33"/>
        </w:trPr>
        <w:tc>
          <w:tcPr>
            <w:tcW w:w="37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noncurrent assets</w:t>
            </w:r>
          </w:p>
        </w:tc>
        <w:tc>
          <w:tcPr>
            <w:tcW w:w="3880" w:type="dxa"/>
            <w:vAlign w:val="bottom"/>
          </w:tcPr>
          <w:p>
            <w:pPr>
              <w:spacing w:after="0"/>
              <w:rPr>
                <w:sz w:val="11"/>
                <w:szCs w:val="11"/>
                <w:color w:val="auto"/>
              </w:rPr>
            </w:pPr>
          </w:p>
        </w:tc>
        <w:tc>
          <w:tcPr>
            <w:tcW w:w="1640" w:type="dxa"/>
            <w:vAlign w:val="bottom"/>
            <w:tcBorders>
              <w:bottom w:val="single" w:sz="8" w:color="auto"/>
            </w:tcBorders>
          </w:tcPr>
          <w:p>
            <w:pPr>
              <w:jc w:val="right"/>
              <w:ind w:right="1526"/>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696.0</w:t>
            </w:r>
          </w:p>
        </w:tc>
        <w:tc>
          <w:tcPr>
            <w:tcW w:w="120" w:type="dxa"/>
            <w:vAlign w:val="bottom"/>
          </w:tcPr>
          <w:p>
            <w:pPr>
              <w:spacing w:after="0"/>
              <w:rPr>
                <w:sz w:val="11"/>
                <w:szCs w:val="11"/>
                <w:color w:val="auto"/>
              </w:rPr>
            </w:pPr>
          </w:p>
        </w:tc>
      </w:tr>
      <w:tr>
        <w:trPr>
          <w:trHeight w:val="140"/>
        </w:trPr>
        <w:tc>
          <w:tcPr>
            <w:tcW w:w="3740" w:type="dxa"/>
            <w:vAlign w:val="bottom"/>
            <w:shd w:val="clear" w:color="auto" w:fill="CCEC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assets held for sale</w:t>
            </w:r>
          </w:p>
        </w:tc>
        <w:tc>
          <w:tcPr>
            <w:tcW w:w="5520" w:type="dxa"/>
            <w:vAlign w:val="bottom"/>
            <w:gridSpan w:val="2"/>
            <w:shd w:val="clear" w:color="auto" w:fill="CCECFF"/>
          </w:tcPr>
          <w:p>
            <w:pPr>
              <w:jc w:val="right"/>
              <w:ind w:right="152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9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5,320.6</w:t>
            </w:r>
          </w:p>
        </w:tc>
        <w:tc>
          <w:tcPr>
            <w:tcW w:w="120" w:type="dxa"/>
            <w:vAlign w:val="bottom"/>
            <w:shd w:val="clear" w:color="auto" w:fill="CCECFF"/>
          </w:tcPr>
          <w:p>
            <w:pPr>
              <w:spacing w:after="0"/>
              <w:rPr>
                <w:sz w:val="12"/>
                <w:szCs w:val="12"/>
                <w:color w:val="auto"/>
              </w:rPr>
            </w:pPr>
          </w:p>
        </w:tc>
      </w:tr>
      <w:tr>
        <w:trPr>
          <w:trHeight w:val="144"/>
        </w:trPr>
        <w:tc>
          <w:tcPr>
            <w:tcW w:w="3740" w:type="dxa"/>
            <w:vAlign w:val="bottom"/>
            <w:tcBorders>
              <w:top w:val="single" w:sz="8" w:color="CCECFF"/>
            </w:tcBorders>
          </w:tcPr>
          <w:p>
            <w:pPr>
              <w:spacing w:after="0"/>
              <w:rPr>
                <w:sz w:val="12"/>
                <w:szCs w:val="12"/>
                <w:color w:val="auto"/>
              </w:rPr>
            </w:pPr>
          </w:p>
        </w:tc>
        <w:tc>
          <w:tcPr>
            <w:tcW w:w="3880" w:type="dxa"/>
            <w:vAlign w:val="bottom"/>
            <w:tcBorders>
              <w:top w:val="single" w:sz="8" w:color="CCECFF"/>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20" w:type="dxa"/>
            <w:vAlign w:val="bottom"/>
            <w:tcBorders>
              <w:top w:val="single" w:sz="8" w:color="CCECFF"/>
            </w:tcBorders>
          </w:tcPr>
          <w:p>
            <w:pPr>
              <w:spacing w:after="0"/>
              <w:rPr>
                <w:sz w:val="12"/>
                <w:szCs w:val="12"/>
                <w:color w:val="auto"/>
              </w:rPr>
            </w:pPr>
          </w:p>
        </w:tc>
      </w:tr>
      <w:tr>
        <w:trPr>
          <w:trHeight w:val="144"/>
        </w:trPr>
        <w:tc>
          <w:tcPr>
            <w:tcW w:w="37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5520" w:type="dxa"/>
            <w:vAlign w:val="bottom"/>
            <w:gridSpan w:val="2"/>
            <w:shd w:val="clear" w:color="auto" w:fill="CCECFF"/>
          </w:tcPr>
          <w:p>
            <w:pPr>
              <w:jc w:val="right"/>
              <w:ind w:right="1526"/>
              <w:spacing w:after="0"/>
              <w:rPr>
                <w:sz w:val="20"/>
                <w:szCs w:val="20"/>
                <w:color w:val="auto"/>
              </w:rPr>
            </w:pPr>
            <w:r>
              <w:rPr>
                <w:rFonts w:ascii="Times New Roman" w:cs="Times New Roman" w:eastAsia="Times New Roman" w:hAnsi="Times New Roman"/>
                <w:sz w:val="12"/>
                <w:szCs w:val="12"/>
                <w:color w:val="auto"/>
              </w:rPr>
              <w:t>$</w:t>
            </w: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474.1</w:t>
            </w:r>
          </w:p>
        </w:tc>
        <w:tc>
          <w:tcPr>
            <w:tcW w:w="120" w:type="dxa"/>
            <w:vAlign w:val="bottom"/>
            <w:shd w:val="clear" w:color="auto" w:fill="CCECFF"/>
          </w:tcPr>
          <w:p>
            <w:pPr>
              <w:spacing w:after="0"/>
              <w:rPr>
                <w:sz w:val="12"/>
                <w:szCs w:val="12"/>
                <w:color w:val="auto"/>
              </w:rPr>
            </w:pPr>
          </w:p>
        </w:tc>
      </w:tr>
      <w:tr>
        <w:trPr>
          <w:trHeight w:val="144"/>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Accrued and other liabilities</w:t>
            </w:r>
          </w:p>
        </w:tc>
        <w:tc>
          <w:tcPr>
            <w:tcW w:w="3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531.1</w:t>
            </w:r>
          </w:p>
        </w:tc>
        <w:tc>
          <w:tcPr>
            <w:tcW w:w="120" w:type="dxa"/>
            <w:vAlign w:val="bottom"/>
          </w:tcPr>
          <w:p>
            <w:pPr>
              <w:spacing w:after="0"/>
              <w:rPr>
                <w:sz w:val="12"/>
                <w:szCs w:val="12"/>
                <w:color w:val="auto"/>
              </w:rPr>
            </w:pPr>
          </w:p>
        </w:tc>
      </w:tr>
      <w:tr>
        <w:trPr>
          <w:trHeight w:val="144"/>
        </w:trPr>
        <w:tc>
          <w:tcPr>
            <w:tcW w:w="37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880" w:type="dxa"/>
            <w:vAlign w:val="bottom"/>
            <w:shd w:val="clear" w:color="auto" w:fill="CCECFF"/>
          </w:tcPr>
          <w:p>
            <w:pPr>
              <w:spacing w:after="0"/>
              <w:rPr>
                <w:sz w:val="12"/>
                <w:szCs w:val="12"/>
                <w:color w:val="auto"/>
              </w:rPr>
            </w:pPr>
          </w:p>
        </w:tc>
        <w:tc>
          <w:tcPr>
            <w:tcW w:w="1640" w:type="dxa"/>
            <w:vAlign w:val="bottom"/>
            <w:tcBorders>
              <w:bottom w:val="single" w:sz="8" w:color="auto"/>
            </w:tcBorders>
            <w:shd w:val="clear" w:color="auto" w:fill="CCECFF"/>
          </w:tcPr>
          <w:p>
            <w:pPr>
              <w:spacing w:after="0"/>
              <w:rPr>
                <w:sz w:val="12"/>
                <w:szCs w:val="12"/>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120" w:type="dxa"/>
            <w:vAlign w:val="bottom"/>
            <w:shd w:val="clear" w:color="auto" w:fill="CCECFF"/>
          </w:tcPr>
          <w:p>
            <w:pPr>
              <w:spacing w:after="0"/>
              <w:rPr>
                <w:sz w:val="12"/>
                <w:szCs w:val="12"/>
                <w:color w:val="auto"/>
              </w:rPr>
            </w:pPr>
          </w:p>
        </w:tc>
      </w:tr>
      <w:tr>
        <w:trPr>
          <w:trHeight w:val="133"/>
        </w:trPr>
        <w:tc>
          <w:tcPr>
            <w:tcW w:w="374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Total current liabilities held for sale</w:t>
            </w:r>
          </w:p>
        </w:tc>
        <w:tc>
          <w:tcPr>
            <w:tcW w:w="3880" w:type="dxa"/>
            <w:vAlign w:val="bottom"/>
          </w:tcPr>
          <w:p>
            <w:pPr>
              <w:spacing w:after="0"/>
              <w:rPr>
                <w:sz w:val="11"/>
                <w:szCs w:val="11"/>
                <w:color w:val="auto"/>
              </w:rPr>
            </w:pPr>
          </w:p>
        </w:tc>
        <w:tc>
          <w:tcPr>
            <w:tcW w:w="1640" w:type="dxa"/>
            <w:vAlign w:val="bottom"/>
          </w:tcPr>
          <w:p>
            <w:pPr>
              <w:jc w:val="right"/>
              <w:ind w:right="1526"/>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1,027.4</w:t>
            </w:r>
          </w:p>
        </w:tc>
        <w:tc>
          <w:tcPr>
            <w:tcW w:w="120" w:type="dxa"/>
            <w:vAlign w:val="bottom"/>
          </w:tcPr>
          <w:p>
            <w:pPr>
              <w:spacing w:after="0"/>
              <w:rPr>
                <w:sz w:val="11"/>
                <w:szCs w:val="11"/>
                <w:color w:val="auto"/>
              </w:rPr>
            </w:pPr>
          </w:p>
        </w:tc>
      </w:tr>
      <w:tr>
        <w:trPr>
          <w:trHeight w:val="144"/>
        </w:trPr>
        <w:tc>
          <w:tcPr>
            <w:tcW w:w="37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3880" w:type="dxa"/>
            <w:vAlign w:val="bottom"/>
            <w:shd w:val="clear" w:color="auto" w:fill="CCECFF"/>
          </w:tcPr>
          <w:p>
            <w:pPr>
              <w:spacing w:after="0"/>
              <w:rPr>
                <w:sz w:val="12"/>
                <w:szCs w:val="12"/>
                <w:color w:val="auto"/>
              </w:rPr>
            </w:pPr>
          </w:p>
        </w:tc>
        <w:tc>
          <w:tcPr>
            <w:tcW w:w="1640" w:type="dxa"/>
            <w:vAlign w:val="bottom"/>
            <w:tcBorders>
              <w:bottom w:val="single" w:sz="8" w:color="auto"/>
            </w:tcBorders>
            <w:shd w:val="clear" w:color="auto" w:fill="CCECFF"/>
          </w:tcPr>
          <w:p>
            <w:pPr>
              <w:spacing w:after="0"/>
              <w:rPr>
                <w:sz w:val="12"/>
                <w:szCs w:val="12"/>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120" w:type="dxa"/>
            <w:vAlign w:val="bottom"/>
            <w:shd w:val="clear" w:color="auto" w:fill="CCECFF"/>
          </w:tcPr>
          <w:p>
            <w:pPr>
              <w:spacing w:after="0"/>
              <w:rPr>
                <w:sz w:val="12"/>
                <w:szCs w:val="12"/>
                <w:color w:val="auto"/>
              </w:rPr>
            </w:pPr>
          </w:p>
        </w:tc>
      </w:tr>
      <w:tr>
        <w:trPr>
          <w:trHeight w:val="140"/>
        </w:trPr>
        <w:tc>
          <w:tcPr>
            <w:tcW w:w="37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liabilities held for sale</w:t>
            </w:r>
          </w:p>
        </w:tc>
        <w:tc>
          <w:tcPr>
            <w:tcW w:w="3880" w:type="dxa"/>
            <w:vAlign w:val="bottom"/>
          </w:tcPr>
          <w:p>
            <w:pPr>
              <w:spacing w:after="0"/>
              <w:rPr>
                <w:sz w:val="12"/>
                <w:szCs w:val="12"/>
                <w:color w:val="auto"/>
              </w:rPr>
            </w:pPr>
          </w:p>
        </w:tc>
        <w:tc>
          <w:tcPr>
            <w:tcW w:w="1640" w:type="dxa"/>
            <w:vAlign w:val="bottom"/>
            <w:tcBorders>
              <w:bottom w:val="single" w:sz="8" w:color="auto"/>
            </w:tcBorders>
          </w:tcPr>
          <w:p>
            <w:pPr>
              <w:jc w:val="right"/>
              <w:ind w:right="1526"/>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1,147.4</w:t>
            </w:r>
          </w:p>
        </w:tc>
        <w:tc>
          <w:tcPr>
            <w:tcW w:w="120" w:type="dxa"/>
            <w:vAlign w:val="bottom"/>
          </w:tcPr>
          <w:p>
            <w:pPr>
              <w:spacing w:after="0"/>
              <w:rPr>
                <w:sz w:val="12"/>
                <w:szCs w:val="12"/>
                <w:color w:val="auto"/>
              </w:rPr>
            </w:pPr>
          </w:p>
        </w:tc>
      </w:tr>
      <w:tr>
        <w:trPr>
          <w:trHeight w:val="432"/>
        </w:trPr>
        <w:tc>
          <w:tcPr>
            <w:tcW w:w="3740" w:type="dxa"/>
            <w:vAlign w:val="bottom"/>
          </w:tcPr>
          <w:p>
            <w:pPr>
              <w:spacing w:after="0"/>
              <w:rPr>
                <w:sz w:val="24"/>
                <w:szCs w:val="24"/>
                <w:color w:val="auto"/>
              </w:rPr>
            </w:pPr>
          </w:p>
        </w:tc>
        <w:tc>
          <w:tcPr>
            <w:tcW w:w="3880" w:type="dxa"/>
            <w:vAlign w:val="bottom"/>
          </w:tcPr>
          <w:p>
            <w:pPr>
              <w:jc w:val="right"/>
              <w:ind w:right="1860"/>
              <w:spacing w:after="0"/>
              <w:rPr>
                <w:sz w:val="20"/>
                <w:szCs w:val="20"/>
                <w:color w:val="auto"/>
              </w:rPr>
            </w:pPr>
            <w:r>
              <w:rPr>
                <w:rFonts w:ascii="Times New Roman" w:cs="Times New Roman" w:eastAsia="Times New Roman" w:hAnsi="Times New Roman"/>
                <w:sz w:val="12"/>
                <w:szCs w:val="12"/>
                <w:color w:val="auto"/>
              </w:rPr>
              <w:t>16</w:t>
            </w:r>
          </w:p>
        </w:tc>
        <w:tc>
          <w:tcPr>
            <w:tcW w:w="1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92"/>
        </w:trPr>
        <w:tc>
          <w:tcPr>
            <w:tcW w:w="37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-1668145</wp:posOffset>
            </wp:positionV>
            <wp:extent cx="685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-1473835</wp:posOffset>
            </wp:positionV>
            <wp:extent cx="685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-1462405</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type w:val="continuous"/>
        </w:sectPr>
      </w:pPr>
    </w:p>
    <w:bookmarkStart w:id="17" w:name="page18"/>
    <w:bookmarkEnd w:id="1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the details of the gain on disposal of the RUCKUS segment, the CCS segment, and the OWN segment and DAS business unit, collectively:</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280" w:type="dxa"/>
            <w:vAlign w:val="bottom"/>
          </w:tcPr>
          <w:p>
            <w:pPr>
              <w:spacing w:after="0"/>
              <w:rPr>
                <w:sz w:val="10"/>
                <w:szCs w:val="10"/>
                <w:color w:val="auto"/>
              </w:rPr>
            </w:pPr>
          </w:p>
        </w:tc>
        <w:tc>
          <w:tcPr>
            <w:tcW w:w="10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RUCKUS</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CCS</w:t>
            </w: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OWN/DAS</w:t>
            </w:r>
          </w:p>
        </w:tc>
        <w:tc>
          <w:tcPr>
            <w:tcW w:w="120" w:type="dxa"/>
            <w:vAlign w:val="bottom"/>
          </w:tcPr>
          <w:p>
            <w:pPr>
              <w:spacing w:after="0"/>
              <w:rPr>
                <w:sz w:val="10"/>
                <w:szCs w:val="10"/>
                <w:color w:val="auto"/>
              </w:rPr>
            </w:pPr>
          </w:p>
        </w:tc>
      </w:tr>
      <w:tr>
        <w:trPr>
          <w:trHeight w:val="124"/>
        </w:trPr>
        <w:tc>
          <w:tcPr>
            <w:tcW w:w="6280" w:type="dxa"/>
            <w:vAlign w:val="bottom"/>
          </w:tcPr>
          <w:p>
            <w:pPr>
              <w:spacing w:after="0"/>
              <w:rPr>
                <w:sz w:val="10"/>
                <w:szCs w:val="10"/>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July 1, 2026</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January 9, 2026</w:t>
            </w:r>
          </w:p>
        </w:tc>
        <w:tc>
          <w:tcPr>
            <w:tcW w:w="260" w:type="dxa"/>
            <w:vAlign w:val="bottom"/>
          </w:tcPr>
          <w:p>
            <w:pPr>
              <w:spacing w:after="0"/>
              <w:rPr>
                <w:sz w:val="10"/>
                <w:szCs w:val="10"/>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January 31, 2025</w:t>
            </w:r>
          </w:p>
        </w:tc>
      </w:tr>
      <w:tr>
        <w:trPr>
          <w:trHeight w:val="133"/>
        </w:trPr>
        <w:tc>
          <w:tcPr>
            <w:tcW w:w="628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1"/>
                <w:szCs w:val="11"/>
                <w:color w:val="auto"/>
              </w:rPr>
              <w:t xml:space="preserve">Cash consideration received (net of cash acquired) </w:t>
            </w:r>
            <w:r>
              <w:rPr>
                <w:rFonts w:ascii="Times New Roman" w:cs="Times New Roman" w:eastAsia="Times New Roman" w:hAnsi="Times New Roman"/>
                <w:sz w:val="15"/>
                <w:szCs w:val="15"/>
                <w:color w:val="auto"/>
                <w:vertAlign w:val="superscript"/>
              </w:rPr>
              <w:t>(1)</w:t>
            </w:r>
          </w:p>
        </w:tc>
        <w:tc>
          <w:tcPr>
            <w:tcW w:w="1080" w:type="dxa"/>
            <w:vAlign w:val="bottom"/>
            <w:tcBorders>
              <w:top w:val="single" w:sz="8" w:color="auto"/>
            </w:tcBorders>
            <w:shd w:val="clear" w:color="auto" w:fill="CCECFF"/>
          </w:tcPr>
          <w:p>
            <w:pPr>
              <w:jc w:val="right"/>
              <w:ind w:right="96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1,869.6</w:t>
            </w:r>
          </w:p>
        </w:tc>
        <w:tc>
          <w:tcPr>
            <w:tcW w:w="100" w:type="dxa"/>
            <w:vAlign w:val="bottom"/>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10,540.2</w:t>
            </w:r>
          </w:p>
        </w:tc>
        <w:tc>
          <w:tcPr>
            <w:tcW w:w="120" w:type="dxa"/>
            <w:vAlign w:val="bottom"/>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2,034.5</w:t>
            </w:r>
          </w:p>
        </w:tc>
        <w:tc>
          <w:tcPr>
            <w:tcW w:w="120" w:type="dxa"/>
            <w:vAlign w:val="bottom"/>
            <w:shd w:val="clear" w:color="auto" w:fill="CCECFF"/>
          </w:tcPr>
          <w:p>
            <w:pPr>
              <w:spacing w:after="0"/>
              <w:rPr>
                <w:sz w:val="11"/>
                <w:szCs w:val="11"/>
                <w:color w:val="auto"/>
              </w:rPr>
            </w:pP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Transaction expense</w:t>
            </w:r>
          </w:p>
        </w:tc>
        <w:tc>
          <w:tcPr>
            <w:tcW w:w="108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(16.2)</w:t>
            </w:r>
          </w:p>
        </w:tc>
        <w:tc>
          <w:tcPr>
            <w:tcW w:w="26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(81.3)</w:t>
            </w:r>
          </w:p>
        </w:tc>
        <w:tc>
          <w:tcPr>
            <w:tcW w:w="26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(9.1)</w:t>
            </w:r>
          </w:p>
        </w:tc>
      </w:tr>
      <w:tr>
        <w:trPr>
          <w:trHeight w:val="133"/>
        </w:trPr>
        <w:tc>
          <w:tcPr>
            <w:tcW w:w="6280" w:type="dxa"/>
            <w:vAlign w:val="bottom"/>
            <w:shd w:val="clear" w:color="auto" w:fill="CCECFF"/>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 disposal consideration</w:t>
            </w:r>
          </w:p>
        </w:tc>
        <w:tc>
          <w:tcPr>
            <w:tcW w:w="1080" w:type="dxa"/>
            <w:vAlign w:val="bottom"/>
            <w:tcBorders>
              <w:top w:val="single" w:sz="8" w:color="auto"/>
            </w:tcBorders>
            <w:shd w:val="clear" w:color="auto" w:fill="CCECFF"/>
          </w:tcPr>
          <w:p>
            <w:pPr>
              <w:spacing w:after="0"/>
              <w:rPr>
                <w:sz w:val="11"/>
                <w:szCs w:val="11"/>
                <w:color w:val="auto"/>
              </w:rPr>
            </w:pPr>
          </w:p>
        </w:tc>
        <w:tc>
          <w:tcPr>
            <w:tcW w:w="46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1,853.4</w:t>
            </w:r>
          </w:p>
        </w:tc>
        <w:tc>
          <w:tcPr>
            <w:tcW w:w="100" w:type="dxa"/>
            <w:vAlign w:val="bottom"/>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128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10,458.9</w:t>
            </w:r>
          </w:p>
        </w:tc>
        <w:tc>
          <w:tcPr>
            <w:tcW w:w="120" w:type="dxa"/>
            <w:vAlign w:val="bottom"/>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134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2,025.4</w:t>
            </w:r>
          </w:p>
        </w:tc>
        <w:tc>
          <w:tcPr>
            <w:tcW w:w="120" w:type="dxa"/>
            <w:vAlign w:val="bottom"/>
            <w:shd w:val="clear" w:color="auto" w:fill="CCECFF"/>
          </w:tcPr>
          <w:p>
            <w:pPr>
              <w:spacing w:after="0"/>
              <w:rPr>
                <w:sz w:val="11"/>
                <w:szCs w:val="11"/>
                <w:color w:val="auto"/>
              </w:rPr>
            </w:pPr>
          </w:p>
        </w:tc>
      </w:tr>
      <w:tr>
        <w:trPr>
          <w:trHeight w:val="144"/>
        </w:trPr>
        <w:tc>
          <w:tcPr>
            <w:tcW w:w="62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Carrying value of net assets sold </w:t>
            </w:r>
            <w:r>
              <w:rPr>
                <w:rFonts w:ascii="Times New Roman" w:cs="Times New Roman" w:eastAsia="Times New Roman" w:hAnsi="Times New Roman"/>
                <w:sz w:val="16"/>
                <w:szCs w:val="16"/>
                <w:color w:val="auto"/>
                <w:vertAlign w:val="superscript"/>
              </w:rPr>
              <w:t>(1)</w:t>
            </w:r>
          </w:p>
        </w:tc>
        <w:tc>
          <w:tcPr>
            <w:tcW w:w="108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(594.2)</w:t>
            </w:r>
          </w:p>
        </w:tc>
        <w:tc>
          <w:tcPr>
            <w:tcW w:w="26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(3,326.4)</w:t>
            </w:r>
          </w:p>
        </w:tc>
        <w:tc>
          <w:tcPr>
            <w:tcW w:w="26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(1,057.5)</w:t>
            </w:r>
          </w:p>
        </w:tc>
      </w:tr>
      <w:tr>
        <w:trPr>
          <w:trHeight w:val="122"/>
        </w:trPr>
        <w:tc>
          <w:tcPr>
            <w:tcW w:w="6280" w:type="dxa"/>
            <w:vAlign w:val="bottom"/>
            <w:shd w:val="clear" w:color="auto" w:fill="CCECFF"/>
          </w:tcPr>
          <w:p>
            <w:pPr>
              <w:ind w:left="100"/>
              <w:spacing w:after="0" w:line="122" w:lineRule="exact"/>
              <w:rPr>
                <w:sz w:val="20"/>
                <w:szCs w:val="20"/>
                <w:color w:val="auto"/>
              </w:rPr>
            </w:pPr>
            <w:r>
              <w:rPr>
                <w:rFonts w:ascii="Times New Roman" w:cs="Times New Roman" w:eastAsia="Times New Roman" w:hAnsi="Times New Roman"/>
                <w:sz w:val="12"/>
                <w:szCs w:val="12"/>
                <w:color w:val="auto"/>
              </w:rPr>
              <w:t>Gain on disposal before income taxes and reclassification of</w:t>
            </w:r>
          </w:p>
        </w:tc>
        <w:tc>
          <w:tcPr>
            <w:tcW w:w="1080" w:type="dxa"/>
            <w:vAlign w:val="bottom"/>
            <w:tcBorders>
              <w:top w:val="single" w:sz="8" w:color="auto"/>
            </w:tcBorders>
            <w:shd w:val="clear" w:color="auto" w:fill="CCECFF"/>
          </w:tcPr>
          <w:p>
            <w:pPr>
              <w:spacing w:after="0"/>
              <w:rPr>
                <w:sz w:val="10"/>
                <w:szCs w:val="10"/>
                <w:color w:val="auto"/>
              </w:rPr>
            </w:pPr>
          </w:p>
        </w:tc>
        <w:tc>
          <w:tcPr>
            <w:tcW w:w="460" w:type="dxa"/>
            <w:vAlign w:val="bottom"/>
            <w:tcBorders>
              <w:top w:val="single" w:sz="8" w:color="auto"/>
            </w:tcBorders>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260" w:type="dxa"/>
            <w:vAlign w:val="bottom"/>
            <w:tcBorders>
              <w:top w:val="single" w:sz="8" w:color="auto"/>
            </w:tcBorders>
            <w:shd w:val="clear" w:color="auto" w:fill="CCECFF"/>
          </w:tcPr>
          <w:p>
            <w:pPr>
              <w:spacing w:after="0"/>
              <w:rPr>
                <w:sz w:val="10"/>
                <w:szCs w:val="10"/>
                <w:color w:val="auto"/>
              </w:rPr>
            </w:pPr>
          </w:p>
        </w:tc>
        <w:tc>
          <w:tcPr>
            <w:tcW w:w="1280" w:type="dxa"/>
            <w:vAlign w:val="bottom"/>
            <w:tcBorders>
              <w:top w:val="single" w:sz="8" w:color="auto"/>
            </w:tcBorders>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0" w:type="dxa"/>
            <w:vAlign w:val="bottom"/>
            <w:tcBorders>
              <w:top w:val="single" w:sz="8" w:color="auto"/>
            </w:tcBorders>
            <w:shd w:val="clear" w:color="auto" w:fill="CCECFF"/>
          </w:tcPr>
          <w:p>
            <w:pPr>
              <w:spacing w:after="0"/>
              <w:rPr>
                <w:sz w:val="10"/>
                <w:szCs w:val="10"/>
                <w:color w:val="auto"/>
              </w:rPr>
            </w:pPr>
          </w:p>
        </w:tc>
        <w:tc>
          <w:tcPr>
            <w:tcW w:w="1340" w:type="dxa"/>
            <w:vAlign w:val="bottom"/>
            <w:tcBorders>
              <w:top w:val="single" w:sz="8" w:color="auto"/>
            </w:tcBorders>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55"/>
        </w:trPr>
        <w:tc>
          <w:tcPr>
            <w:tcW w:w="6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2"/>
                <w:szCs w:val="12"/>
                <w:color w:val="auto"/>
              </w:rPr>
              <w:t>foreign currency translation and other</w:t>
            </w:r>
          </w:p>
        </w:tc>
        <w:tc>
          <w:tcPr>
            <w:tcW w:w="108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1,259.2</w:t>
            </w: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7,132.5</w:t>
            </w:r>
          </w:p>
        </w:tc>
        <w:tc>
          <w:tcPr>
            <w:tcW w:w="1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967.9</w:t>
            </w:r>
          </w:p>
        </w:tc>
        <w:tc>
          <w:tcPr>
            <w:tcW w:w="120" w:type="dxa"/>
            <w:vAlign w:val="bottom"/>
            <w:shd w:val="clear" w:color="auto" w:fill="CCECFF"/>
          </w:tcPr>
          <w:p>
            <w:pPr>
              <w:spacing w:after="0"/>
              <w:rPr>
                <w:sz w:val="13"/>
                <w:szCs w:val="13"/>
                <w:color w:val="auto"/>
              </w:rPr>
            </w:pPr>
          </w:p>
        </w:tc>
      </w:tr>
      <w:tr>
        <w:trPr>
          <w:trHeight w:val="144"/>
        </w:trPr>
        <w:tc>
          <w:tcPr>
            <w:tcW w:w="62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Reclassification of foreign currency translation and other </w:t>
            </w:r>
            <w:r>
              <w:rPr>
                <w:rFonts w:ascii="Times New Roman" w:cs="Times New Roman" w:eastAsia="Times New Roman" w:hAnsi="Times New Roman"/>
                <w:sz w:val="16"/>
                <w:szCs w:val="16"/>
                <w:color w:val="auto"/>
                <w:vertAlign w:val="superscript"/>
              </w:rPr>
              <w:t>(2)</w:t>
            </w:r>
          </w:p>
        </w:tc>
        <w:tc>
          <w:tcPr>
            <w:tcW w:w="108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(0.6)</w:t>
            </w:r>
          </w:p>
        </w:tc>
        <w:tc>
          <w:tcPr>
            <w:tcW w:w="26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(126.4)</w:t>
            </w:r>
          </w:p>
        </w:tc>
        <w:tc>
          <w:tcPr>
            <w:tcW w:w="26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(97.9)</w:t>
            </w:r>
          </w:p>
        </w:tc>
      </w:tr>
      <w:tr>
        <w:trPr>
          <w:trHeight w:val="133"/>
        </w:trPr>
        <w:tc>
          <w:tcPr>
            <w:tcW w:w="6280" w:type="dxa"/>
            <w:vAlign w:val="bottom"/>
            <w:shd w:val="clear" w:color="auto" w:fill="CCECFF"/>
          </w:tcPr>
          <w:p>
            <w:pPr>
              <w:ind w:left="100"/>
              <w:spacing w:after="0" w:line="133" w:lineRule="exact"/>
              <w:rPr>
                <w:sz w:val="20"/>
                <w:szCs w:val="20"/>
                <w:color w:val="auto"/>
              </w:rPr>
            </w:pPr>
            <w:r>
              <w:rPr>
                <w:rFonts w:ascii="Times New Roman" w:cs="Times New Roman" w:eastAsia="Times New Roman" w:hAnsi="Times New Roman"/>
                <w:sz w:val="12"/>
                <w:szCs w:val="12"/>
                <w:color w:val="auto"/>
              </w:rPr>
              <w:t>Gain on disposal before income taxes</w:t>
            </w:r>
          </w:p>
        </w:tc>
        <w:tc>
          <w:tcPr>
            <w:tcW w:w="1080" w:type="dxa"/>
            <w:vAlign w:val="bottom"/>
            <w:tcBorders>
              <w:top w:val="single" w:sz="8" w:color="auto"/>
            </w:tcBorders>
            <w:shd w:val="clear" w:color="auto" w:fill="CCECFF"/>
          </w:tcPr>
          <w:p>
            <w:pPr>
              <w:spacing w:after="0"/>
              <w:rPr>
                <w:sz w:val="11"/>
                <w:szCs w:val="11"/>
                <w:color w:val="auto"/>
              </w:rPr>
            </w:pPr>
          </w:p>
        </w:tc>
        <w:tc>
          <w:tcPr>
            <w:tcW w:w="46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1,258.6</w:t>
            </w:r>
          </w:p>
        </w:tc>
        <w:tc>
          <w:tcPr>
            <w:tcW w:w="100" w:type="dxa"/>
            <w:vAlign w:val="bottom"/>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128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7,006.1</w:t>
            </w:r>
          </w:p>
        </w:tc>
        <w:tc>
          <w:tcPr>
            <w:tcW w:w="120" w:type="dxa"/>
            <w:vAlign w:val="bottom"/>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134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870.0</w:t>
            </w:r>
          </w:p>
        </w:tc>
        <w:tc>
          <w:tcPr>
            <w:tcW w:w="120" w:type="dxa"/>
            <w:vAlign w:val="bottom"/>
            <w:shd w:val="clear" w:color="auto" w:fill="CCECFF"/>
          </w:tcPr>
          <w:p>
            <w:pPr>
              <w:spacing w:after="0"/>
              <w:rPr>
                <w:sz w:val="11"/>
                <w:szCs w:val="11"/>
                <w:color w:val="auto"/>
              </w:rPr>
            </w:pPr>
          </w:p>
        </w:tc>
      </w:tr>
      <w:tr>
        <w:trPr>
          <w:trHeight w:val="144"/>
        </w:trPr>
        <w:tc>
          <w:tcPr>
            <w:tcW w:w="62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Income tax expense </w:t>
            </w:r>
            <w:r>
              <w:rPr>
                <w:rFonts w:ascii="Times New Roman" w:cs="Times New Roman" w:eastAsia="Times New Roman" w:hAnsi="Times New Roman"/>
                <w:sz w:val="16"/>
                <w:szCs w:val="16"/>
                <w:color w:val="auto"/>
                <w:vertAlign w:val="superscript"/>
              </w:rPr>
              <w:t>(1)</w:t>
            </w:r>
          </w:p>
        </w:tc>
        <w:tc>
          <w:tcPr>
            <w:tcW w:w="108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(112.7)</w:t>
            </w:r>
          </w:p>
        </w:tc>
        <w:tc>
          <w:tcPr>
            <w:tcW w:w="26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(1,819.2)</w:t>
            </w:r>
          </w:p>
        </w:tc>
        <w:tc>
          <w:tcPr>
            <w:tcW w:w="260" w:type="dxa"/>
            <w:vAlign w:val="bottom"/>
          </w:tcPr>
          <w:p>
            <w:pPr>
              <w:spacing w:after="0"/>
              <w:rPr>
                <w:sz w:val="12"/>
                <w:szCs w:val="12"/>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(377.4)</w:t>
            </w:r>
          </w:p>
        </w:tc>
      </w:tr>
      <w:tr>
        <w:trPr>
          <w:trHeight w:val="140"/>
        </w:trPr>
        <w:tc>
          <w:tcPr>
            <w:tcW w:w="6280" w:type="dxa"/>
            <w:vAlign w:val="bottom"/>
            <w:tcBorders>
              <w:bottom w:val="single" w:sz="8" w:color="CCECFF"/>
            </w:tcBorders>
            <w:shd w:val="clear" w:color="auto" w:fill="CCECFF"/>
          </w:tcPr>
          <w:p>
            <w:pPr>
              <w:ind w:left="100"/>
              <w:spacing w:after="0" w:line="133" w:lineRule="exact"/>
              <w:rPr>
                <w:sz w:val="20"/>
                <w:szCs w:val="20"/>
                <w:color w:val="auto"/>
              </w:rPr>
            </w:pPr>
            <w:r>
              <w:rPr>
                <w:rFonts w:ascii="Times New Roman" w:cs="Times New Roman" w:eastAsia="Times New Roman" w:hAnsi="Times New Roman"/>
                <w:sz w:val="11"/>
                <w:szCs w:val="11"/>
                <w:color w:val="auto"/>
              </w:rPr>
              <w:t xml:space="preserve">Gain on disposal, net of income taxes </w:t>
            </w:r>
            <w:r>
              <w:rPr>
                <w:rFonts w:ascii="Times New Roman" w:cs="Times New Roman" w:eastAsia="Times New Roman" w:hAnsi="Times New Roman"/>
                <w:sz w:val="15"/>
                <w:szCs w:val="15"/>
                <w:color w:val="auto"/>
                <w:vertAlign w:val="superscript"/>
              </w:rPr>
              <w:t>(1)</w:t>
            </w:r>
          </w:p>
        </w:tc>
        <w:tc>
          <w:tcPr>
            <w:tcW w:w="1080" w:type="dxa"/>
            <w:vAlign w:val="bottom"/>
            <w:tcBorders>
              <w:top w:val="single" w:sz="8" w:color="auto"/>
              <w:bottom w:val="single" w:sz="8" w:color="auto"/>
            </w:tcBorders>
            <w:shd w:val="clear" w:color="auto" w:fill="CCECFF"/>
          </w:tcPr>
          <w:p>
            <w:pPr>
              <w:jc w:val="right"/>
              <w:ind w:right="96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1,145.9</w:t>
            </w:r>
          </w:p>
        </w:tc>
        <w:tc>
          <w:tcPr>
            <w:tcW w:w="10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5,186.9</w:t>
            </w:r>
          </w:p>
        </w:tc>
        <w:tc>
          <w:tcPr>
            <w:tcW w:w="1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top w:val="single" w:sz="8" w:color="auto"/>
              <w:bottom w:val="single" w:sz="8" w:color="auto"/>
            </w:tcBorders>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492.6</w:t>
            </w:r>
          </w:p>
        </w:tc>
        <w:tc>
          <w:tcPr>
            <w:tcW w:w="120" w:type="dxa"/>
            <w:vAlign w:val="bottom"/>
            <w:tcBorders>
              <w:bottom w:val="single" w:sz="8" w:color="CCECFF"/>
            </w:tcBorders>
            <w:shd w:val="clear" w:color="auto" w:fill="CCEC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4966335</wp:posOffset>
            </wp:positionH>
            <wp:positionV relativeFrom="paragraph">
              <wp:posOffset>-16510</wp:posOffset>
            </wp:positionV>
            <wp:extent cx="7429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-5080</wp:posOffset>
            </wp:positionV>
            <wp:extent cx="7429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-16510</wp:posOffset>
            </wp:positionV>
            <wp:extent cx="68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-5080</wp:posOffset>
            </wp:positionV>
            <wp:extent cx="685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-16510</wp:posOffset>
            </wp:positionV>
            <wp:extent cx="68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-5080</wp:posOffset>
            </wp:positionV>
            <wp:extent cx="685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7" w:lineRule="exact"/>
        <w:rPr>
          <w:sz w:val="20"/>
          <w:szCs w:val="20"/>
          <w:color w:val="auto"/>
        </w:rPr>
      </w:pPr>
    </w:p>
    <w:p>
      <w:pPr>
        <w:ind w:left="508" w:right="40" w:hanging="508"/>
        <w:spacing w:after="0" w:line="269" w:lineRule="auto"/>
        <w:tabs>
          <w:tab w:leader="none" w:pos="508"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three and nine months ended September 30, 2026, cash consideration was reduced by $1.5 million as the Company finalized the consideration for the CCS divestiture and recorded working capital and other asset adjustments totaling $0.7 million to the carrying value of net assets sold for certain assets transferred in the transaction. During the nine months ended September 30, 2026, the Company recorded a $1.0 million adjustment to the carrying value of the OWN/DAS disposal group, along with the related tax effects, which impacted the gain on disposal recognized in discontinued operations. During the three and nine months ended September 30, 2026, the Company recorded $165.9 million of additional tax expense associated with the gain on the CCS sale. With the RUCKUS sale closing in the third quarter of 2026, the utilization of certain tax attributes were adjusted between the CCS and RUCKUS transactions.</w:t>
      </w:r>
    </w:p>
    <w:p>
      <w:pPr>
        <w:spacing w:after="0" w:line="44" w:lineRule="exact"/>
        <w:rPr>
          <w:rFonts w:ascii="Times New Roman" w:cs="Times New Roman" w:eastAsia="Times New Roman" w:hAnsi="Times New Roman"/>
          <w:sz w:val="11"/>
          <w:szCs w:val="11"/>
          <w:color w:val="auto"/>
        </w:rPr>
      </w:pPr>
    </w:p>
    <w:p>
      <w:pPr>
        <w:ind w:left="508" w:right="80" w:hanging="508"/>
        <w:spacing w:after="0" w:line="296" w:lineRule="auto"/>
        <w:tabs>
          <w:tab w:leader="none" w:pos="508"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the reclassifications of foreign currency translation, defined benefit plan activity and hedging instrument amounts from accumulated other comprehensive income (loss) on the Condensed Consolidated Balance Sheets related to each of the divestitures.</w:t>
      </w:r>
    </w:p>
    <w:p>
      <w:pPr>
        <w:spacing w:after="0" w:line="106" w:lineRule="exact"/>
        <w:rPr>
          <w:sz w:val="20"/>
          <w:szCs w:val="20"/>
          <w:color w:val="auto"/>
        </w:rPr>
      </w:pPr>
    </w:p>
    <w:p>
      <w:pPr>
        <w:ind w:left="8" w:right="360"/>
        <w:spacing w:after="0" w:line="265" w:lineRule="auto"/>
        <w:rPr>
          <w:sz w:val="20"/>
          <w:szCs w:val="20"/>
          <w:color w:val="auto"/>
        </w:rPr>
      </w:pPr>
      <w:r>
        <w:rPr>
          <w:rFonts w:ascii="Times New Roman" w:cs="Times New Roman" w:eastAsia="Times New Roman" w:hAnsi="Times New Roman"/>
          <w:sz w:val="12"/>
          <w:szCs w:val="12"/>
          <w:color w:val="auto"/>
        </w:rPr>
        <w:t>The cash flows related to discontinued operations have not been segregated on the Condensed Consolidated Statements of Cash Flows, and accordingly, they include the results from continuing and discontinued operations. The following table summarizes the Company’s net cash inflows (outflows) related to the ongoing activities of the discontinued operations, including the Belden, Amphenol and Vantiva TSAs, as described below, and inventory sales resulting from the Amphenol MSA and Vantiva Supply Agreement, as described above:</w:t>
      </w:r>
    </w:p>
    <w:p>
      <w:pPr>
        <w:spacing w:after="0" w:line="86"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40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gridSpan w:val="6"/>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40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40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160" w:type="dxa"/>
            <w:vAlign w:val="bottom"/>
            <w:tcBorders>
              <w:bottom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2026</w:t>
            </w:r>
          </w:p>
        </w:tc>
        <w:tc>
          <w:tcPr>
            <w:tcW w:w="4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10"/>
                <w:szCs w:val="10"/>
                <w:color w:val="auto"/>
              </w:rPr>
            </w:pPr>
          </w:p>
        </w:tc>
      </w:tr>
      <w:tr>
        <w:trPr>
          <w:trHeight w:val="133"/>
        </w:trPr>
        <w:tc>
          <w:tcPr>
            <w:tcW w:w="40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Belden TSA fees</w:t>
            </w:r>
          </w:p>
        </w:tc>
        <w:tc>
          <w:tcPr>
            <w:tcW w:w="3820" w:type="dxa"/>
            <w:vAlign w:val="bottom"/>
            <w:gridSpan w:val="2"/>
            <w:shd w:val="clear" w:color="auto" w:fill="CCECFF"/>
          </w:tcPr>
          <w:p>
            <w:pPr>
              <w:jc w:val="right"/>
              <w:ind w:right="1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CFF"/>
          </w:tcPr>
          <w:p>
            <w:pPr>
              <w:spacing w:after="0"/>
              <w:rPr>
                <w:sz w:val="11"/>
                <w:szCs w:val="11"/>
                <w:color w:val="auto"/>
              </w:rPr>
            </w:pPr>
          </w:p>
        </w:tc>
        <w:tc>
          <w:tcPr>
            <w:tcW w:w="4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CFF"/>
          </w:tcPr>
          <w:p>
            <w:pPr>
              <w:spacing w:after="0"/>
              <w:rPr>
                <w:sz w:val="11"/>
                <w:szCs w:val="11"/>
                <w:color w:val="auto"/>
              </w:rPr>
            </w:pPr>
          </w:p>
        </w:tc>
        <w:tc>
          <w:tcPr>
            <w:tcW w:w="1180" w:type="dxa"/>
            <w:vAlign w:val="bottom"/>
            <w:gridSpan w:val="2"/>
            <w:shd w:val="clear" w:color="auto" w:fill="CCEC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Amphenol TSA fees</w:t>
            </w: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120" w:type="dxa"/>
            <w:vAlign w:val="bottom"/>
          </w:tcPr>
          <w:p>
            <w:pPr>
              <w:spacing w:after="0"/>
              <w:rPr>
                <w:sz w:val="12"/>
                <w:szCs w:val="12"/>
                <w:color w:val="auto"/>
              </w:rPr>
            </w:pPr>
          </w:p>
        </w:tc>
      </w:tr>
      <w:tr>
        <w:trPr>
          <w:trHeight w:val="144"/>
        </w:trPr>
        <w:tc>
          <w:tcPr>
            <w:tcW w:w="40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Amphenol MSA inventory sales</w:t>
            </w:r>
          </w:p>
        </w:tc>
        <w:tc>
          <w:tcPr>
            <w:tcW w:w="3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20" w:type="dxa"/>
            <w:vAlign w:val="bottom"/>
            <w:shd w:val="clear" w:color="auto" w:fill="CCECFF"/>
          </w:tcPr>
          <w:p>
            <w:pPr>
              <w:spacing w:after="0"/>
              <w:rPr>
                <w:sz w:val="12"/>
                <w:szCs w:val="12"/>
                <w:color w:val="auto"/>
              </w:rPr>
            </w:pPr>
          </w:p>
        </w:tc>
      </w:tr>
      <w:tr>
        <w:trPr>
          <w:trHeight w:val="144"/>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Vantiva Supply Agreement and other inventory sales</w:t>
            </w: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gridSpan w:val="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tcPr>
          <w:p>
            <w:pPr>
              <w:spacing w:after="0"/>
              <w:rPr>
                <w:sz w:val="12"/>
                <w:szCs w:val="12"/>
                <w:color w:val="auto"/>
              </w:rPr>
            </w:pPr>
          </w:p>
        </w:tc>
      </w:tr>
      <w:tr>
        <w:trPr>
          <w:trHeight w:val="144"/>
        </w:trPr>
        <w:tc>
          <w:tcPr>
            <w:tcW w:w="40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Vantiva TSA fees</w:t>
            </w:r>
          </w:p>
        </w:tc>
        <w:tc>
          <w:tcPr>
            <w:tcW w:w="3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740" w:type="dxa"/>
            <w:vAlign w:val="bottom"/>
            <w:gridSpan w:val="4"/>
            <w:shd w:val="clear" w:color="auto" w:fill="CCEC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shd w:val="clear" w:color="auto" w:fill="CCECFF"/>
          </w:tcPr>
          <w:p>
            <w:pPr>
              <w:spacing w:after="0"/>
              <w:rPr>
                <w:sz w:val="12"/>
                <w:szCs w:val="12"/>
                <w:color w:val="auto"/>
              </w:rPr>
            </w:pPr>
          </w:p>
        </w:tc>
      </w:tr>
      <w:tr>
        <w:trPr>
          <w:trHeight w:val="288"/>
        </w:trPr>
        <w:tc>
          <w:tcPr>
            <w:tcW w:w="89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following table summarizes significant non-cash operating items of the discontinued operations included on the Condensed Consolidated Statements of Cash Flows: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40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gridSpan w:val="6"/>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34"/>
        </w:trPr>
        <w:tc>
          <w:tcPr>
            <w:tcW w:w="4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gridSpan w:val="6"/>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5"/>
        </w:trPr>
        <w:tc>
          <w:tcPr>
            <w:tcW w:w="4060" w:type="dxa"/>
            <w:vAlign w:val="bottom"/>
          </w:tcPr>
          <w:p>
            <w:pPr>
              <w:spacing w:after="0"/>
              <w:rPr>
                <w:sz w:val="10"/>
                <w:szCs w:val="10"/>
                <w:color w:val="auto"/>
              </w:rPr>
            </w:pPr>
          </w:p>
        </w:tc>
        <w:tc>
          <w:tcPr>
            <w:tcW w:w="3820" w:type="dxa"/>
            <w:vAlign w:val="bottom"/>
            <w:gridSpan w:val="2"/>
          </w:tcPr>
          <w:p>
            <w:pPr>
              <w:spacing w:after="0"/>
              <w:rPr>
                <w:sz w:val="10"/>
                <w:szCs w:val="10"/>
                <w:color w:val="auto"/>
              </w:rPr>
            </w:pPr>
          </w:p>
        </w:tc>
        <w:tc>
          <w:tcPr>
            <w:tcW w:w="10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2026</w:t>
            </w:r>
          </w:p>
        </w:tc>
        <w:tc>
          <w:tcPr>
            <w:tcW w:w="4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10"/>
                <w:szCs w:val="10"/>
                <w:color w:val="auto"/>
              </w:rPr>
            </w:pPr>
          </w:p>
        </w:tc>
      </w:tr>
      <w:tr>
        <w:trPr>
          <w:trHeight w:val="133"/>
        </w:trPr>
        <w:tc>
          <w:tcPr>
            <w:tcW w:w="406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Gain on disposal of discontinued operations</w:t>
            </w:r>
          </w:p>
        </w:tc>
        <w:tc>
          <w:tcPr>
            <w:tcW w:w="4840" w:type="dxa"/>
            <w:vAlign w:val="bottom"/>
            <w:gridSpan w:val="3"/>
            <w:shd w:val="clear" w:color="auto" w:fill="CCECFF"/>
          </w:tcPr>
          <w:p>
            <w:pPr>
              <w:jc w:val="right"/>
              <w:ind w:right="912"/>
              <w:spacing w:after="0" w:line="133"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8,265.7</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869.0</w:t>
            </w:r>
          </w:p>
        </w:tc>
        <w:tc>
          <w:tcPr>
            <w:tcW w:w="120" w:type="dxa"/>
            <w:vAlign w:val="bottom"/>
            <w:shd w:val="clear" w:color="auto" w:fill="CCECFF"/>
          </w:tcPr>
          <w:p>
            <w:pPr>
              <w:spacing w:after="0"/>
              <w:rPr>
                <w:sz w:val="11"/>
                <w:szCs w:val="11"/>
                <w:color w:val="auto"/>
              </w:rPr>
            </w:pPr>
          </w:p>
        </w:tc>
      </w:tr>
      <w:tr>
        <w:trPr>
          <w:trHeight w:val="144"/>
        </w:trPr>
        <w:tc>
          <w:tcPr>
            <w:tcW w:w="4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129.2</w:t>
            </w:r>
          </w:p>
        </w:tc>
        <w:tc>
          <w:tcPr>
            <w:tcW w:w="120" w:type="dxa"/>
            <w:vAlign w:val="bottom"/>
          </w:tcPr>
          <w:p>
            <w:pPr>
              <w:spacing w:after="0"/>
              <w:rPr>
                <w:sz w:val="12"/>
                <w:szCs w:val="12"/>
                <w:color w:val="auto"/>
              </w:rPr>
            </w:pPr>
          </w:p>
        </w:tc>
      </w:tr>
      <w:tr>
        <w:trPr>
          <w:trHeight w:val="144"/>
        </w:trPr>
        <w:tc>
          <w:tcPr>
            <w:tcW w:w="40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3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20" w:type="dxa"/>
            <w:vAlign w:val="bottom"/>
            <w:shd w:val="clear" w:color="auto" w:fill="CCECFF"/>
          </w:tcPr>
          <w:p>
            <w:pPr>
              <w:spacing w:after="0"/>
              <w:rPr>
                <w:sz w:val="12"/>
                <w:szCs w:val="12"/>
                <w:color w:val="auto"/>
              </w:rPr>
            </w:pPr>
          </w:p>
        </w:tc>
      </w:tr>
      <w:tr>
        <w:trPr>
          <w:trHeight w:val="155"/>
        </w:trPr>
        <w:tc>
          <w:tcPr>
            <w:tcW w:w="40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Equity-based compensation</w:t>
            </w:r>
          </w:p>
        </w:tc>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20" w:type="dxa"/>
            <w:vAlign w:val="bottom"/>
          </w:tcPr>
          <w:p>
            <w:pPr>
              <w:spacing w:after="0"/>
              <w:rPr>
                <w:sz w:val="13"/>
                <w:szCs w:val="13"/>
                <w:color w:val="auto"/>
              </w:rPr>
            </w:pPr>
          </w:p>
        </w:tc>
      </w:tr>
      <w:tr>
        <w:trPr>
          <w:trHeight w:val="421"/>
        </w:trPr>
        <w:tc>
          <w:tcPr>
            <w:tcW w:w="4060" w:type="dxa"/>
            <w:vAlign w:val="bottom"/>
          </w:tcPr>
          <w:p>
            <w:pPr>
              <w:spacing w:after="0"/>
              <w:rPr>
                <w:sz w:val="24"/>
                <w:szCs w:val="24"/>
                <w:color w:val="auto"/>
              </w:rPr>
            </w:pPr>
          </w:p>
        </w:tc>
        <w:tc>
          <w:tcPr>
            <w:tcW w:w="3680" w:type="dxa"/>
            <w:vAlign w:val="bottom"/>
          </w:tcPr>
          <w:p>
            <w:pPr>
              <w:jc w:val="right"/>
              <w:ind w:right="1980"/>
              <w:spacing w:after="0"/>
              <w:rPr>
                <w:sz w:val="20"/>
                <w:szCs w:val="20"/>
                <w:color w:val="auto"/>
              </w:rPr>
            </w:pPr>
            <w:r>
              <w:rPr>
                <w:rFonts w:ascii="Times New Roman" w:cs="Times New Roman" w:eastAsia="Times New Roman" w:hAnsi="Times New Roman"/>
                <w:sz w:val="12"/>
                <w:szCs w:val="12"/>
                <w:color w:val="auto"/>
              </w:rPr>
              <w:t>17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92"/>
        </w:trPr>
        <w:tc>
          <w:tcPr>
            <w:tcW w:w="40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-1257935</wp:posOffset>
            </wp:positionV>
            <wp:extent cx="93980" cy="1168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116840"/>
                    </a:xfrm>
                    <a:prstGeom prst="rect">
                      <a:avLst/>
                    </a:prstGeom>
                    <a:noFill/>
                  </pic:spPr>
                </pic:pic>
              </a:graphicData>
            </a:graphic>
          </wp:anchor>
        </w:drawing>
        <w:drawing>
          <wp:anchor simplePos="0" relativeHeight="251657728" behindDoc="1" locked="0" layoutInCell="0" allowOverlap="1">
            <wp:simplePos x="0" y="0"/>
            <wp:positionH relativeFrom="column">
              <wp:posOffset>7091045</wp:posOffset>
            </wp:positionH>
            <wp:positionV relativeFrom="paragraph">
              <wp:posOffset>-1257935</wp:posOffset>
            </wp:positionV>
            <wp:extent cx="99695" cy="1168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9695" cy="116840"/>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18" w:name="page19"/>
    <w:bookmarkEnd w:id="1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3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Transition Service Agreements</w:t>
      </w:r>
    </w:p>
    <w:p>
      <w:pPr>
        <w:spacing w:after="0" w:line="82" w:lineRule="exact"/>
        <w:rPr>
          <w:sz w:val="20"/>
          <w:szCs w:val="20"/>
          <w:color w:val="auto"/>
        </w:rPr>
      </w:pPr>
    </w:p>
    <w:p>
      <w:pPr>
        <w:ind w:left="8" w:right="80"/>
        <w:spacing w:after="0" w:line="146" w:lineRule="exact"/>
        <w:rPr>
          <w:sz w:val="20"/>
          <w:szCs w:val="20"/>
          <w:color w:val="auto"/>
        </w:rPr>
      </w:pPr>
      <w:r>
        <w:rPr>
          <w:rFonts w:ascii="Times New Roman" w:cs="Times New Roman" w:eastAsia="Times New Roman" w:hAnsi="Times New Roman"/>
          <w:sz w:val="12"/>
          <w:szCs w:val="12"/>
          <w:color w:val="auto"/>
        </w:rPr>
        <w:t>In conjunction with the closing of the sale of the RUCKUS segment, the Company entered into the Belden TSA. The terms of the Belden TSA vary based on the services provided thereunder and provide options to extend services for up to two renewal terms of three months each. In conjunction with the closing of the sale of the OWN segment and DAS business unit, the Company entered into the Amphenol TSA. The terms of the Amphenol TSA vary based on the services provided thereunder and provide options to extend services for up to two renewal terms of three months each. Subsequent to the closing of the sale of the CCS segment, the Company extended the Amphenol TSA, including a reverse TSA for which the Company receives specified transition services from Amphenol for a defined transition period, with the ability to continue certain services for limited additional periods in accordance with the applicable services schedules. The Company is responsible for fees and related third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party costs incurred in connection with the provision of such services, including applicable taxes, and may incur incremental costs if services are continued beyond the initial transition period.</w:t>
      </w:r>
    </w:p>
    <w:p>
      <w:pPr>
        <w:spacing w:after="0" w:line="135" w:lineRule="exact"/>
        <w:rPr>
          <w:sz w:val="20"/>
          <w:szCs w:val="20"/>
          <w:color w:val="auto"/>
        </w:rPr>
      </w:pPr>
    </w:p>
    <w:p>
      <w:pPr>
        <w:ind w:left="8" w:right="160"/>
        <w:spacing w:after="0" w:line="257" w:lineRule="auto"/>
        <w:rPr>
          <w:sz w:val="20"/>
          <w:szCs w:val="20"/>
          <w:color w:val="auto"/>
        </w:rPr>
      </w:pPr>
      <w:r>
        <w:rPr>
          <w:rFonts w:ascii="Times New Roman" w:cs="Times New Roman" w:eastAsia="Times New Roman" w:hAnsi="Times New Roman"/>
          <w:sz w:val="12"/>
          <w:szCs w:val="12"/>
          <w:color w:val="auto"/>
        </w:rPr>
        <w:t>For each of the three and nine months ended September 30, 2026, the Company recognized income under the Belden TSA of $7.4 million. The Company recognized income under the Amphenol TSA of $0.2 million and $1.8 million for the three and nine months ended September 30, 2026, respectively, and $8.4 million and $25.3 million for the three and nine months ended September 30, 2025, respectively. For the three and nine months ended September 30, 2025, the Company recognized income of $0.2 million and $2.3 million under the Vantiva TSA. TSA income is included in transition service agreement income within income (loss) from continuing operations on the Condensed Consolidated Statements of Operations. The Company incurred costs under the reverse TSA of $1.0 million and $8.9 million for the three and nine months ended September 30, 2026, respectively, which are primarily included in selling, general and administrative expenses within income (loss) from continuing operations on the Condensed Consolidated Statements of Operations.</w:t>
      </w:r>
    </w:p>
    <w:p>
      <w:pPr>
        <w:spacing w:after="0" w:line="193" w:lineRule="exact"/>
        <w:rPr>
          <w:sz w:val="20"/>
          <w:szCs w:val="20"/>
          <w:color w:val="auto"/>
        </w:rPr>
      </w:pPr>
    </w:p>
    <w:p>
      <w:pPr>
        <w:ind w:left="8" w:right="8260" w:hanging="8"/>
        <w:spacing w:after="0" w:line="379" w:lineRule="auto"/>
        <w:tabs>
          <w:tab w:leader="none" w:pos="12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REVENUE FROM CONTRACTS WITH CUSTOMERS Disaggregated Net Sales</w:t>
      </w:r>
    </w:p>
    <w:p>
      <w:pPr>
        <w:ind w:left="8"/>
        <w:spacing w:after="0"/>
        <w:rPr>
          <w:sz w:val="20"/>
          <w:szCs w:val="20"/>
          <w:color w:val="auto"/>
        </w:rPr>
      </w:pPr>
      <w:r>
        <w:rPr>
          <w:rFonts w:ascii="Times New Roman" w:cs="Times New Roman" w:eastAsia="Times New Roman" w:hAnsi="Times New Roman"/>
          <w:sz w:val="12"/>
          <w:szCs w:val="12"/>
          <w:color w:val="auto"/>
        </w:rPr>
        <w:t>See Note 6 for the presentation of net sales by segment and geographic region.</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Allowance for Credit Losses</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20" w:type="dxa"/>
            <w:vAlign w:val="bottom"/>
            <w:gridSpan w:val="3"/>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60" w:type="dxa"/>
            <w:vAlign w:val="bottom"/>
            <w:gridSpan w:val="5"/>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jc w:val="right"/>
              <w:ind w:right="612"/>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720" w:type="dxa"/>
            <w:vAlign w:val="bottom"/>
            <w:tcBorders>
              <w:bottom w:val="single" w:sz="8" w:color="auto"/>
            </w:tcBorders>
          </w:tcPr>
          <w:p>
            <w:pPr>
              <w:jc w:val="right"/>
              <w:ind w:right="29"/>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Borders>
              <w:bottom w:val="single" w:sz="8" w:color="auto"/>
            </w:tcBorders>
          </w:tcPr>
          <w:p>
            <w:pPr>
              <w:jc w:val="right"/>
              <w:ind w:right="7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Borders>
              <w:bottom w:val="single" w:sz="8" w:color="auto"/>
            </w:tcBorders>
          </w:tcPr>
          <w:p>
            <w:pPr>
              <w:jc w:val="right"/>
              <w:ind w:right="52"/>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bottom w:val="single" w:sz="8" w:color="auto"/>
            </w:tcBorders>
          </w:tcPr>
          <w:p>
            <w:pPr>
              <w:jc w:val="right"/>
              <w:ind w:right="13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2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40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Allowance for credit losses, beginning of period</w:t>
            </w:r>
          </w:p>
        </w:tc>
        <w:tc>
          <w:tcPr>
            <w:tcW w:w="3280" w:type="dxa"/>
            <w:vAlign w:val="bottom"/>
            <w:gridSpan w:val="3"/>
            <w:shd w:val="clear" w:color="auto" w:fill="CCECFF"/>
          </w:tcPr>
          <w:p>
            <w:pPr>
              <w:jc w:val="right"/>
              <w:ind w:right="609"/>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1060" w:type="dxa"/>
            <w:vAlign w:val="bottom"/>
            <w:gridSpan w:val="2"/>
            <w:shd w:val="clear" w:color="auto" w:fill="CCECFF"/>
          </w:tcPr>
          <w:p>
            <w:pPr>
              <w:jc w:val="right"/>
              <w:ind w:right="652"/>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CFF"/>
          </w:tcPr>
          <w:p>
            <w:pPr>
              <w:ind w:left="160"/>
              <w:spacing w:after="0" w:line="133" w:lineRule="exact"/>
              <w:rPr>
                <w:sz w:val="20"/>
                <w:szCs w:val="20"/>
                <w:color w:val="auto"/>
              </w:rPr>
            </w:pPr>
            <w:r>
              <w:rPr>
                <w:rFonts w:ascii="Times New Roman" w:cs="Times New Roman" w:eastAsia="Times New Roman" w:hAnsi="Times New Roman"/>
                <w:sz w:val="12"/>
                <w:szCs w:val="12"/>
                <w:color w:val="auto"/>
                <w:w w:val="93"/>
              </w:rPr>
              <w:t>0.6</w:t>
            </w:r>
          </w:p>
        </w:tc>
        <w:tc>
          <w:tcPr>
            <w:tcW w:w="16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612"/>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20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692"/>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Provision (benefit)</w:t>
            </w:r>
          </w:p>
        </w:tc>
        <w:tc>
          <w:tcPr>
            <w:tcW w:w="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w w:val="93"/>
              </w:rPr>
              <w:t>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Foreign exchange and other</w:t>
            </w:r>
          </w:p>
        </w:tc>
        <w:tc>
          <w:tcPr>
            <w:tcW w:w="18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4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560" w:type="dxa"/>
            <w:vAlign w:val="bottom"/>
            <w:gridSpan w:val="3"/>
            <w:shd w:val="clear" w:color="auto" w:fill="CCEC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380" w:type="dxa"/>
            <w:vAlign w:val="bottom"/>
            <w:shd w:val="clear" w:color="auto" w:fill="CCEC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4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Allowance for credit losses, end of period</w:t>
            </w:r>
          </w:p>
        </w:tc>
        <w:tc>
          <w:tcPr>
            <w:tcW w:w="2560" w:type="dxa"/>
            <w:vAlign w:val="bottom"/>
            <w:gridSpan w:val="2"/>
          </w:tcPr>
          <w:p>
            <w:pPr>
              <w:spacing w:after="0"/>
              <w:rPr>
                <w:sz w:val="12"/>
                <w:szCs w:val="12"/>
                <w:color w:val="auto"/>
              </w:rPr>
            </w:pPr>
          </w:p>
        </w:tc>
        <w:tc>
          <w:tcPr>
            <w:tcW w:w="720" w:type="dxa"/>
            <w:vAlign w:val="bottom"/>
          </w:tcPr>
          <w:p>
            <w:pPr>
              <w:jc w:val="right"/>
              <w:ind w:right="60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1060" w:type="dxa"/>
            <w:vAlign w:val="bottom"/>
            <w:gridSpan w:val="2"/>
          </w:tcPr>
          <w:p>
            <w:pPr>
              <w:jc w:val="right"/>
              <w:ind w:right="652"/>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2"/>
                <w:szCs w:val="12"/>
                <w:color w:val="auto"/>
                <w:w w:val="93"/>
              </w:rPr>
              <w:t>1.9</w:t>
            </w:r>
          </w:p>
        </w:tc>
        <w:tc>
          <w:tcPr>
            <w:tcW w:w="160" w:type="dxa"/>
            <w:vAlign w:val="bottom"/>
          </w:tcPr>
          <w:p>
            <w:pPr>
              <w:spacing w:after="0"/>
              <w:rPr>
                <w:sz w:val="12"/>
                <w:szCs w:val="12"/>
                <w:color w:val="auto"/>
              </w:rPr>
            </w:pPr>
          </w:p>
        </w:tc>
        <w:tc>
          <w:tcPr>
            <w:tcW w:w="860" w:type="dxa"/>
            <w:vAlign w:val="bottom"/>
            <w:gridSpan w:val="2"/>
          </w:tcPr>
          <w:p>
            <w:pPr>
              <w:jc w:val="right"/>
              <w:ind w:right="612"/>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200" w:type="dxa"/>
            <w:vAlign w:val="bottom"/>
          </w:tcPr>
          <w:p>
            <w:pPr>
              <w:spacing w:after="0"/>
              <w:rPr>
                <w:sz w:val="12"/>
                <w:szCs w:val="12"/>
                <w:color w:val="auto"/>
              </w:rPr>
            </w:pPr>
          </w:p>
        </w:tc>
        <w:tc>
          <w:tcPr>
            <w:tcW w:w="900" w:type="dxa"/>
            <w:vAlign w:val="bottom"/>
            <w:gridSpan w:val="2"/>
          </w:tcPr>
          <w:p>
            <w:pPr>
              <w:jc w:val="right"/>
              <w:ind w:right="692"/>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3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Customer Contract Balances</w:t>
            </w: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4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The following table provides the balance sheet location and amounts of contract assets, or unbilled accounts receivable, and contract liabilities, or deferred revenue, from contracts with customers: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400" w:type="dxa"/>
            <w:vAlign w:val="bottom"/>
            <w:vMerge w:val="restart"/>
          </w:tcPr>
          <w:p>
            <w:pPr>
              <w:ind w:left="1220"/>
              <w:spacing w:after="0"/>
              <w:rPr>
                <w:sz w:val="20"/>
                <w:szCs w:val="20"/>
                <w:color w:val="auto"/>
              </w:rPr>
            </w:pPr>
            <w:r>
              <w:rPr>
                <w:rFonts w:ascii="Times New Roman" w:cs="Times New Roman" w:eastAsia="Times New Roman" w:hAnsi="Times New Roman"/>
                <w:sz w:val="10"/>
                <w:szCs w:val="10"/>
                <w:b w:val="1"/>
                <w:bCs w:val="1"/>
                <w:color w:val="auto"/>
              </w:rPr>
              <w:t>Contract Balance Type</w:t>
            </w:r>
          </w:p>
        </w:tc>
        <w:tc>
          <w:tcPr>
            <w:tcW w:w="180" w:type="dxa"/>
            <w:vAlign w:val="bottom"/>
          </w:tcPr>
          <w:p>
            <w:pPr>
              <w:spacing w:after="0"/>
              <w:rPr>
                <w:sz w:val="13"/>
                <w:szCs w:val="13"/>
                <w:color w:val="auto"/>
              </w:rPr>
            </w:pPr>
          </w:p>
        </w:tc>
        <w:tc>
          <w:tcPr>
            <w:tcW w:w="310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0"/>
                <w:szCs w:val="10"/>
                <w:b w:val="1"/>
                <w:bCs w:val="1"/>
                <w:color w:val="auto"/>
              </w:rPr>
              <w:t>Balance Sheet Location</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tcBorders>
              <w:bottom w:val="single" w:sz="8" w:color="auto"/>
            </w:tcBorders>
            <w:gridSpan w:val="2"/>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2026</w:t>
            </w: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2025</w:t>
            </w: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3100" w:type="dxa"/>
            <w:vAlign w:val="bottom"/>
            <w:gridSpan w:val="2"/>
            <w:shd w:val="clear" w:color="auto" w:fill="CCECFF"/>
          </w:tcPr>
          <w:p>
            <w:pPr>
              <w:spacing w:after="0" w:line="122" w:lineRule="exact"/>
              <w:rPr>
                <w:sz w:val="20"/>
                <w:szCs w:val="20"/>
                <w:color w:val="auto"/>
              </w:rPr>
            </w:pPr>
            <w:r>
              <w:rPr>
                <w:rFonts w:ascii="Times New Roman" w:cs="Times New Roman" w:eastAsia="Times New Roman" w:hAnsi="Times New Roman"/>
                <w:sz w:val="12"/>
                <w:szCs w:val="12"/>
                <w:color w:val="auto"/>
              </w:rPr>
              <w:t>Accounts receivable, net of allowance</w:t>
            </w:r>
          </w:p>
        </w:tc>
        <w:tc>
          <w:tcPr>
            <w:tcW w:w="36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Unbilled accounts receivable</w:t>
            </w:r>
          </w:p>
        </w:tc>
        <w:tc>
          <w:tcPr>
            <w:tcW w:w="180" w:type="dxa"/>
            <w:vAlign w:val="bottom"/>
            <w:shd w:val="clear" w:color="auto" w:fill="CCECFF"/>
          </w:tcPr>
          <w:p>
            <w:pPr>
              <w:spacing w:after="0"/>
              <w:rPr>
                <w:sz w:val="13"/>
                <w:szCs w:val="13"/>
                <w:color w:val="auto"/>
              </w:rPr>
            </w:pPr>
          </w:p>
        </w:tc>
        <w:tc>
          <w:tcPr>
            <w:tcW w:w="310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2"/>
                <w:szCs w:val="12"/>
                <w:color w:val="auto"/>
              </w:rPr>
              <w:t>for credit losses</w:t>
            </w:r>
          </w:p>
        </w:tc>
        <w:tc>
          <w:tcPr>
            <w:tcW w:w="3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32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CFF"/>
          </w:tcPr>
          <w:p>
            <w:pPr>
              <w:spacing w:after="0"/>
              <w:rPr>
                <w:sz w:val="13"/>
                <w:szCs w:val="13"/>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Deferred revenue – current</w:t>
            </w:r>
          </w:p>
        </w:tc>
        <w:tc>
          <w:tcPr>
            <w:tcW w:w="180" w:type="dxa"/>
            <w:vAlign w:val="bottom"/>
            <w:shd w:val="clear" w:color="auto" w:fill="CCECFF"/>
          </w:tcPr>
          <w:p>
            <w:pPr>
              <w:spacing w:after="0"/>
              <w:rPr>
                <w:sz w:val="12"/>
                <w:szCs w:val="12"/>
                <w:color w:val="auto"/>
              </w:rPr>
            </w:pPr>
          </w:p>
        </w:tc>
        <w:tc>
          <w:tcPr>
            <w:tcW w:w="31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Accrued and other liabilities</w:t>
            </w:r>
          </w:p>
        </w:tc>
        <w:tc>
          <w:tcPr>
            <w:tcW w:w="3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32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 – noncurrent</w:t>
            </w:r>
          </w:p>
        </w:tc>
        <w:tc>
          <w:tcPr>
            <w:tcW w:w="180" w:type="dxa"/>
            <w:vAlign w:val="bottom"/>
          </w:tcPr>
          <w:p>
            <w:pPr>
              <w:spacing w:after="0"/>
              <w:rPr>
                <w:sz w:val="12"/>
                <w:szCs w:val="12"/>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0" w:type="dxa"/>
            <w:vAlign w:val="bottom"/>
            <w:shd w:val="clear" w:color="auto" w:fill="CCEC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contract liabilities</w:t>
            </w:r>
          </w:p>
        </w:tc>
        <w:tc>
          <w:tcPr>
            <w:tcW w:w="18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320" w:type="dxa"/>
            <w:vAlign w:val="bottom"/>
            <w:gridSpan w:val="2"/>
            <w:shd w:val="clear" w:color="auto" w:fill="CCECFF"/>
          </w:tcPr>
          <w:p>
            <w:pPr>
              <w:ind w:lef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26.0</w:t>
            </w:r>
          </w:p>
        </w:tc>
        <w:tc>
          <w:tcPr>
            <w:tcW w:w="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19.9</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400" w:type="dxa"/>
            <w:vAlign w:val="bottom"/>
            <w:tcBorders>
              <w:top w:val="single" w:sz="8" w:color="CCECFF"/>
            </w:tcBorders>
          </w:tcPr>
          <w:p>
            <w:pPr>
              <w:spacing w:after="0"/>
              <w:rPr>
                <w:sz w:val="24"/>
                <w:szCs w:val="24"/>
                <w:color w:val="auto"/>
              </w:rPr>
            </w:pPr>
          </w:p>
        </w:tc>
        <w:tc>
          <w:tcPr>
            <w:tcW w:w="2560" w:type="dxa"/>
            <w:vAlign w:val="bottom"/>
            <w:tcBorders>
              <w:top w:val="single" w:sz="8" w:color="CCECFF"/>
            </w:tcBorders>
            <w:gridSpan w:val="2"/>
          </w:tcPr>
          <w:p>
            <w:pPr>
              <w:jc w:val="right"/>
              <w:ind w:right="202"/>
              <w:spacing w:after="0"/>
              <w:rPr>
                <w:sz w:val="20"/>
                <w:szCs w:val="20"/>
                <w:color w:val="auto"/>
              </w:rPr>
            </w:pPr>
            <w:r>
              <w:rPr>
                <w:rFonts w:ascii="Times New Roman" w:cs="Times New Roman" w:eastAsia="Times New Roman" w:hAnsi="Times New Roman"/>
                <w:sz w:val="12"/>
                <w:szCs w:val="12"/>
                <w:color w:val="auto"/>
              </w:rPr>
              <w:t>18</w:t>
            </w:r>
          </w:p>
        </w:tc>
        <w:tc>
          <w:tcPr>
            <w:tcW w:w="720" w:type="dxa"/>
            <w:vAlign w:val="bottom"/>
            <w:tcBorders>
              <w:top w:val="single" w:sz="8" w:color="CCECFF"/>
            </w:tcBorders>
          </w:tcPr>
          <w:p>
            <w:pPr>
              <w:spacing w:after="0"/>
              <w:rPr>
                <w:sz w:val="24"/>
                <w:szCs w:val="24"/>
                <w:color w:val="auto"/>
              </w:rPr>
            </w:pPr>
          </w:p>
        </w:tc>
        <w:tc>
          <w:tcPr>
            <w:tcW w:w="360" w:type="dxa"/>
            <w:vAlign w:val="bottom"/>
            <w:tcBorders>
              <w:top w:val="single" w:sz="8" w:color="CCECFF"/>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760" w:type="dxa"/>
            <w:vAlign w:val="bottom"/>
            <w:tcBorders>
              <w:top w:val="single" w:sz="8" w:color="CCECFF"/>
            </w:tcBorders>
          </w:tcPr>
          <w:p>
            <w:pPr>
              <w:spacing w:after="0"/>
              <w:rPr>
                <w:sz w:val="24"/>
                <w:szCs w:val="24"/>
                <w:color w:val="auto"/>
              </w:rPr>
            </w:pPr>
          </w:p>
        </w:tc>
        <w:tc>
          <w:tcPr>
            <w:tcW w:w="160" w:type="dxa"/>
            <w:vAlign w:val="bottom"/>
            <w:tcBorders>
              <w:top w:val="single" w:sz="8" w:color="CCEC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200" w:type="dxa"/>
            <w:vAlign w:val="bottom"/>
            <w:tcBorders>
              <w:top w:val="single" w:sz="8" w:color="CCEC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792"/>
        </w:trPr>
        <w:tc>
          <w:tcPr>
            <w:tcW w:w="3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-2016760</wp:posOffset>
            </wp:positionV>
            <wp:extent cx="685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-2016760</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-2016760</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-2016760</wp:posOffset>
            </wp:positionV>
            <wp:extent cx="7429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-805180</wp:posOffset>
            </wp:positionV>
            <wp:extent cx="685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-793750</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-805180</wp:posOffset>
            </wp:positionV>
            <wp:extent cx="7429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-793750</wp:posOffset>
            </wp:positionV>
            <wp:extent cx="7429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19" w:name="page20"/>
    <w:bookmarkEnd w:id="1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56" w:lineRule="exact"/>
        <w:rPr>
          <w:sz w:val="20"/>
          <w:szCs w:val="20"/>
          <w:color w:val="auto"/>
        </w:rPr>
      </w:pPr>
    </w:p>
    <w:p>
      <w:pPr>
        <w:ind w:left="8" w:right="340"/>
        <w:spacing w:after="0" w:line="265" w:lineRule="auto"/>
        <w:rPr>
          <w:sz w:val="20"/>
          <w:szCs w:val="20"/>
          <w:color w:val="auto"/>
        </w:rPr>
      </w:pPr>
      <w:r>
        <w:rPr>
          <w:rFonts w:ascii="Times New Roman" w:cs="Times New Roman" w:eastAsia="Times New Roman" w:hAnsi="Times New Roman"/>
          <w:sz w:val="12"/>
          <w:szCs w:val="12"/>
          <w:color w:val="auto"/>
        </w:rPr>
        <w:t>There were no material changes to contract asset balances for the nine months ended September 30, 2026 as a result of changes in estimates or impairments. The change in the contract liability balance from December 31, 2025 to September 30, 2026 was primarily due to upfront support billings to be recognized over the support term. During the three and nine months ended September 30, 2026, the Company recognized $1.5 million and $15.5 million, respectively, of revenue related to contract liabilities recorded as of December 31, 2025.</w:t>
      </w:r>
    </w:p>
    <w:p>
      <w:pPr>
        <w:spacing w:after="0" w:line="187" w:lineRule="exact"/>
        <w:rPr>
          <w:sz w:val="20"/>
          <w:szCs w:val="20"/>
          <w:color w:val="auto"/>
        </w:rPr>
      </w:pPr>
    </w:p>
    <w:p>
      <w:pPr>
        <w:ind w:left="8" w:right="7780" w:hanging="8"/>
        <w:spacing w:after="0" w:line="412" w:lineRule="auto"/>
        <w:tabs>
          <w:tab w:leader="none" w:pos="128"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SUPPLEMENTAL FINANCIAL STATEMENT INFORMATION Inventories</w:t>
      </w:r>
    </w:p>
    <w:tbl>
      <w:tblPr>
        <w:tblLayout w:type="fixed"/>
        <w:tblInd w:w="8" w:type="dxa"/>
        <w:tblCellMar>
          <w:top w:w="0" w:type="dxa"/>
          <w:left w:w="0" w:type="dxa"/>
          <w:bottom w:w="0" w:type="dxa"/>
          <w:right w:w="0" w:type="dxa"/>
        </w:tblCellMar>
      </w:tblPr>
      <w:tr>
        <w:trPr>
          <w:trHeight w:val="110"/>
        </w:trPr>
        <w:tc>
          <w:tcPr>
            <w:tcW w:w="4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60" w:type="dxa"/>
            <w:vAlign w:val="bottom"/>
            <w:gridSpan w:val="5"/>
          </w:tcPr>
          <w:p>
            <w:pPr>
              <w:jc w:val="center"/>
              <w:ind w:right="1040"/>
              <w:spacing w:after="0" w:line="110"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2"/>
          </w:tcPr>
          <w:p>
            <w:pPr>
              <w:ind w:left="40"/>
              <w:spacing w:after="0" w:line="11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4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0"/>
                <w:szCs w:val="10"/>
                <w:b w:val="1"/>
                <w:bCs w:val="1"/>
                <w:color w:val="auto"/>
              </w:rPr>
              <w:t>2026</w:t>
            </w: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Raw materials</w:t>
            </w:r>
          </w:p>
        </w:tc>
        <w:tc>
          <w:tcPr>
            <w:tcW w:w="1640" w:type="dxa"/>
            <w:vAlign w:val="bottom"/>
            <w:gridSpan w:val="2"/>
            <w:shd w:val="clear" w:color="auto" w:fill="CCEC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CFF"/>
          </w:tcPr>
          <w:p>
            <w:pPr>
              <w:spacing w:after="0"/>
              <w:rPr>
                <w:sz w:val="11"/>
                <w:szCs w:val="11"/>
                <w:color w:val="auto"/>
              </w:rPr>
            </w:pPr>
          </w:p>
        </w:tc>
        <w:tc>
          <w:tcPr>
            <w:tcW w:w="1680" w:type="dxa"/>
            <w:vAlign w:val="bottom"/>
            <w:gridSpan w:val="3"/>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194.0</w:t>
            </w:r>
          </w:p>
        </w:tc>
        <w:tc>
          <w:tcPr>
            <w:tcW w:w="4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Work in process</w:t>
            </w: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60.1</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color w:val="auto"/>
              </w:rPr>
              <w:t>Finished goods</w:t>
            </w:r>
          </w:p>
        </w:tc>
        <w:tc>
          <w:tcPr>
            <w:tcW w:w="150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480" w:type="dxa"/>
            <w:vAlign w:val="bottom"/>
            <w:tcBorders>
              <w:bottom w:val="single" w:sz="8" w:color="auto"/>
            </w:tcBorders>
            <w:shd w:val="clear" w:color="auto" w:fill="CCECFF"/>
          </w:tcPr>
          <w:p>
            <w:pPr>
              <w:spacing w:after="0"/>
              <w:rPr>
                <w:sz w:val="12"/>
                <w:szCs w:val="12"/>
                <w:color w:val="auto"/>
              </w:rPr>
            </w:pPr>
          </w:p>
        </w:tc>
        <w:tc>
          <w:tcPr>
            <w:tcW w:w="1680" w:type="dxa"/>
            <w:vAlign w:val="bottom"/>
            <w:tcBorders>
              <w:bottom w:val="single" w:sz="8" w:color="auto"/>
            </w:tcBorders>
            <w:gridSpan w:val="3"/>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103.7</w:t>
            </w:r>
          </w:p>
        </w:tc>
        <w:tc>
          <w:tcPr>
            <w:tcW w:w="4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inventories, net</w:t>
            </w:r>
          </w:p>
        </w:tc>
        <w:tc>
          <w:tcPr>
            <w:tcW w:w="16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16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357.8</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4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Accrued and Other Liabilities</w:t>
            </w:r>
          </w:p>
        </w:tc>
        <w:tc>
          <w:tcPr>
            <w:tcW w:w="1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60" w:type="dxa"/>
            <w:vAlign w:val="bottom"/>
            <w:gridSpan w:val="5"/>
          </w:tcPr>
          <w:p>
            <w:pPr>
              <w:jc w:val="center"/>
              <w:ind w:right="840"/>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4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Special distributions payable</w:t>
            </w:r>
          </w:p>
        </w:tc>
        <w:tc>
          <w:tcPr>
            <w:tcW w:w="2120" w:type="dxa"/>
            <w:vAlign w:val="bottom"/>
            <w:gridSpan w:val="3"/>
            <w:shd w:val="clear" w:color="auto" w:fill="CCECFF"/>
          </w:tcPr>
          <w:p>
            <w:pPr>
              <w:jc w:val="right"/>
              <w:ind w:right="4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4"/>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54.1</w:t>
            </w:r>
          </w:p>
        </w:tc>
        <w:tc>
          <w:tcPr>
            <w:tcW w:w="340" w:type="dxa"/>
            <w:vAlign w:val="bottom"/>
            <w:shd w:val="clear" w:color="auto" w:fill="CCECFF"/>
          </w:tcPr>
          <w:p>
            <w:pPr>
              <w:spacing w:after="0"/>
              <w:rPr>
                <w:sz w:val="11"/>
                <w:szCs w:val="11"/>
                <w:color w:val="auto"/>
              </w:rPr>
            </w:pPr>
          </w:p>
        </w:tc>
        <w:tc>
          <w:tcPr>
            <w:tcW w:w="140" w:type="dxa"/>
            <w:vAlign w:val="bottom"/>
            <w:gridSpan w:val="2"/>
            <w:shd w:val="clear" w:color="auto" w:fill="CCEC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560" w:type="dxa"/>
            <w:vAlign w:val="bottom"/>
            <w:gridSpan w:val="2"/>
            <w:shd w:val="clear" w:color="auto" w:fill="CCEC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Compensation and employee benefit liabilities</w:t>
            </w: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1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72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3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Accrued tax liabilities</w:t>
            </w: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72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3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Product warranty accrual</w:t>
            </w: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Accrued interest</w:t>
            </w:r>
          </w:p>
        </w:tc>
        <w:tc>
          <w:tcPr>
            <w:tcW w:w="1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40" w:type="dxa"/>
            <w:vAlign w:val="bottom"/>
            <w:gridSpan w:val="3"/>
            <w:shd w:val="clear" w:color="auto" w:fill="CCEC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78.1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Total accrued and other liabilities</w:t>
            </w:r>
          </w:p>
        </w:tc>
        <w:tc>
          <w:tcPr>
            <w:tcW w:w="2120" w:type="dxa"/>
            <w:vAlign w:val="bottom"/>
            <w:gridSpan w:val="3"/>
            <w:shd w:val="clear" w:color="auto" w:fill="CCECFF"/>
          </w:tcPr>
          <w:p>
            <w:pPr>
              <w:jc w:val="right"/>
              <w:ind w:right="4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4"/>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176.0</w:t>
            </w:r>
          </w:p>
        </w:tc>
        <w:tc>
          <w:tcPr>
            <w:tcW w:w="340" w:type="dxa"/>
            <w:vAlign w:val="bottom"/>
            <w:shd w:val="clear" w:color="auto" w:fill="CCECFF"/>
          </w:tcPr>
          <w:p>
            <w:pPr>
              <w:spacing w:after="0"/>
              <w:rPr>
                <w:sz w:val="12"/>
                <w:szCs w:val="12"/>
                <w:color w:val="auto"/>
              </w:rPr>
            </w:pPr>
          </w:p>
        </w:tc>
        <w:tc>
          <w:tcPr>
            <w:tcW w:w="140" w:type="dxa"/>
            <w:vAlign w:val="bottom"/>
            <w:gridSpan w:val="2"/>
            <w:shd w:val="clear" w:color="auto" w:fill="CCEC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306.7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476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2"/>
                <w:szCs w:val="12"/>
                <w:b w:val="1"/>
                <w:bCs w:val="1"/>
                <w:color w:val="auto"/>
              </w:rPr>
              <w:t>Operating Lease Information</w:t>
            </w:r>
          </w:p>
        </w:tc>
        <w:tc>
          <w:tcPr>
            <w:tcW w:w="1500" w:type="dxa"/>
            <w:vAlign w:val="bottom"/>
            <w:tcBorders>
              <w:top w:val="single" w:sz="8" w:color="CCECFF"/>
            </w:tcBorders>
          </w:tcPr>
          <w:p>
            <w:pPr>
              <w:spacing w:after="0"/>
              <w:rPr>
                <w:sz w:val="24"/>
                <w:szCs w:val="24"/>
                <w:color w:val="auto"/>
              </w:rPr>
            </w:pPr>
          </w:p>
        </w:tc>
        <w:tc>
          <w:tcPr>
            <w:tcW w:w="140" w:type="dxa"/>
            <w:vAlign w:val="bottom"/>
            <w:tcBorders>
              <w:top w:val="single" w:sz="8" w:color="CCEC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CCECFF"/>
            </w:tcBorders>
          </w:tcPr>
          <w:p>
            <w:pPr>
              <w:spacing w:after="0"/>
              <w:rPr>
                <w:sz w:val="24"/>
                <w:szCs w:val="24"/>
                <w:color w:val="auto"/>
              </w:rPr>
            </w:pPr>
          </w:p>
        </w:tc>
        <w:tc>
          <w:tcPr>
            <w:tcW w:w="40" w:type="dxa"/>
            <w:vAlign w:val="bottom"/>
            <w:tcBorders>
              <w:top w:val="single" w:sz="8" w:color="CCEC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760" w:type="dxa"/>
            <w:vAlign w:val="bottom"/>
          </w:tcPr>
          <w:p>
            <w:pPr>
              <w:spacing w:after="0"/>
              <w:rPr>
                <w:sz w:val="17"/>
                <w:szCs w:val="17"/>
                <w:color w:val="auto"/>
              </w:rPr>
            </w:pPr>
          </w:p>
        </w:tc>
        <w:tc>
          <w:tcPr>
            <w:tcW w:w="2120" w:type="dxa"/>
            <w:vAlign w:val="bottom"/>
            <w:gridSpan w:val="3"/>
            <w:vMerge w:val="restart"/>
          </w:tcPr>
          <w:p>
            <w:pPr>
              <w:ind w:left="940"/>
              <w:spacing w:after="0"/>
              <w:rPr>
                <w:sz w:val="20"/>
                <w:szCs w:val="20"/>
                <w:color w:val="auto"/>
              </w:rPr>
            </w:pPr>
            <w:r>
              <w:rPr>
                <w:rFonts w:ascii="Times New Roman" w:cs="Times New Roman" w:eastAsia="Times New Roman" w:hAnsi="Times New Roman"/>
                <w:sz w:val="10"/>
                <w:szCs w:val="10"/>
                <w:b w:val="1"/>
                <w:bCs w:val="1"/>
                <w:color w:val="auto"/>
              </w:rPr>
              <w:t>Balance Sheet Location</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jc w:val="center"/>
              <w:ind w:left="328"/>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4760" w:type="dxa"/>
            <w:vAlign w:val="bottom"/>
          </w:tcPr>
          <w:p>
            <w:pPr>
              <w:spacing w:after="0"/>
              <w:rPr>
                <w:sz w:val="10"/>
                <w:szCs w:val="10"/>
                <w:color w:val="auto"/>
              </w:rPr>
            </w:pPr>
          </w:p>
        </w:tc>
        <w:tc>
          <w:tcPr>
            <w:tcW w:w="2120" w:type="dxa"/>
            <w:vAlign w:val="bottom"/>
            <w:tcBorders>
              <w:bottom w:val="single" w:sz="8" w:color="auto"/>
            </w:tcBorders>
            <w:gridSpan w:val="3"/>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2026</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Right of use assets</w:t>
            </w:r>
          </w:p>
        </w:tc>
        <w:tc>
          <w:tcPr>
            <w:tcW w:w="2120" w:type="dxa"/>
            <w:vAlign w:val="bottom"/>
            <w:gridSpan w:val="3"/>
            <w:shd w:val="clear" w:color="auto" w:fill="CCECFF"/>
          </w:tcPr>
          <w:p>
            <w:pPr>
              <w:ind w:left="20"/>
              <w:spacing w:after="0" w:line="133" w:lineRule="exact"/>
              <w:rPr>
                <w:sz w:val="20"/>
                <w:szCs w:val="20"/>
                <w:color w:val="auto"/>
              </w:rPr>
            </w:pPr>
            <w:r>
              <w:rPr>
                <w:rFonts w:ascii="Times New Roman" w:cs="Times New Roman" w:eastAsia="Times New Roman" w:hAnsi="Times New Roman"/>
                <w:sz w:val="12"/>
                <w:szCs w:val="12"/>
                <w:color w:val="auto"/>
              </w:rPr>
              <w:t>Other noncurrent assets</w:t>
            </w:r>
          </w:p>
        </w:tc>
        <w:tc>
          <w:tcPr>
            <w:tcW w:w="1680" w:type="dxa"/>
            <w:vAlign w:val="bottom"/>
            <w:gridSpan w:val="3"/>
            <w:shd w:val="clear" w:color="auto" w:fill="CCECFF"/>
          </w:tcPr>
          <w:p>
            <w:pPr>
              <w:jc w:val="right"/>
              <w:ind w:right="648"/>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27.3</w:t>
            </w:r>
          </w:p>
        </w:tc>
        <w:tc>
          <w:tcPr>
            <w:tcW w:w="380" w:type="dxa"/>
            <w:vAlign w:val="bottom"/>
            <w:gridSpan w:val="2"/>
            <w:shd w:val="clear" w:color="auto" w:fill="CCEC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2120" w:type="dxa"/>
            <w:vAlign w:val="bottom"/>
            <w:gridSpan w:val="3"/>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Lease liabilities – current</w:t>
            </w:r>
          </w:p>
        </w:tc>
        <w:tc>
          <w:tcPr>
            <w:tcW w:w="21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Accrued and other liabilities</w:t>
            </w:r>
          </w:p>
        </w:tc>
        <w:tc>
          <w:tcPr>
            <w:tcW w:w="1680" w:type="dxa"/>
            <w:vAlign w:val="bottom"/>
            <w:gridSpan w:val="3"/>
            <w:shd w:val="clear" w:color="auto" w:fill="CCECFF"/>
          </w:tcPr>
          <w:p>
            <w:pPr>
              <w:jc w:val="right"/>
              <w:ind w:right="648"/>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3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Lease liabilities – noncurrent</w:t>
            </w:r>
          </w:p>
        </w:tc>
        <w:tc>
          <w:tcPr>
            <w:tcW w:w="21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Total lease liabilities</w:t>
            </w:r>
          </w:p>
        </w:tc>
        <w:tc>
          <w:tcPr>
            <w:tcW w:w="1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680" w:type="dxa"/>
            <w:vAlign w:val="bottom"/>
            <w:gridSpan w:val="3"/>
            <w:shd w:val="clear" w:color="auto" w:fill="CCECFF"/>
          </w:tcPr>
          <w:p>
            <w:pPr>
              <w:jc w:val="right"/>
              <w:ind w:right="648"/>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35.1</w:t>
            </w:r>
          </w:p>
        </w:tc>
        <w:tc>
          <w:tcPr>
            <w:tcW w:w="380" w:type="dxa"/>
            <w:vAlign w:val="bottom"/>
            <w:gridSpan w:val="2"/>
            <w:shd w:val="clear" w:color="auto" w:fill="CCEC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760" w:type="dxa"/>
            <w:vAlign w:val="bottom"/>
            <w:tcBorders>
              <w:top w:val="single" w:sz="8" w:color="CCECFF"/>
            </w:tcBorders>
          </w:tcPr>
          <w:p>
            <w:pPr>
              <w:spacing w:after="0"/>
              <w:rPr>
                <w:sz w:val="24"/>
                <w:szCs w:val="24"/>
                <w:color w:val="auto"/>
              </w:rPr>
            </w:pPr>
          </w:p>
        </w:tc>
        <w:tc>
          <w:tcPr>
            <w:tcW w:w="1500" w:type="dxa"/>
            <w:vAlign w:val="bottom"/>
            <w:tcBorders>
              <w:top w:val="single" w:sz="8" w:color="CCECFF"/>
            </w:tcBorders>
          </w:tcPr>
          <w:p>
            <w:pPr>
              <w:ind w:left="820"/>
              <w:spacing w:after="0"/>
              <w:rPr>
                <w:sz w:val="20"/>
                <w:szCs w:val="20"/>
                <w:color w:val="auto"/>
              </w:rPr>
            </w:pPr>
            <w:r>
              <w:rPr>
                <w:rFonts w:ascii="Times New Roman" w:cs="Times New Roman" w:eastAsia="Times New Roman" w:hAnsi="Times New Roman"/>
                <w:sz w:val="12"/>
                <w:szCs w:val="12"/>
                <w:color w:val="auto"/>
              </w:rPr>
              <w:t>19</w:t>
            </w:r>
          </w:p>
        </w:tc>
        <w:tc>
          <w:tcPr>
            <w:tcW w:w="140" w:type="dxa"/>
            <w:vAlign w:val="bottom"/>
            <w:tcBorders>
              <w:top w:val="single" w:sz="8" w:color="CCECFF"/>
            </w:tcBorders>
          </w:tcPr>
          <w:p>
            <w:pPr>
              <w:spacing w:after="0"/>
              <w:rPr>
                <w:sz w:val="24"/>
                <w:szCs w:val="24"/>
                <w:color w:val="auto"/>
              </w:rPr>
            </w:pPr>
          </w:p>
        </w:tc>
        <w:tc>
          <w:tcPr>
            <w:tcW w:w="480" w:type="dxa"/>
            <w:vAlign w:val="bottom"/>
            <w:tcBorders>
              <w:top w:val="single" w:sz="8" w:color="CCECFF"/>
            </w:tcBorders>
          </w:tcPr>
          <w:p>
            <w:pPr>
              <w:spacing w:after="0"/>
              <w:rPr>
                <w:sz w:val="24"/>
                <w:szCs w:val="24"/>
                <w:color w:val="auto"/>
              </w:rPr>
            </w:pPr>
          </w:p>
        </w:tc>
        <w:tc>
          <w:tcPr>
            <w:tcW w:w="720" w:type="dxa"/>
            <w:vAlign w:val="bottom"/>
            <w:tcBorders>
              <w:top w:val="single" w:sz="8" w:color="CCECFF"/>
            </w:tcBorders>
          </w:tcPr>
          <w:p>
            <w:pPr>
              <w:spacing w:after="0"/>
              <w:rPr>
                <w:sz w:val="24"/>
                <w:szCs w:val="24"/>
                <w:color w:val="auto"/>
              </w:rPr>
            </w:pPr>
          </w:p>
        </w:tc>
        <w:tc>
          <w:tcPr>
            <w:tcW w:w="200" w:type="dxa"/>
            <w:vAlign w:val="bottom"/>
            <w:tcBorders>
              <w:top w:val="single" w:sz="8" w:color="CCEC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CCEC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792"/>
        </w:trPr>
        <w:tc>
          <w:tcPr>
            <w:tcW w:w="47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-3096895</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-3096895</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-1719580</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-1708150</wp:posOffset>
            </wp:positionV>
            <wp:extent cx="685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-1719580</wp:posOffset>
            </wp:positionV>
            <wp:extent cx="7429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-1708150</wp:posOffset>
            </wp:positionV>
            <wp:extent cx="7429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-805180</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-793750</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-805180</wp:posOffset>
            </wp:positionV>
            <wp:extent cx="685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-793750</wp:posOffset>
            </wp:positionV>
            <wp:extent cx="6858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Accumulated Other Comprehensive Income (Loss) (AOCI (AOCL))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changes in AOCI (AOCL), net of tax:</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20" w:type="dxa"/>
            <w:vAlign w:val="bottom"/>
          </w:tcPr>
          <w:p>
            <w:pPr>
              <w:spacing w:after="0"/>
              <w:rPr>
                <w:sz w:val="7"/>
                <w:szCs w:val="7"/>
                <w:color w:val="auto"/>
              </w:rPr>
            </w:pPr>
          </w:p>
        </w:tc>
        <w:tc>
          <w:tcPr>
            <w:tcW w:w="780" w:type="dxa"/>
            <w:vAlign w:val="bottom"/>
            <w:tcBorders>
              <w:bottom w:val="single" w:sz="8" w:color="auto"/>
            </w:tcBorders>
          </w:tcPr>
          <w:p>
            <w:pPr>
              <w:jc w:val="right"/>
              <w:ind w:right="47"/>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4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421"/>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2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442"/>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461"/>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113"/>
        </w:trPr>
        <w:tc>
          <w:tcPr>
            <w:tcW w:w="1360" w:type="dxa"/>
            <w:vAlign w:val="bottom"/>
            <w:tcBorders>
              <w:bottom w:val="single" w:sz="8" w:color="auto"/>
            </w:tcBorders>
            <w:gridSpan w:val="2"/>
            <w:shd w:val="clear" w:color="auto" w:fill="CCECFF"/>
          </w:tcPr>
          <w:p>
            <w:pPr>
              <w:spacing w:after="0" w:line="106" w:lineRule="exact"/>
              <w:rPr>
                <w:sz w:val="20"/>
                <w:szCs w:val="20"/>
                <w:color w:val="auto"/>
              </w:rPr>
            </w:pPr>
            <w:r>
              <w:rPr>
                <w:rFonts w:ascii="Times New Roman" w:cs="Times New Roman" w:eastAsia="Times New Roman" w:hAnsi="Times New Roman"/>
                <w:sz w:val="12"/>
                <w:szCs w:val="12"/>
                <w:color w:val="auto"/>
                <w:w w:val="98"/>
              </w:rPr>
              <w:t>Foreign currency translation</w:t>
            </w:r>
          </w:p>
        </w:tc>
        <w:tc>
          <w:tcPr>
            <w:tcW w:w="4220" w:type="dxa"/>
            <w:vAlign w:val="bottom"/>
            <w:tcBorders>
              <w:bottom w:val="single" w:sz="8" w:color="CCECFF"/>
            </w:tcBorders>
            <w:shd w:val="clear" w:color="auto" w:fill="CCECFF"/>
          </w:tcPr>
          <w:p>
            <w:pPr>
              <w:spacing w:after="0"/>
              <w:rPr>
                <w:sz w:val="9"/>
                <w:szCs w:val="9"/>
                <w:color w:val="auto"/>
              </w:rPr>
            </w:pPr>
          </w:p>
        </w:tc>
        <w:tc>
          <w:tcPr>
            <w:tcW w:w="780" w:type="dxa"/>
            <w:vAlign w:val="bottom"/>
            <w:tcBorders>
              <w:bottom w:val="single" w:sz="8" w:color="CCECFF"/>
            </w:tcBorders>
            <w:shd w:val="clear" w:color="auto" w:fill="CCECFF"/>
          </w:tcPr>
          <w:p>
            <w:pPr>
              <w:spacing w:after="0"/>
              <w:rPr>
                <w:sz w:val="9"/>
                <w:szCs w:val="9"/>
                <w:color w:val="auto"/>
              </w:rPr>
            </w:pPr>
          </w:p>
        </w:tc>
        <w:tc>
          <w:tcPr>
            <w:tcW w:w="400" w:type="dxa"/>
            <w:vAlign w:val="bottom"/>
            <w:tcBorders>
              <w:bottom w:val="single" w:sz="8" w:color="CCECFF"/>
            </w:tcBorders>
            <w:shd w:val="clear" w:color="auto" w:fill="CCECFF"/>
          </w:tcPr>
          <w:p>
            <w:pPr>
              <w:spacing w:after="0"/>
              <w:rPr>
                <w:sz w:val="9"/>
                <w:szCs w:val="9"/>
                <w:color w:val="auto"/>
              </w:rPr>
            </w:pPr>
          </w:p>
        </w:tc>
        <w:tc>
          <w:tcPr>
            <w:tcW w:w="320" w:type="dxa"/>
            <w:vAlign w:val="bottom"/>
            <w:tcBorders>
              <w:bottom w:val="single" w:sz="8" w:color="CCECFF"/>
            </w:tcBorders>
            <w:shd w:val="clear" w:color="auto" w:fill="CCECFF"/>
          </w:tcPr>
          <w:p>
            <w:pPr>
              <w:spacing w:after="0"/>
              <w:rPr>
                <w:sz w:val="9"/>
                <w:szCs w:val="9"/>
                <w:color w:val="auto"/>
              </w:rPr>
            </w:pPr>
          </w:p>
        </w:tc>
        <w:tc>
          <w:tcPr>
            <w:tcW w:w="380" w:type="dxa"/>
            <w:vAlign w:val="bottom"/>
            <w:tcBorders>
              <w:bottom w:val="single" w:sz="8" w:color="CCECFF"/>
            </w:tcBorders>
            <w:shd w:val="clear" w:color="auto" w:fill="CCECFF"/>
          </w:tcPr>
          <w:p>
            <w:pPr>
              <w:spacing w:after="0"/>
              <w:rPr>
                <w:sz w:val="9"/>
                <w:szCs w:val="9"/>
                <w:color w:val="auto"/>
              </w:rPr>
            </w:pPr>
          </w:p>
        </w:tc>
        <w:tc>
          <w:tcPr>
            <w:tcW w:w="780" w:type="dxa"/>
            <w:vAlign w:val="bottom"/>
            <w:tcBorders>
              <w:bottom w:val="single" w:sz="8" w:color="CCECFF"/>
            </w:tcBorders>
            <w:shd w:val="clear" w:color="auto" w:fill="CCECFF"/>
          </w:tcPr>
          <w:p>
            <w:pPr>
              <w:spacing w:after="0"/>
              <w:rPr>
                <w:sz w:val="9"/>
                <w:szCs w:val="9"/>
                <w:color w:val="auto"/>
              </w:rPr>
            </w:pPr>
          </w:p>
        </w:tc>
        <w:tc>
          <w:tcPr>
            <w:tcW w:w="220" w:type="dxa"/>
            <w:vAlign w:val="bottom"/>
            <w:tcBorders>
              <w:bottom w:val="single" w:sz="8" w:color="CCECFF"/>
            </w:tcBorders>
            <w:shd w:val="clear" w:color="auto" w:fill="CCECFF"/>
          </w:tcPr>
          <w:p>
            <w:pPr>
              <w:spacing w:after="0"/>
              <w:rPr>
                <w:sz w:val="9"/>
                <w:szCs w:val="9"/>
                <w:color w:val="auto"/>
              </w:rPr>
            </w:pPr>
          </w:p>
        </w:tc>
        <w:tc>
          <w:tcPr>
            <w:tcW w:w="280" w:type="dxa"/>
            <w:vAlign w:val="bottom"/>
            <w:tcBorders>
              <w:bottom w:val="single" w:sz="8" w:color="CCECFF"/>
            </w:tcBorders>
            <w:shd w:val="clear" w:color="auto" w:fill="CCECFF"/>
          </w:tcPr>
          <w:p>
            <w:pPr>
              <w:spacing w:after="0"/>
              <w:rPr>
                <w:sz w:val="9"/>
                <w:szCs w:val="9"/>
                <w:color w:val="auto"/>
              </w:rPr>
            </w:pPr>
          </w:p>
        </w:tc>
        <w:tc>
          <w:tcPr>
            <w:tcW w:w="920" w:type="dxa"/>
            <w:vAlign w:val="bottom"/>
            <w:tcBorders>
              <w:bottom w:val="single" w:sz="8" w:color="CCECFF"/>
            </w:tcBorders>
            <w:shd w:val="clear" w:color="auto" w:fill="CCECFF"/>
          </w:tcPr>
          <w:p>
            <w:pPr>
              <w:spacing w:after="0"/>
              <w:rPr>
                <w:sz w:val="9"/>
                <w:szCs w:val="9"/>
                <w:color w:val="auto"/>
              </w:rPr>
            </w:pPr>
          </w:p>
        </w:tc>
        <w:tc>
          <w:tcPr>
            <w:tcW w:w="300" w:type="dxa"/>
            <w:vAlign w:val="bottom"/>
            <w:tcBorders>
              <w:bottom w:val="single" w:sz="8" w:color="CCECFF"/>
            </w:tcBorders>
            <w:shd w:val="clear" w:color="auto" w:fill="CCECFF"/>
          </w:tcPr>
          <w:p>
            <w:pPr>
              <w:spacing w:after="0"/>
              <w:rPr>
                <w:sz w:val="9"/>
                <w:szCs w:val="9"/>
                <w:color w:val="auto"/>
              </w:rPr>
            </w:pPr>
          </w:p>
        </w:tc>
        <w:tc>
          <w:tcPr>
            <w:tcW w:w="400" w:type="dxa"/>
            <w:vAlign w:val="bottom"/>
            <w:tcBorders>
              <w:bottom w:val="single" w:sz="8" w:color="CCECFF"/>
            </w:tcBorders>
            <w:shd w:val="clear" w:color="auto" w:fill="CCECFF"/>
          </w:tcPr>
          <w:p>
            <w:pPr>
              <w:spacing w:after="0"/>
              <w:rPr>
                <w:sz w:val="9"/>
                <w:szCs w:val="9"/>
                <w:color w:val="auto"/>
              </w:rPr>
            </w:pPr>
          </w:p>
        </w:tc>
        <w:tc>
          <w:tcPr>
            <w:tcW w:w="820" w:type="dxa"/>
            <w:vAlign w:val="bottom"/>
            <w:tcBorders>
              <w:bottom w:val="single" w:sz="8" w:color="CCECFF"/>
            </w:tcBorders>
            <w:shd w:val="clear" w:color="auto" w:fill="CCECFF"/>
          </w:tcPr>
          <w:p>
            <w:pPr>
              <w:spacing w:after="0"/>
              <w:rPr>
                <w:sz w:val="9"/>
                <w:szCs w:val="9"/>
                <w:color w:val="auto"/>
              </w:rPr>
            </w:pPr>
          </w:p>
        </w:tc>
        <w:tc>
          <w:tcPr>
            <w:tcW w:w="120" w:type="dxa"/>
            <w:vAlign w:val="bottom"/>
            <w:tcBorders>
              <w:bottom w:val="single" w:sz="8" w:color="CCECFF"/>
            </w:tcBorders>
            <w:shd w:val="clear" w:color="auto" w:fill="CCECFF"/>
          </w:tcPr>
          <w:p>
            <w:pPr>
              <w:spacing w:after="0"/>
              <w:rPr>
                <w:sz w:val="9"/>
                <w:szCs w:val="9"/>
                <w:color w:val="auto"/>
              </w:rPr>
            </w:pPr>
          </w:p>
        </w:tc>
      </w:tr>
      <w:tr>
        <w:trPr>
          <w:trHeight w:val="144"/>
        </w:trPr>
        <w:tc>
          <w:tcPr>
            <w:tcW w:w="5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780" w:type="dxa"/>
            <w:vAlign w:val="bottom"/>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(79.9)</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(81.6)</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(308.8)</w:t>
            </w:r>
          </w:p>
        </w:tc>
      </w:tr>
      <w:tr>
        <w:trPr>
          <w:trHeight w:val="144"/>
        </w:trPr>
        <w:tc>
          <w:tcPr>
            <w:tcW w:w="55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78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32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(6.1)</w:t>
            </w:r>
          </w:p>
        </w:tc>
        <w:tc>
          <w:tcPr>
            <w:tcW w:w="28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(5.3)</w:t>
            </w:r>
          </w:p>
        </w:tc>
        <w:tc>
          <w:tcPr>
            <w:tcW w:w="4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123.6</w:t>
            </w:r>
          </w:p>
        </w:tc>
        <w:tc>
          <w:tcPr>
            <w:tcW w:w="120" w:type="dxa"/>
            <w:vAlign w:val="bottom"/>
            <w:shd w:val="clear" w:color="auto" w:fill="CCECFF"/>
          </w:tcPr>
          <w:p>
            <w:pPr>
              <w:spacing w:after="0"/>
              <w:rPr>
                <w:sz w:val="12"/>
                <w:szCs w:val="12"/>
                <w:color w:val="auto"/>
              </w:rPr>
            </w:pPr>
          </w:p>
        </w:tc>
      </w:tr>
      <w:tr>
        <w:trPr>
          <w:trHeight w:val="144"/>
        </w:trPr>
        <w:tc>
          <w:tcPr>
            <w:tcW w:w="5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Amounts reclassified from AOCI (AOCL)</w:t>
            </w:r>
          </w:p>
        </w:tc>
        <w:tc>
          <w:tcPr>
            <w:tcW w:w="78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(0.9)</w:t>
            </w:r>
          </w:p>
        </w:tc>
        <w:tc>
          <w:tcPr>
            <w:tcW w:w="3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12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5580" w:type="dxa"/>
            <w:vAlign w:val="bottom"/>
            <w:gridSpan w:val="3"/>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780" w:type="dxa"/>
            <w:vAlign w:val="bottom"/>
            <w:shd w:val="clear" w:color="auto" w:fill="CCECFF"/>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0.9</w:t>
            </w:r>
          </w:p>
        </w:tc>
        <w:tc>
          <w:tcPr>
            <w:tcW w:w="320" w:type="dxa"/>
            <w:vAlign w:val="bottom"/>
            <w:shd w:val="clear" w:color="auto" w:fill="CCECFF"/>
          </w:tcPr>
          <w:p>
            <w:pPr>
              <w:spacing w:after="0"/>
              <w:rPr>
                <w:sz w:val="11"/>
                <w:szCs w:val="11"/>
                <w:color w:val="auto"/>
              </w:rPr>
            </w:pPr>
          </w:p>
        </w:tc>
        <w:tc>
          <w:tcPr>
            <w:tcW w:w="380" w:type="dxa"/>
            <w:vAlign w:val="bottom"/>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C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(86.0)</w:t>
            </w:r>
          </w:p>
        </w:tc>
        <w:tc>
          <w:tcPr>
            <w:tcW w:w="280" w:type="dxa"/>
            <w:vAlign w:val="bottom"/>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0.9</w:t>
            </w:r>
          </w:p>
        </w:tc>
        <w:tc>
          <w:tcPr>
            <w:tcW w:w="300" w:type="dxa"/>
            <w:vAlign w:val="bottom"/>
            <w:shd w:val="clear" w:color="auto" w:fill="CCECFF"/>
          </w:tcPr>
          <w:p>
            <w:pPr>
              <w:spacing w:after="0"/>
              <w:rPr>
                <w:sz w:val="11"/>
                <w:szCs w:val="11"/>
                <w:color w:val="auto"/>
              </w:rPr>
            </w:pPr>
          </w:p>
        </w:tc>
        <w:tc>
          <w:tcPr>
            <w:tcW w:w="400" w:type="dxa"/>
            <w:vAlign w:val="bottom"/>
            <w:shd w:val="clear" w:color="auto" w:fill="CCEC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C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(86.0)</w:t>
            </w:r>
          </w:p>
        </w:tc>
      </w:tr>
      <w:tr>
        <w:trPr>
          <w:trHeight w:val="133"/>
        </w:trPr>
        <w:tc>
          <w:tcPr>
            <w:tcW w:w="1000" w:type="dxa"/>
            <w:vAlign w:val="bottom"/>
            <w:tcBorders>
              <w:top w:val="single" w:sz="8" w:color="CCECFF"/>
            </w:tcBorders>
          </w:tcPr>
          <w:p>
            <w:pPr>
              <w:spacing w:after="0"/>
              <w:rPr>
                <w:sz w:val="11"/>
                <w:szCs w:val="11"/>
                <w:color w:val="auto"/>
              </w:rPr>
            </w:pPr>
          </w:p>
        </w:tc>
        <w:tc>
          <w:tcPr>
            <w:tcW w:w="360" w:type="dxa"/>
            <w:vAlign w:val="bottom"/>
            <w:tcBorders>
              <w:top w:val="single" w:sz="8" w:color="CCECFF"/>
            </w:tcBorders>
          </w:tcPr>
          <w:p>
            <w:pPr>
              <w:spacing w:after="0"/>
              <w:rPr>
                <w:sz w:val="11"/>
                <w:szCs w:val="11"/>
                <w:color w:val="auto"/>
              </w:rPr>
            </w:pPr>
          </w:p>
        </w:tc>
        <w:tc>
          <w:tcPr>
            <w:tcW w:w="4220" w:type="dxa"/>
            <w:vAlign w:val="bottom"/>
            <w:tcBorders>
              <w:top w:val="single" w:sz="8" w:color="CCEC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CCEC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00" w:type="dxa"/>
            <w:vAlign w:val="bottom"/>
            <w:tcBorders>
              <w:top w:val="single" w:sz="8" w:color="CCEC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r>
      <w:tr>
        <w:trPr>
          <w:trHeight w:val="117"/>
        </w:trPr>
        <w:tc>
          <w:tcPr>
            <w:tcW w:w="5580" w:type="dxa"/>
            <w:vAlign w:val="bottom"/>
            <w:gridSpan w:val="3"/>
            <w:shd w:val="clear" w:color="auto" w:fill="CCECFF"/>
          </w:tcPr>
          <w:p>
            <w:pPr>
              <w:spacing w:after="0" w:line="117" w:lineRule="exact"/>
              <w:rPr>
                <w:sz w:val="20"/>
                <w:szCs w:val="20"/>
                <w:color w:val="auto"/>
              </w:rPr>
            </w:pPr>
            <w:r>
              <w:rPr>
                <w:rFonts w:ascii="Times New Roman" w:cs="Times New Roman" w:eastAsia="Times New Roman" w:hAnsi="Times New Roman"/>
                <w:sz w:val="12"/>
                <w:szCs w:val="12"/>
                <w:color w:val="auto"/>
              </w:rPr>
              <w:t>Defined benefit plan activity</w:t>
            </w:r>
          </w:p>
        </w:tc>
        <w:tc>
          <w:tcPr>
            <w:tcW w:w="78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3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27"/>
        </w:trPr>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20" w:type="dxa"/>
            <w:vAlign w:val="bottom"/>
            <w:shd w:val="clear" w:color="auto" w:fill="CCECFF"/>
          </w:tcPr>
          <w:p>
            <w:pPr>
              <w:spacing w:after="0"/>
              <w:rPr>
                <w:sz w:val="2"/>
                <w:szCs w:val="2"/>
                <w:color w:val="auto"/>
              </w:rPr>
            </w:pPr>
          </w:p>
        </w:tc>
        <w:tc>
          <w:tcPr>
            <w:tcW w:w="780" w:type="dxa"/>
            <w:vAlign w:val="bottom"/>
            <w:shd w:val="clear" w:color="auto" w:fill="CCECFF"/>
          </w:tcPr>
          <w:p>
            <w:pPr>
              <w:spacing w:after="0"/>
              <w:rPr>
                <w:sz w:val="2"/>
                <w:szCs w:val="2"/>
                <w:color w:val="auto"/>
              </w:rPr>
            </w:pPr>
          </w:p>
        </w:tc>
        <w:tc>
          <w:tcPr>
            <w:tcW w:w="400" w:type="dxa"/>
            <w:vAlign w:val="bottom"/>
            <w:shd w:val="clear" w:color="auto" w:fill="CCECFF"/>
          </w:tcPr>
          <w:p>
            <w:pPr>
              <w:spacing w:after="0"/>
              <w:rPr>
                <w:sz w:val="2"/>
                <w:szCs w:val="2"/>
                <w:color w:val="auto"/>
              </w:rPr>
            </w:pPr>
          </w:p>
        </w:tc>
        <w:tc>
          <w:tcPr>
            <w:tcW w:w="320" w:type="dxa"/>
            <w:vAlign w:val="bottom"/>
            <w:shd w:val="clear" w:color="auto" w:fill="CCECFF"/>
          </w:tcPr>
          <w:p>
            <w:pPr>
              <w:spacing w:after="0"/>
              <w:rPr>
                <w:sz w:val="2"/>
                <w:szCs w:val="2"/>
                <w:color w:val="auto"/>
              </w:rPr>
            </w:pPr>
          </w:p>
        </w:tc>
        <w:tc>
          <w:tcPr>
            <w:tcW w:w="380" w:type="dxa"/>
            <w:vAlign w:val="bottom"/>
            <w:shd w:val="clear" w:color="auto" w:fill="CCECFF"/>
          </w:tcPr>
          <w:p>
            <w:pPr>
              <w:spacing w:after="0"/>
              <w:rPr>
                <w:sz w:val="2"/>
                <w:szCs w:val="2"/>
                <w:color w:val="auto"/>
              </w:rPr>
            </w:pPr>
          </w:p>
        </w:tc>
        <w:tc>
          <w:tcPr>
            <w:tcW w:w="780" w:type="dxa"/>
            <w:vAlign w:val="bottom"/>
            <w:shd w:val="clear" w:color="auto" w:fill="CCECFF"/>
          </w:tcPr>
          <w:p>
            <w:pPr>
              <w:spacing w:after="0"/>
              <w:rPr>
                <w:sz w:val="2"/>
                <w:szCs w:val="2"/>
                <w:color w:val="auto"/>
              </w:rPr>
            </w:pPr>
          </w:p>
        </w:tc>
        <w:tc>
          <w:tcPr>
            <w:tcW w:w="220" w:type="dxa"/>
            <w:vAlign w:val="bottom"/>
            <w:shd w:val="clear" w:color="auto" w:fill="CCECFF"/>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920" w:type="dxa"/>
            <w:vAlign w:val="bottom"/>
            <w:shd w:val="clear" w:color="auto" w:fill="CCECFF"/>
          </w:tcPr>
          <w:p>
            <w:pPr>
              <w:spacing w:after="0"/>
              <w:rPr>
                <w:sz w:val="2"/>
                <w:szCs w:val="2"/>
                <w:color w:val="auto"/>
              </w:rPr>
            </w:pPr>
          </w:p>
        </w:tc>
        <w:tc>
          <w:tcPr>
            <w:tcW w:w="300" w:type="dxa"/>
            <w:vAlign w:val="bottom"/>
            <w:shd w:val="clear" w:color="auto" w:fill="CCECFF"/>
          </w:tcPr>
          <w:p>
            <w:pPr>
              <w:spacing w:after="0"/>
              <w:rPr>
                <w:sz w:val="2"/>
                <w:szCs w:val="2"/>
                <w:color w:val="auto"/>
              </w:rPr>
            </w:pPr>
          </w:p>
        </w:tc>
        <w:tc>
          <w:tcPr>
            <w:tcW w:w="400" w:type="dxa"/>
            <w:vAlign w:val="bottom"/>
            <w:shd w:val="clear" w:color="auto" w:fill="CCECFF"/>
          </w:tcPr>
          <w:p>
            <w:pPr>
              <w:spacing w:after="0"/>
              <w:rPr>
                <w:sz w:val="2"/>
                <w:szCs w:val="2"/>
                <w:color w:val="auto"/>
              </w:rPr>
            </w:pPr>
          </w:p>
        </w:tc>
        <w:tc>
          <w:tcPr>
            <w:tcW w:w="820" w:type="dxa"/>
            <w:vAlign w:val="bottom"/>
            <w:shd w:val="clear" w:color="auto" w:fill="CCECFF"/>
          </w:tcPr>
          <w:p>
            <w:pPr>
              <w:spacing w:after="0"/>
              <w:rPr>
                <w:sz w:val="2"/>
                <w:szCs w:val="2"/>
                <w:color w:val="auto"/>
              </w:rPr>
            </w:pPr>
          </w:p>
        </w:tc>
        <w:tc>
          <w:tcPr>
            <w:tcW w:w="120" w:type="dxa"/>
            <w:vAlign w:val="bottom"/>
            <w:shd w:val="clear" w:color="auto" w:fill="CCECFF"/>
          </w:tcPr>
          <w:p>
            <w:pPr>
              <w:spacing w:after="0"/>
              <w:rPr>
                <w:sz w:val="2"/>
                <w:szCs w:val="2"/>
                <w:color w:val="auto"/>
              </w:rPr>
            </w:pPr>
          </w:p>
        </w:tc>
      </w:tr>
      <w:tr>
        <w:trPr>
          <w:trHeight w:val="144"/>
        </w:trPr>
        <w:tc>
          <w:tcPr>
            <w:tcW w:w="5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780" w:type="dxa"/>
            <w:vAlign w:val="bottom"/>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32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(15.3)</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(18.7)</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(15.5)</w:t>
            </w:r>
          </w:p>
        </w:tc>
      </w:tr>
      <w:tr>
        <w:trPr>
          <w:trHeight w:val="144"/>
        </w:trPr>
        <w:tc>
          <w:tcPr>
            <w:tcW w:w="55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78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2"/>
                <w:szCs w:val="12"/>
                <w:color w:val="auto"/>
              </w:rPr>
              <w:t>(0.6)</w:t>
            </w:r>
          </w:p>
        </w:tc>
        <w:tc>
          <w:tcPr>
            <w:tcW w:w="3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(0.2)</w:t>
            </w:r>
          </w:p>
        </w:tc>
        <w:tc>
          <w:tcPr>
            <w:tcW w:w="40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shd w:val="clear" w:color="auto" w:fill="CCECFF"/>
          </w:tcPr>
          <w:p>
            <w:pPr>
              <w:spacing w:after="0"/>
              <w:rPr>
                <w:sz w:val="12"/>
                <w:szCs w:val="12"/>
                <w:color w:val="auto"/>
              </w:rPr>
            </w:pPr>
          </w:p>
        </w:tc>
      </w:tr>
      <w:tr>
        <w:trPr>
          <w:trHeight w:val="144"/>
        </w:trPr>
        <w:tc>
          <w:tcPr>
            <w:tcW w:w="5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Amounts reclassified from AOCI (AOCL)</w:t>
            </w:r>
          </w:p>
        </w:tc>
        <w:tc>
          <w:tcPr>
            <w:tcW w:w="7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r>
      <w:tr>
        <w:trPr>
          <w:trHeight w:val="133"/>
        </w:trPr>
        <w:tc>
          <w:tcPr>
            <w:tcW w:w="5580" w:type="dxa"/>
            <w:vAlign w:val="bottom"/>
            <w:gridSpan w:val="3"/>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780" w:type="dxa"/>
            <w:vAlign w:val="bottom"/>
            <w:shd w:val="clear" w:color="auto" w:fill="CCECFF"/>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320" w:type="dxa"/>
            <w:vAlign w:val="bottom"/>
            <w:shd w:val="clear" w:color="auto" w:fill="CCECFF"/>
          </w:tcPr>
          <w:p>
            <w:pPr>
              <w:spacing w:after="0"/>
              <w:rPr>
                <w:sz w:val="11"/>
                <w:szCs w:val="11"/>
                <w:color w:val="auto"/>
              </w:rPr>
            </w:pPr>
          </w:p>
        </w:tc>
        <w:tc>
          <w:tcPr>
            <w:tcW w:w="380" w:type="dxa"/>
            <w:vAlign w:val="bottom"/>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C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(15.1)</w:t>
            </w:r>
          </w:p>
        </w:tc>
        <w:tc>
          <w:tcPr>
            <w:tcW w:w="280" w:type="dxa"/>
            <w:vAlign w:val="bottom"/>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300" w:type="dxa"/>
            <w:vAlign w:val="bottom"/>
            <w:shd w:val="clear" w:color="auto" w:fill="CCECFF"/>
          </w:tcPr>
          <w:p>
            <w:pPr>
              <w:spacing w:after="0"/>
              <w:rPr>
                <w:sz w:val="11"/>
                <w:szCs w:val="11"/>
                <w:color w:val="auto"/>
              </w:rPr>
            </w:pPr>
          </w:p>
        </w:tc>
        <w:tc>
          <w:tcPr>
            <w:tcW w:w="400" w:type="dxa"/>
            <w:vAlign w:val="bottom"/>
            <w:shd w:val="clear" w:color="auto" w:fill="CCEC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C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(15.1)</w:t>
            </w:r>
          </w:p>
        </w:tc>
      </w:tr>
      <w:tr>
        <w:trPr>
          <w:trHeight w:val="133"/>
        </w:trPr>
        <w:tc>
          <w:tcPr>
            <w:tcW w:w="1000" w:type="dxa"/>
            <w:vAlign w:val="bottom"/>
            <w:tcBorders>
              <w:top w:val="single" w:sz="8" w:color="CCECFF"/>
            </w:tcBorders>
          </w:tcPr>
          <w:p>
            <w:pPr>
              <w:spacing w:after="0"/>
              <w:rPr>
                <w:sz w:val="11"/>
                <w:szCs w:val="11"/>
                <w:color w:val="auto"/>
              </w:rPr>
            </w:pPr>
          </w:p>
        </w:tc>
        <w:tc>
          <w:tcPr>
            <w:tcW w:w="360" w:type="dxa"/>
            <w:vAlign w:val="bottom"/>
            <w:tcBorders>
              <w:top w:val="single" w:sz="8" w:color="CCECFF"/>
            </w:tcBorders>
          </w:tcPr>
          <w:p>
            <w:pPr>
              <w:spacing w:after="0"/>
              <w:rPr>
                <w:sz w:val="11"/>
                <w:szCs w:val="11"/>
                <w:color w:val="auto"/>
              </w:rPr>
            </w:pPr>
          </w:p>
        </w:tc>
        <w:tc>
          <w:tcPr>
            <w:tcW w:w="4220" w:type="dxa"/>
            <w:vAlign w:val="bottom"/>
            <w:tcBorders>
              <w:top w:val="single" w:sz="8" w:color="CCEC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CCEC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00" w:type="dxa"/>
            <w:vAlign w:val="bottom"/>
            <w:tcBorders>
              <w:top w:val="single" w:sz="8" w:color="CCEC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r>
      <w:tr>
        <w:trPr>
          <w:trHeight w:val="124"/>
        </w:trPr>
        <w:tc>
          <w:tcPr>
            <w:tcW w:w="1000" w:type="dxa"/>
            <w:vAlign w:val="bottom"/>
            <w:tcBorders>
              <w:bottom w:val="single" w:sz="8" w:color="auto"/>
            </w:tcBorders>
            <w:shd w:val="clear" w:color="auto" w:fill="CCECFF"/>
          </w:tcPr>
          <w:p>
            <w:pPr>
              <w:spacing w:after="0" w:line="117" w:lineRule="exact"/>
              <w:rPr>
                <w:sz w:val="20"/>
                <w:szCs w:val="20"/>
                <w:color w:val="auto"/>
              </w:rPr>
            </w:pPr>
            <w:r>
              <w:rPr>
                <w:rFonts w:ascii="Times New Roman" w:cs="Times New Roman" w:eastAsia="Times New Roman" w:hAnsi="Times New Roman"/>
                <w:sz w:val="12"/>
                <w:szCs w:val="12"/>
                <w:color w:val="auto"/>
                <w:w w:val="97"/>
              </w:rPr>
              <w:t>Hedging instruments</w:t>
            </w:r>
          </w:p>
        </w:tc>
        <w:tc>
          <w:tcPr>
            <w:tcW w:w="4580" w:type="dxa"/>
            <w:vAlign w:val="bottom"/>
            <w:tcBorders>
              <w:bottom w:val="single" w:sz="8" w:color="CCECFF"/>
            </w:tcBorders>
            <w:gridSpan w:val="2"/>
            <w:shd w:val="clear" w:color="auto" w:fill="CCECFF"/>
          </w:tcPr>
          <w:p>
            <w:pPr>
              <w:spacing w:after="0"/>
              <w:rPr>
                <w:sz w:val="10"/>
                <w:szCs w:val="10"/>
                <w:color w:val="auto"/>
              </w:rPr>
            </w:pPr>
          </w:p>
        </w:tc>
        <w:tc>
          <w:tcPr>
            <w:tcW w:w="780" w:type="dxa"/>
            <w:vAlign w:val="bottom"/>
            <w:tcBorders>
              <w:bottom w:val="single" w:sz="8" w:color="CCECFF"/>
            </w:tcBorders>
            <w:shd w:val="clear" w:color="auto" w:fill="CCECFF"/>
          </w:tcPr>
          <w:p>
            <w:pPr>
              <w:spacing w:after="0"/>
              <w:rPr>
                <w:sz w:val="10"/>
                <w:szCs w:val="10"/>
                <w:color w:val="auto"/>
              </w:rPr>
            </w:pPr>
          </w:p>
        </w:tc>
        <w:tc>
          <w:tcPr>
            <w:tcW w:w="400" w:type="dxa"/>
            <w:vAlign w:val="bottom"/>
            <w:tcBorders>
              <w:bottom w:val="single" w:sz="8" w:color="CCECFF"/>
            </w:tcBorders>
            <w:shd w:val="clear" w:color="auto" w:fill="CCECFF"/>
          </w:tcPr>
          <w:p>
            <w:pPr>
              <w:spacing w:after="0"/>
              <w:rPr>
                <w:sz w:val="10"/>
                <w:szCs w:val="10"/>
                <w:color w:val="auto"/>
              </w:rPr>
            </w:pPr>
          </w:p>
        </w:tc>
        <w:tc>
          <w:tcPr>
            <w:tcW w:w="320" w:type="dxa"/>
            <w:vAlign w:val="bottom"/>
            <w:tcBorders>
              <w:bottom w:val="single" w:sz="8" w:color="CCECFF"/>
            </w:tcBorders>
            <w:shd w:val="clear" w:color="auto" w:fill="CCECFF"/>
          </w:tcPr>
          <w:p>
            <w:pPr>
              <w:spacing w:after="0"/>
              <w:rPr>
                <w:sz w:val="10"/>
                <w:szCs w:val="10"/>
                <w:color w:val="auto"/>
              </w:rPr>
            </w:pPr>
          </w:p>
        </w:tc>
        <w:tc>
          <w:tcPr>
            <w:tcW w:w="380" w:type="dxa"/>
            <w:vAlign w:val="bottom"/>
            <w:tcBorders>
              <w:bottom w:val="single" w:sz="8" w:color="CCECFF"/>
            </w:tcBorders>
            <w:shd w:val="clear" w:color="auto" w:fill="CCECFF"/>
          </w:tcPr>
          <w:p>
            <w:pPr>
              <w:spacing w:after="0"/>
              <w:rPr>
                <w:sz w:val="10"/>
                <w:szCs w:val="10"/>
                <w:color w:val="auto"/>
              </w:rPr>
            </w:pPr>
          </w:p>
        </w:tc>
        <w:tc>
          <w:tcPr>
            <w:tcW w:w="7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280" w:type="dxa"/>
            <w:vAlign w:val="bottom"/>
            <w:tcBorders>
              <w:bottom w:val="single" w:sz="8" w:color="CCECFF"/>
            </w:tcBorders>
            <w:shd w:val="clear" w:color="auto" w:fill="CCECFF"/>
          </w:tcPr>
          <w:p>
            <w:pPr>
              <w:spacing w:after="0"/>
              <w:rPr>
                <w:sz w:val="10"/>
                <w:szCs w:val="10"/>
                <w:color w:val="auto"/>
              </w:rPr>
            </w:pPr>
          </w:p>
        </w:tc>
        <w:tc>
          <w:tcPr>
            <w:tcW w:w="920" w:type="dxa"/>
            <w:vAlign w:val="bottom"/>
            <w:tcBorders>
              <w:bottom w:val="single" w:sz="8" w:color="CCECFF"/>
            </w:tcBorders>
            <w:shd w:val="clear" w:color="auto" w:fill="CCECFF"/>
          </w:tcPr>
          <w:p>
            <w:pPr>
              <w:spacing w:after="0"/>
              <w:rPr>
                <w:sz w:val="10"/>
                <w:szCs w:val="10"/>
                <w:color w:val="auto"/>
              </w:rPr>
            </w:pPr>
          </w:p>
        </w:tc>
        <w:tc>
          <w:tcPr>
            <w:tcW w:w="300" w:type="dxa"/>
            <w:vAlign w:val="bottom"/>
            <w:tcBorders>
              <w:bottom w:val="single" w:sz="8" w:color="CCECFF"/>
            </w:tcBorders>
            <w:shd w:val="clear" w:color="auto" w:fill="CCECFF"/>
          </w:tcPr>
          <w:p>
            <w:pPr>
              <w:spacing w:after="0"/>
              <w:rPr>
                <w:sz w:val="10"/>
                <w:szCs w:val="10"/>
                <w:color w:val="auto"/>
              </w:rPr>
            </w:pPr>
          </w:p>
        </w:tc>
        <w:tc>
          <w:tcPr>
            <w:tcW w:w="400" w:type="dxa"/>
            <w:vAlign w:val="bottom"/>
            <w:tcBorders>
              <w:bottom w:val="single" w:sz="8" w:color="CCECFF"/>
            </w:tcBorders>
            <w:shd w:val="clear" w:color="auto" w:fill="CCECFF"/>
          </w:tcPr>
          <w:p>
            <w:pPr>
              <w:spacing w:after="0"/>
              <w:rPr>
                <w:sz w:val="10"/>
                <w:szCs w:val="10"/>
                <w:color w:val="auto"/>
              </w:rPr>
            </w:pPr>
          </w:p>
        </w:tc>
        <w:tc>
          <w:tcPr>
            <w:tcW w:w="8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r>
      <w:tr>
        <w:trPr>
          <w:trHeight w:val="144"/>
        </w:trPr>
        <w:tc>
          <w:tcPr>
            <w:tcW w:w="5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780" w:type="dxa"/>
            <w:vAlign w:val="bottom"/>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(21.3)</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(18.4)</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(20.2)</w:t>
            </w:r>
          </w:p>
        </w:tc>
      </w:tr>
      <w:tr>
        <w:trPr>
          <w:trHeight w:val="144"/>
        </w:trPr>
        <w:tc>
          <w:tcPr>
            <w:tcW w:w="55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78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(0.9)</w:t>
            </w:r>
          </w:p>
        </w:tc>
      </w:tr>
      <w:tr>
        <w:trPr>
          <w:trHeight w:val="144"/>
        </w:trPr>
        <w:tc>
          <w:tcPr>
            <w:tcW w:w="5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Amounts reclassified from AOCL</w:t>
            </w:r>
          </w:p>
        </w:tc>
        <w:tc>
          <w:tcPr>
            <w:tcW w:w="7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r>
      <w:tr>
        <w:trPr>
          <w:trHeight w:val="133"/>
        </w:trPr>
        <w:tc>
          <w:tcPr>
            <w:tcW w:w="5580" w:type="dxa"/>
            <w:vAlign w:val="bottom"/>
            <w:gridSpan w:val="3"/>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780" w:type="dxa"/>
            <w:vAlign w:val="bottom"/>
            <w:shd w:val="clear" w:color="auto" w:fill="CCECFF"/>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CFF"/>
          </w:tcPr>
          <w:p>
            <w:pPr>
              <w:spacing w:after="0"/>
              <w:rPr>
                <w:sz w:val="11"/>
                <w:szCs w:val="11"/>
                <w:color w:val="auto"/>
              </w:rPr>
            </w:pPr>
          </w:p>
        </w:tc>
        <w:tc>
          <w:tcPr>
            <w:tcW w:w="380" w:type="dxa"/>
            <w:vAlign w:val="bottom"/>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C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(21.1)</w:t>
            </w:r>
          </w:p>
        </w:tc>
        <w:tc>
          <w:tcPr>
            <w:tcW w:w="280" w:type="dxa"/>
            <w:vAlign w:val="bottom"/>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gridSpan w:val="2"/>
            <w:shd w:val="clear" w:color="auto" w:fill="CCEC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C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C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(21.1)</w:t>
            </w:r>
          </w:p>
        </w:tc>
      </w:tr>
      <w:tr>
        <w:trPr>
          <w:trHeight w:val="20"/>
        </w:trPr>
        <w:tc>
          <w:tcPr>
            <w:tcW w:w="1000" w:type="dxa"/>
            <w:vAlign w:val="bottom"/>
            <w:shd w:val="clear" w:color="auto" w:fill="CCECFF"/>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4220" w:type="dxa"/>
            <w:vAlign w:val="bottom"/>
            <w:shd w:val="clear" w:color="auto" w:fill="CCEC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133"/>
        </w:trPr>
        <w:tc>
          <w:tcPr>
            <w:tcW w:w="558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Net AOCI (AOCL) at end of period</w:t>
            </w:r>
          </w:p>
        </w:tc>
        <w:tc>
          <w:tcPr>
            <w:tcW w:w="780" w:type="dxa"/>
            <w:vAlign w:val="bottom"/>
          </w:tcPr>
          <w:p>
            <w:pPr>
              <w:jc w:val="right"/>
              <w:ind w:right="6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320" w:type="dxa"/>
            <w:vAlign w:val="bottom"/>
          </w:tcPr>
          <w:p>
            <w:pPr>
              <w:spacing w:after="0"/>
              <w:rPr>
                <w:sz w:val="11"/>
                <w:szCs w:val="11"/>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(122.2)</w:t>
            </w:r>
          </w:p>
        </w:tc>
        <w:tc>
          <w:tcPr>
            <w:tcW w:w="28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300" w:type="dxa"/>
            <w:vAlign w:val="bottom"/>
          </w:tcPr>
          <w:p>
            <w:pPr>
              <w:spacing w:after="0"/>
              <w:rPr>
                <w:sz w:val="11"/>
                <w:szCs w:val="11"/>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(122.2)</w:t>
            </w:r>
          </w:p>
        </w:tc>
      </w:tr>
      <w:tr>
        <w:trPr>
          <w:trHeight w:val="27"/>
        </w:trPr>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-1233805</wp:posOffset>
            </wp:positionV>
            <wp:extent cx="7429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-1233805</wp:posOffset>
            </wp:positionV>
            <wp:extent cx="7429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-1233805</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-1233805</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-673735</wp:posOffset>
            </wp:positionV>
            <wp:extent cx="7429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-673735</wp:posOffset>
            </wp:positionV>
            <wp:extent cx="7429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-673735</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-673735</wp:posOffset>
            </wp:positionV>
            <wp:extent cx="685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-113665</wp:posOffset>
            </wp:positionV>
            <wp:extent cx="7429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-113665</wp:posOffset>
            </wp:positionV>
            <wp:extent cx="7429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-113665</wp:posOffset>
            </wp:positionV>
            <wp:extent cx="685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-113665</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For the three and nine months ended September 30, 2026, the reclassifications of foreign currency translation gain of $0.9 million and defined benefit plan loss of $0.3 million from net AOCI (AOCL) related to the divestiture of the RUCKUS segment during the third quarter of 2026. For the nine months ended September 30, 2026, the reclassification amounts also include foreign currency translation loss of $88.7 million, defined benefit plan loss of $19.1 million and hedging instrument loss of 18.4 million from net AOCI (AOCL) related to the divestiture of the CCS segment during the first quarter of 2026. For the nine months ended September 30, 2025, the reclassification of foreign currency translation amount from net AOCI (AOCL) related to the divestiture of the OWN segment and DAS business during the first quarter of 2025. The reclassified amounts resulting from the divestitures were recorded in the gain (loss) on disposal included in income from discontinued operations, net of income taxes, on the Condensed Consolidated Statements of Operations. See Note 2 for further discussion of the Company’s divestitures.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 Information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3560" w:type="dxa"/>
            <w:vAlign w:val="bottom"/>
          </w:tcPr>
          <w:p>
            <w:pPr>
              <w:spacing w:after="0"/>
              <w:rPr>
                <w:sz w:val="7"/>
                <w:szCs w:val="7"/>
                <w:color w:val="auto"/>
              </w:rPr>
            </w:pPr>
          </w:p>
        </w:tc>
        <w:tc>
          <w:tcPr>
            <w:tcW w:w="3740" w:type="dxa"/>
            <w:vAlign w:val="bottom"/>
          </w:tcPr>
          <w:p>
            <w:pPr>
              <w:spacing w:after="0"/>
              <w:rPr>
                <w:sz w:val="7"/>
                <w:szCs w:val="7"/>
                <w:color w:val="auto"/>
              </w:rPr>
            </w:pPr>
          </w:p>
        </w:tc>
        <w:tc>
          <w:tcPr>
            <w:tcW w:w="1100" w:type="dxa"/>
            <w:vAlign w:val="bottom"/>
            <w:tcBorders>
              <w:bottom w:val="single" w:sz="8" w:color="auto"/>
            </w:tcBorders>
          </w:tcPr>
          <w:p>
            <w:pPr>
              <w:jc w:val="right"/>
              <w:ind w:right="72"/>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6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jc w:val="right"/>
              <w:ind w:right="704"/>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133"/>
        </w:trPr>
        <w:tc>
          <w:tcPr>
            <w:tcW w:w="35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Cash paid during the period for:</w:t>
            </w:r>
          </w:p>
        </w:tc>
        <w:tc>
          <w:tcPr>
            <w:tcW w:w="3740" w:type="dxa"/>
            <w:vAlign w:val="bottom"/>
            <w:shd w:val="clear" w:color="auto" w:fill="CCECFF"/>
          </w:tcPr>
          <w:p>
            <w:pPr>
              <w:spacing w:after="0"/>
              <w:rPr>
                <w:sz w:val="11"/>
                <w:szCs w:val="11"/>
                <w:color w:val="auto"/>
              </w:rPr>
            </w:pPr>
          </w:p>
        </w:tc>
        <w:tc>
          <w:tcPr>
            <w:tcW w:w="110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44"/>
        </w:trPr>
        <w:tc>
          <w:tcPr>
            <w:tcW w:w="35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taxes, net of refunds</w:t>
            </w:r>
          </w:p>
        </w:tc>
        <w:tc>
          <w:tcPr>
            <w:tcW w:w="4840" w:type="dxa"/>
            <w:vAlign w:val="bottom"/>
            <w:gridSpan w:val="2"/>
          </w:tcPr>
          <w:p>
            <w:pPr>
              <w:jc w:val="right"/>
              <w:ind w:right="992"/>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140.2</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169.9</w:t>
            </w:r>
          </w:p>
        </w:tc>
        <w:tc>
          <w:tcPr>
            <w:tcW w:w="120" w:type="dxa"/>
            <w:vAlign w:val="bottom"/>
          </w:tcPr>
          <w:p>
            <w:pPr>
              <w:spacing w:after="0"/>
              <w:rPr>
                <w:sz w:val="12"/>
                <w:szCs w:val="12"/>
                <w:color w:val="auto"/>
              </w:rPr>
            </w:pPr>
          </w:p>
        </w:tc>
      </w:tr>
      <w:tr>
        <w:trPr>
          <w:trHeight w:val="144"/>
        </w:trPr>
        <w:tc>
          <w:tcPr>
            <w:tcW w:w="35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2"/>
                <w:szCs w:val="12"/>
                <w:color w:val="auto"/>
              </w:rPr>
              <w:t>Interest</w:t>
            </w:r>
          </w:p>
        </w:tc>
        <w:tc>
          <w:tcPr>
            <w:tcW w:w="374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4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521.2</w:t>
            </w:r>
          </w:p>
        </w:tc>
        <w:tc>
          <w:tcPr>
            <w:tcW w:w="120" w:type="dxa"/>
            <w:vAlign w:val="bottom"/>
            <w:shd w:val="clear" w:color="auto" w:fill="CCECFF"/>
          </w:tcPr>
          <w:p>
            <w:pPr>
              <w:spacing w:after="0"/>
              <w:rPr>
                <w:sz w:val="12"/>
                <w:szCs w:val="12"/>
                <w:color w:val="auto"/>
              </w:rPr>
            </w:pPr>
          </w:p>
        </w:tc>
      </w:tr>
      <w:tr>
        <w:trPr>
          <w:trHeight w:val="432"/>
        </w:trPr>
        <w:tc>
          <w:tcPr>
            <w:tcW w:w="3560" w:type="dxa"/>
            <w:vAlign w:val="bottom"/>
          </w:tcPr>
          <w:p>
            <w:pPr>
              <w:spacing w:after="0"/>
              <w:rPr>
                <w:sz w:val="24"/>
                <w:szCs w:val="24"/>
                <w:color w:val="auto"/>
              </w:rPr>
            </w:pPr>
          </w:p>
        </w:tc>
        <w:tc>
          <w:tcPr>
            <w:tcW w:w="3740" w:type="dxa"/>
            <w:vAlign w:val="bottom"/>
          </w:tcPr>
          <w:p>
            <w:pPr>
              <w:jc w:val="right"/>
              <w:ind w:right="1540"/>
              <w:spacing w:after="0"/>
              <w:rPr>
                <w:sz w:val="20"/>
                <w:szCs w:val="20"/>
                <w:color w:val="auto"/>
              </w:rPr>
            </w:pPr>
            <w:r>
              <w:rPr>
                <w:rFonts w:ascii="Times New Roman" w:cs="Times New Roman" w:eastAsia="Times New Roman" w:hAnsi="Times New Roman"/>
                <w:sz w:val="12"/>
                <w:szCs w:val="12"/>
                <w:color w:val="auto"/>
              </w:rPr>
              <w:t>20</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92"/>
        </w:trPr>
        <w:tc>
          <w:tcPr>
            <w:tcW w:w="35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FINANCING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7.125% senior notes due July 2028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5.00% senior notes due March 2027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8.25% senior notes due March 2027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9.50% senior secured notes due December 2031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4.75% senior secured notes due September 2029</w:t>
      </w:r>
    </w:p>
    <w:p>
      <w:pPr>
        <w:spacing w:after="0" w:line="6" w:lineRule="exact"/>
        <w:rPr>
          <w:sz w:val="20"/>
          <w:szCs w:val="20"/>
          <w:color w:val="auto"/>
        </w:rPr>
      </w:pPr>
    </w:p>
    <w:p>
      <w:pPr>
        <w:ind w:right="1040"/>
        <w:spacing w:after="0" w:line="254" w:lineRule="auto"/>
        <w:rPr>
          <w:sz w:val="20"/>
          <w:szCs w:val="20"/>
          <w:color w:val="auto"/>
        </w:rPr>
      </w:pPr>
      <w:r>
        <w:rPr>
          <w:rFonts w:ascii="Times New Roman" w:cs="Times New Roman" w:eastAsia="Times New Roman" w:hAnsi="Times New Roman"/>
          <w:sz w:val="12"/>
          <w:szCs w:val="12"/>
          <w:color w:val="auto"/>
        </w:rPr>
        <w:t>6.00% senior secured notes due March 2026 Senior secured term loan due December 2029 Senior secured revolving credit facility Total principal amount of 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Less: Original issue discount, net of amortization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Less: Debt issuance costs, net of amortization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Less: Current portion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long-term debt</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00" w:lineRule="exact"/>
        <w:rPr>
          <w:sz w:val="20"/>
          <w:szCs w:val="20"/>
          <w:color w:val="auto"/>
        </w:rPr>
      </w:pPr>
    </w:p>
    <w:p>
      <w:pPr>
        <w:spacing w:after="0" w:line="395" w:lineRule="exact"/>
        <w:rPr>
          <w:sz w:val="20"/>
          <w:szCs w:val="20"/>
          <w:color w:val="auto"/>
        </w:rPr>
      </w:pPr>
    </w:p>
    <w:tbl>
      <w:tblPr>
        <w:tblLayout w:type="fixed"/>
        <w:tblInd w:w="3140" w:type="dxa"/>
        <w:tblCellMar>
          <w:top w:w="0" w:type="dxa"/>
          <w:left w:w="0" w:type="dxa"/>
          <w:bottom w:w="0" w:type="dxa"/>
          <w:right w:w="0" w:type="dxa"/>
        </w:tblCellMar>
      </w:tblPr>
      <w:tr>
        <w:trPr>
          <w:trHeight w:val="115"/>
        </w:trPr>
        <w:tc>
          <w:tcPr>
            <w:tcW w:w="340" w:type="dxa"/>
            <w:vAlign w:val="bottom"/>
          </w:tcPr>
          <w:p>
            <w:pPr>
              <w:spacing w:after="0"/>
              <w:rPr>
                <w:sz w:val="10"/>
                <w:szCs w:val="10"/>
                <w:color w:val="auto"/>
              </w:rPr>
            </w:pPr>
          </w:p>
        </w:tc>
        <w:tc>
          <w:tcPr>
            <w:tcW w:w="154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3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0"/>
                <w:szCs w:val="10"/>
                <w:b w:val="1"/>
                <w:bCs w:val="1"/>
                <w:color w:val="auto"/>
              </w:rPr>
              <w:t>2026</w:t>
            </w: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Pr>
          <w:p>
            <w:pPr>
              <w:spacing w:after="0"/>
              <w:rPr>
                <w:sz w:val="10"/>
                <w:szCs w:val="10"/>
                <w:color w:val="auto"/>
              </w:rPr>
            </w:pPr>
          </w:p>
        </w:tc>
      </w:tr>
      <w:tr>
        <w:trPr>
          <w:trHeight w:val="122"/>
        </w:trPr>
        <w:tc>
          <w:tcPr>
            <w:tcW w:w="34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ind w:left="1420"/>
              <w:spacing w:after="0" w:line="122" w:lineRule="exact"/>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0"/>
                <w:szCs w:val="10"/>
                <w:color w:val="auto"/>
              </w:rPr>
            </w:pPr>
          </w:p>
        </w:tc>
        <w:tc>
          <w:tcPr>
            <w:tcW w:w="36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641.6</w:t>
            </w:r>
          </w:p>
        </w:tc>
        <w:tc>
          <w:tcPr>
            <w:tcW w:w="40" w:type="dxa"/>
            <w:vAlign w:val="bottom"/>
          </w:tcPr>
          <w:p>
            <w:pPr>
              <w:spacing w:after="0"/>
              <w:rPr>
                <w:sz w:val="10"/>
                <w:szCs w:val="10"/>
                <w:color w:val="auto"/>
              </w:rPr>
            </w:pPr>
          </w:p>
        </w:tc>
      </w:tr>
      <w:tr>
        <w:trPr>
          <w:trHeight w:val="144"/>
        </w:trPr>
        <w:tc>
          <w:tcPr>
            <w:tcW w:w="340" w:type="dxa"/>
            <w:vAlign w:val="bottom"/>
          </w:tcPr>
          <w:p>
            <w:pPr>
              <w:spacing w:after="0"/>
              <w:rPr>
                <w:sz w:val="12"/>
                <w:szCs w:val="12"/>
                <w:color w:val="auto"/>
              </w:rPr>
            </w:pPr>
          </w:p>
        </w:tc>
        <w:tc>
          <w:tcPr>
            <w:tcW w:w="1540" w:type="dxa"/>
            <w:vAlign w:val="bottom"/>
          </w:tcPr>
          <w:p>
            <w:pPr>
              <w:ind w:left="1420"/>
              <w:spacing w:after="0"/>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40" w:type="dxa"/>
            <w:vAlign w:val="bottom"/>
          </w:tcPr>
          <w:p>
            <w:pPr>
              <w:spacing w:after="0"/>
              <w:rPr>
                <w:sz w:val="12"/>
                <w:szCs w:val="12"/>
                <w:color w:val="auto"/>
              </w:rPr>
            </w:pPr>
          </w:p>
        </w:tc>
      </w:tr>
      <w:tr>
        <w:trPr>
          <w:trHeight w:val="144"/>
        </w:trPr>
        <w:tc>
          <w:tcPr>
            <w:tcW w:w="340" w:type="dxa"/>
            <w:vAlign w:val="bottom"/>
          </w:tcPr>
          <w:p>
            <w:pPr>
              <w:spacing w:after="0"/>
              <w:rPr>
                <w:sz w:val="12"/>
                <w:szCs w:val="12"/>
                <w:color w:val="auto"/>
              </w:rPr>
            </w:pPr>
          </w:p>
        </w:tc>
        <w:tc>
          <w:tcPr>
            <w:tcW w:w="1540" w:type="dxa"/>
            <w:vAlign w:val="bottom"/>
          </w:tcPr>
          <w:p>
            <w:pPr>
              <w:ind w:left="1420"/>
              <w:spacing w:after="0"/>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866.9</w:t>
            </w:r>
          </w:p>
        </w:tc>
        <w:tc>
          <w:tcPr>
            <w:tcW w:w="40" w:type="dxa"/>
            <w:vAlign w:val="bottom"/>
          </w:tcPr>
          <w:p>
            <w:pPr>
              <w:spacing w:after="0"/>
              <w:rPr>
                <w:sz w:val="12"/>
                <w:szCs w:val="12"/>
                <w:color w:val="auto"/>
              </w:rPr>
            </w:pPr>
          </w:p>
        </w:tc>
      </w:tr>
      <w:tr>
        <w:trPr>
          <w:trHeight w:val="144"/>
        </w:trPr>
        <w:tc>
          <w:tcPr>
            <w:tcW w:w="340" w:type="dxa"/>
            <w:vAlign w:val="bottom"/>
          </w:tcPr>
          <w:p>
            <w:pPr>
              <w:spacing w:after="0"/>
              <w:rPr>
                <w:sz w:val="12"/>
                <w:szCs w:val="12"/>
                <w:color w:val="auto"/>
              </w:rPr>
            </w:pPr>
          </w:p>
        </w:tc>
        <w:tc>
          <w:tcPr>
            <w:tcW w:w="1540" w:type="dxa"/>
            <w:vAlign w:val="bottom"/>
          </w:tcPr>
          <w:p>
            <w:pPr>
              <w:ind w:left="1420"/>
              <w:spacing w:after="0"/>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40" w:type="dxa"/>
            <w:vAlign w:val="bottom"/>
          </w:tcPr>
          <w:p>
            <w:pPr>
              <w:spacing w:after="0"/>
              <w:rPr>
                <w:sz w:val="12"/>
                <w:szCs w:val="12"/>
                <w:color w:val="auto"/>
              </w:rPr>
            </w:pPr>
          </w:p>
        </w:tc>
      </w:tr>
      <w:tr>
        <w:trPr>
          <w:trHeight w:val="144"/>
        </w:trPr>
        <w:tc>
          <w:tcPr>
            <w:tcW w:w="340" w:type="dxa"/>
            <w:vAlign w:val="bottom"/>
          </w:tcPr>
          <w:p>
            <w:pPr>
              <w:spacing w:after="0"/>
              <w:rPr>
                <w:sz w:val="12"/>
                <w:szCs w:val="12"/>
                <w:color w:val="auto"/>
              </w:rPr>
            </w:pPr>
          </w:p>
        </w:tc>
        <w:tc>
          <w:tcPr>
            <w:tcW w:w="1540" w:type="dxa"/>
            <w:vAlign w:val="bottom"/>
          </w:tcPr>
          <w:p>
            <w:pPr>
              <w:ind w:left="1420"/>
              <w:spacing w:after="0"/>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1,250.0</w:t>
            </w:r>
          </w:p>
        </w:tc>
        <w:tc>
          <w:tcPr>
            <w:tcW w:w="40" w:type="dxa"/>
            <w:vAlign w:val="bottom"/>
          </w:tcPr>
          <w:p>
            <w:pPr>
              <w:spacing w:after="0"/>
              <w:rPr>
                <w:sz w:val="12"/>
                <w:szCs w:val="12"/>
                <w:color w:val="auto"/>
              </w:rPr>
            </w:pPr>
          </w:p>
        </w:tc>
      </w:tr>
      <w:tr>
        <w:trPr>
          <w:trHeight w:val="144"/>
        </w:trPr>
        <w:tc>
          <w:tcPr>
            <w:tcW w:w="340" w:type="dxa"/>
            <w:vAlign w:val="bottom"/>
          </w:tcPr>
          <w:p>
            <w:pPr>
              <w:spacing w:after="0"/>
              <w:rPr>
                <w:sz w:val="12"/>
                <w:szCs w:val="12"/>
                <w:color w:val="auto"/>
              </w:rPr>
            </w:pPr>
          </w:p>
        </w:tc>
        <w:tc>
          <w:tcPr>
            <w:tcW w:w="1540" w:type="dxa"/>
            <w:vAlign w:val="bottom"/>
          </w:tcPr>
          <w:p>
            <w:pPr>
              <w:ind w:left="1420"/>
              <w:spacing w:after="0"/>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40" w:type="dxa"/>
            <w:vAlign w:val="bottom"/>
          </w:tcPr>
          <w:p>
            <w:pPr>
              <w:spacing w:after="0"/>
              <w:rPr>
                <w:sz w:val="12"/>
                <w:szCs w:val="12"/>
                <w:color w:val="auto"/>
              </w:rPr>
            </w:pPr>
          </w:p>
        </w:tc>
      </w:tr>
      <w:tr>
        <w:trPr>
          <w:trHeight w:val="144"/>
        </w:trPr>
        <w:tc>
          <w:tcPr>
            <w:tcW w:w="340" w:type="dxa"/>
            <w:vAlign w:val="bottom"/>
          </w:tcPr>
          <w:p>
            <w:pPr>
              <w:spacing w:after="0"/>
              <w:rPr>
                <w:sz w:val="12"/>
                <w:szCs w:val="12"/>
                <w:color w:val="auto"/>
              </w:rPr>
            </w:pPr>
          </w:p>
        </w:tc>
        <w:tc>
          <w:tcPr>
            <w:tcW w:w="1540" w:type="dxa"/>
            <w:vAlign w:val="bottom"/>
          </w:tcPr>
          <w:p>
            <w:pPr>
              <w:ind w:left="1420"/>
              <w:spacing w:after="0"/>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3,150.0</w:t>
            </w:r>
          </w:p>
        </w:tc>
        <w:tc>
          <w:tcPr>
            <w:tcW w:w="40" w:type="dxa"/>
            <w:vAlign w:val="bottom"/>
          </w:tcPr>
          <w:p>
            <w:pPr>
              <w:spacing w:after="0"/>
              <w:rPr>
                <w:sz w:val="12"/>
                <w:szCs w:val="12"/>
                <w:color w:val="auto"/>
              </w:rPr>
            </w:pPr>
          </w:p>
        </w:tc>
      </w:tr>
      <w:tr>
        <w:trPr>
          <w:trHeight w:val="155"/>
        </w:trPr>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40" w:type="dxa"/>
            <w:vAlign w:val="bottom"/>
          </w:tcPr>
          <w:p>
            <w:pPr>
              <w:spacing w:after="0"/>
              <w:rPr>
                <w:sz w:val="13"/>
                <w:szCs w:val="13"/>
                <w:color w:val="auto"/>
              </w:rPr>
            </w:pPr>
          </w:p>
        </w:tc>
      </w:tr>
      <w:tr>
        <w:trPr>
          <w:trHeight w:val="122"/>
        </w:trPr>
        <w:tc>
          <w:tcPr>
            <w:tcW w:w="340" w:type="dxa"/>
            <w:vAlign w:val="bottom"/>
          </w:tcPr>
          <w:p>
            <w:pPr>
              <w:spacing w:after="0"/>
              <w:rPr>
                <w:sz w:val="10"/>
                <w:szCs w:val="10"/>
                <w:color w:val="auto"/>
              </w:rPr>
            </w:pPr>
          </w:p>
        </w:tc>
        <w:tc>
          <w:tcPr>
            <w:tcW w:w="1540" w:type="dxa"/>
            <w:vAlign w:val="bottom"/>
          </w:tcPr>
          <w:p>
            <w:pPr>
              <w:ind w:left="1420"/>
              <w:spacing w:after="0" w:line="122" w:lineRule="exact"/>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7,359.5</w:t>
            </w:r>
          </w:p>
        </w:tc>
        <w:tc>
          <w:tcPr>
            <w:tcW w:w="40" w:type="dxa"/>
            <w:vAlign w:val="bottom"/>
          </w:tcPr>
          <w:p>
            <w:pPr>
              <w:spacing w:after="0"/>
              <w:rPr>
                <w:sz w:val="10"/>
                <w:szCs w:val="10"/>
                <w:color w:val="auto"/>
              </w:rPr>
            </w:pPr>
          </w:p>
        </w:tc>
      </w:tr>
      <w:tr>
        <w:trPr>
          <w:trHeight w:val="144"/>
        </w:trPr>
        <w:tc>
          <w:tcPr>
            <w:tcW w:w="340" w:type="dxa"/>
            <w:vAlign w:val="bottom"/>
          </w:tcPr>
          <w:p>
            <w:pPr>
              <w:spacing w:after="0"/>
              <w:rPr>
                <w:sz w:val="12"/>
                <w:szCs w:val="12"/>
                <w:color w:val="auto"/>
              </w:rPr>
            </w:pPr>
          </w:p>
        </w:tc>
        <w:tc>
          <w:tcPr>
            <w:tcW w:w="1540" w:type="dxa"/>
            <w:vAlign w:val="bottom"/>
          </w:tcPr>
          <w:p>
            <w:pPr>
              <w:ind w:left="1420"/>
              <w:spacing w:after="0"/>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(51.9)</w:t>
            </w:r>
          </w:p>
        </w:tc>
      </w:tr>
      <w:tr>
        <w:trPr>
          <w:trHeight w:val="144"/>
        </w:trPr>
        <w:tc>
          <w:tcPr>
            <w:tcW w:w="340" w:type="dxa"/>
            <w:vAlign w:val="bottom"/>
          </w:tcPr>
          <w:p>
            <w:pPr>
              <w:spacing w:after="0"/>
              <w:rPr>
                <w:sz w:val="12"/>
                <w:szCs w:val="12"/>
                <w:color w:val="auto"/>
              </w:rPr>
            </w:pPr>
          </w:p>
        </w:tc>
        <w:tc>
          <w:tcPr>
            <w:tcW w:w="1540" w:type="dxa"/>
            <w:vAlign w:val="bottom"/>
          </w:tcPr>
          <w:p>
            <w:pPr>
              <w:ind w:left="1420"/>
              <w:spacing w:after="0"/>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(47.4)</w:t>
            </w:r>
          </w:p>
        </w:tc>
      </w:tr>
      <w:tr>
        <w:trPr>
          <w:trHeight w:val="155"/>
        </w:trPr>
        <w:tc>
          <w:tcPr>
            <w:tcW w:w="340" w:type="dxa"/>
            <w:vAlign w:val="bottom"/>
          </w:tcPr>
          <w:p>
            <w:pPr>
              <w:spacing w:after="0"/>
              <w:rPr>
                <w:sz w:val="13"/>
                <w:szCs w:val="13"/>
                <w:color w:val="auto"/>
              </w:rPr>
            </w:pPr>
          </w:p>
        </w:tc>
        <w:tc>
          <w:tcPr>
            <w:tcW w:w="1540" w:type="dxa"/>
            <w:vAlign w:val="bottom"/>
          </w:tcPr>
          <w:p>
            <w:pPr>
              <w:ind w:left="1420"/>
              <w:spacing w:after="0"/>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tcPr>
          <w:p>
            <w:pPr>
              <w:ind w:left="142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7,260.2</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-1216660</wp:posOffset>
            </wp:positionV>
            <wp:extent cx="7178040" cy="914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-1033780</wp:posOffset>
            </wp:positionV>
            <wp:extent cx="7178040" cy="914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-850900</wp:posOffset>
            </wp:positionV>
            <wp:extent cx="7178040" cy="914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-668020</wp:posOffset>
            </wp:positionV>
            <wp:extent cx="7178040" cy="914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-479425</wp:posOffset>
            </wp:positionV>
            <wp:extent cx="7178040" cy="914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-296545</wp:posOffset>
            </wp:positionV>
            <wp:extent cx="7178040" cy="914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-107950</wp:posOffset>
            </wp:positionV>
            <wp:extent cx="7178040" cy="1085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3220" w:space="720"/>
            <w:col w:w="7340"/>
          </w:cols>
          <w:pgMar w:left="300" w:top="557" w:right="319" w:bottom="1440" w:gutter="0" w:footer="0" w:header="0"/>
        </w:sectPr>
      </w:pPr>
    </w:p>
    <w:p>
      <w:pPr>
        <w:ind w:right="40"/>
        <w:spacing w:after="0" w:line="279" w:lineRule="auto"/>
        <w:rPr>
          <w:sz w:val="20"/>
          <w:szCs w:val="20"/>
          <w:color w:val="auto"/>
        </w:rPr>
      </w:pPr>
      <w:r>
        <w:rPr>
          <w:rFonts w:ascii="Times New Roman" w:cs="Times New Roman" w:eastAsia="Times New Roman" w:hAnsi="Times New Roman"/>
          <w:sz w:val="12"/>
          <w:szCs w:val="12"/>
          <w:color w:val="auto"/>
        </w:rPr>
        <w:t>In connection with the sale of the CCS segment that was completed on January 9, 2026, the Company repaid in full all of the then-outstanding indebtedness. See Note 2 for further discussion of the debt repayment and the divestiture of the CCS segment.</w:t>
      </w:r>
    </w:p>
    <w:p>
      <w:pPr>
        <w:spacing w:after="0" w:line="1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On April 7, 2026, the Company entered into a senior secured asset-based revolving credit facility (Revolving Credit Facility) providing for aggregate revolving commitments of up to $300.0 million. Availability under the Revolving Credit Facility is subject to a borrowing base calculated primarily based on eligible accounts receivable and inventory. Borrowings under the Revolving Credit Facility bear interest at variable rates based on the Term Secured Overnight Financing Rate (Term SOFR), subject to a 0.00% floor, or an alternate base rate, plus an applicable margin. The Revolving Credit Facility matures on April 7, 2031 and is secured by first-priority liens on substantially all assets, subject to customary exclusions.</w:t>
      </w:r>
    </w:p>
    <w:p>
      <w:pPr>
        <w:spacing w:after="0" w:line="12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Effective July 1, 2026, in connection with the sale of the RUCKUS segment, the aggregate commitments under the Revolving Credit Facility were reduced from $300.0 million to $246.9 million, subject to applicable borrowing base limitations. The Revolving Credit Facility continues to provide the Company with access to revolving borrowings, subject to borrowing base availability and other customary terms and conditions of the credit agreement.</w:t>
      </w:r>
    </w:p>
    <w:p>
      <w:pPr>
        <w:spacing w:after="0" w:line="11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As of September 30, 2026, the Company had no outstanding borrowings under the Revolving Credit Facility, other than outstanding letters of credit of $39.9 million. Based on the applicable borrowing base limitations, the availability after outstanding letters of credit under the facility was $158.9 million.</w:t>
      </w:r>
    </w:p>
    <w:p>
      <w:pPr>
        <w:spacing w:after="0" w:line="11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For the nine months ended September 30, 2026, the Company incurred approximately $3.3 million of upfront fees and expenses paid upon the closing of the Revolving Credit Facility, which were capitalized as deferred financing costs and are being amortized to interest expense over the term of the facility</w:t>
      </w:r>
      <w:r>
        <w:rPr>
          <w:rFonts w:ascii="Times New Roman" w:cs="Times New Roman" w:eastAsia="Times New Roman" w:hAnsi="Times New Roman"/>
          <w:sz w:val="12"/>
          <w:szCs w:val="12"/>
          <w:color w:val="212529"/>
        </w:rPr>
        <w:t>.</w:t>
      </w:r>
      <w:r>
        <w:rPr>
          <w:rFonts w:ascii="Times New Roman" w:cs="Times New Roman" w:eastAsia="Times New Roman" w:hAnsi="Times New Roman"/>
          <w:sz w:val="12"/>
          <w:szCs w:val="12"/>
          <w:color w:val="auto"/>
        </w:rPr>
        <w:t xml:space="preserve"> As a result of the reduction of aggregate commitments under the Revolving Credit Facility as discussed above, the Company wrote-off $0.5 million of </w:t>
      </w:r>
      <w:r>
        <w:rPr>
          <w:rFonts w:ascii="Times New Roman" w:cs="Times New Roman" w:eastAsia="Times New Roman" w:hAnsi="Times New Roman"/>
          <w:sz w:val="12"/>
          <w:szCs w:val="12"/>
          <w:color w:val="212529"/>
        </w:rPr>
        <w:t xml:space="preserve">unamortized debt issuance costs </w:t>
      </w:r>
      <w:r>
        <w:rPr>
          <w:rFonts w:ascii="Times New Roman" w:cs="Times New Roman" w:eastAsia="Times New Roman" w:hAnsi="Times New Roman"/>
          <w:sz w:val="12"/>
          <w:szCs w:val="12"/>
          <w:color w:val="000000"/>
        </w:rPr>
        <w:t>which were recorded in interest expense within income from continuing operations, net of income taxes, on the Condensed Consolidated Statements of Operations for the three and nine months ended</w:t>
      </w:r>
      <w:r>
        <w:rPr>
          <w:rFonts w:ascii="Times New Roman" w:cs="Times New Roman" w:eastAsia="Times New Roman" w:hAnsi="Times New Roman"/>
          <w:sz w:val="12"/>
          <w:szCs w:val="12"/>
          <w:color w:val="212529"/>
        </w:rPr>
        <w:t xml:space="preserve"> </w:t>
      </w:r>
      <w:r>
        <w:rPr>
          <w:rFonts w:ascii="Times New Roman" w:cs="Times New Roman" w:eastAsia="Times New Roman" w:hAnsi="Times New Roman"/>
          <w:sz w:val="12"/>
          <w:szCs w:val="12"/>
          <w:color w:val="000000"/>
        </w:rPr>
        <w:t>September 30,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SEGMENT AND GEOGRAPHIC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discussed in Note 2, following the divestiture of the RUCKUS segment, the Company is managed on a consolidated basis and has one remaining reportable segment. The following is a brief description of the activities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Company’s reportable segment:</w:t>
      </w:r>
    </w:p>
    <w:p>
      <w:pPr>
        <w:spacing w:after="0" w:line="13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Aurora - </w:t>
      </w:r>
      <w:r>
        <w:rPr>
          <w:rFonts w:ascii="Times New Roman" w:cs="Times New Roman" w:eastAsia="Times New Roman" w:hAnsi="Times New Roman"/>
          <w:sz w:val="12"/>
          <w:szCs w:val="12"/>
          <w:color w:val="auto"/>
        </w:rPr>
        <w:t>The segment’s product solutions include cable modem termination systems, video infrastructure, public key infrastructure solutions, distribution and transmission equipment and cloud solutions that enable facility-based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service providers to construct a state-of-the-art residential and metro distribution network.</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type w:val="continuous"/>
        </w:sectPr>
      </w:pPr>
    </w:p>
    <w:bookmarkStart w:id="22" w:name="page23"/>
    <w:bookmarkEnd w:id="2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provides summary financial information by reportable segment:</w:t>
      </w:r>
    </w:p>
    <w:p>
      <w:pPr>
        <w:spacing w:after="0" w:line="101" w:lineRule="exact"/>
        <w:rPr>
          <w:sz w:val="20"/>
          <w:szCs w:val="20"/>
          <w:color w:val="auto"/>
        </w:rPr>
      </w:pPr>
    </w:p>
    <w:tbl>
      <w:tblPr>
        <w:tblLayout w:type="fixed"/>
        <w:tblInd w:w="8248" w:type="dxa"/>
        <w:tblCellMar>
          <w:top w:w="0" w:type="dxa"/>
          <w:left w:w="0" w:type="dxa"/>
          <w:bottom w:w="0" w:type="dxa"/>
          <w:right w:w="0" w:type="dxa"/>
        </w:tblCellMar>
      </w:tblPr>
      <w:tr>
        <w:trPr>
          <w:trHeight w:val="115"/>
        </w:trPr>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3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Pr>
          <w:p>
            <w:pPr>
              <w:spacing w:after="0"/>
              <w:rPr>
                <w:sz w:val="10"/>
                <w:szCs w:val="10"/>
                <w:color w:val="auto"/>
              </w:rPr>
            </w:pPr>
          </w:p>
        </w:tc>
        <w:tc>
          <w:tcPr>
            <w:tcW w:w="13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78040" cy="914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ectPr>
          <w:pgSz w:w="11900" w:h="16838" w:orient="portrait"/>
          <w:cols w:equalWidth="0" w:num="1">
            <w:col w:w="11288"/>
          </w:cols>
          <w:pgMar w:left="292" w:top="557" w:right="319" w:bottom="1440" w:gutter="0" w:footer="0" w:header="0"/>
        </w:sectPr>
      </w:pPr>
    </w:p>
    <w:p>
      <w:pPr>
        <w:ind w:left="8"/>
        <w:spacing w:after="0"/>
        <w:rPr>
          <w:sz w:val="20"/>
          <w:szCs w:val="20"/>
          <w:color w:val="auto"/>
        </w:rPr>
      </w:pPr>
      <w:r>
        <w:rPr>
          <w:rFonts w:ascii="Times New Roman" w:cs="Times New Roman" w:eastAsia="Times New Roman" w:hAnsi="Times New Roman"/>
          <w:sz w:val="12"/>
          <w:szCs w:val="12"/>
          <w:color w:val="auto"/>
        </w:rPr>
        <w:t>Identifiable segment-related assets:</w:t>
      </w:r>
    </w:p>
    <w:p>
      <w:pPr>
        <w:spacing w:after="0" w:line="6"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color w:val="auto"/>
        </w:rPr>
        <w:t>Aurora</w:t>
      </w:r>
    </w:p>
    <w:p>
      <w:pPr>
        <w:spacing w:after="0" w:line="6" w:lineRule="exact"/>
        <w:rPr>
          <w:sz w:val="20"/>
          <w:szCs w:val="20"/>
          <w:color w:val="auto"/>
        </w:rPr>
      </w:pPr>
    </w:p>
    <w:p>
      <w:pPr>
        <w:jc w:val="center"/>
        <w:ind w:right="6112"/>
        <w:spacing w:after="0"/>
        <w:rPr>
          <w:sz w:val="20"/>
          <w:szCs w:val="20"/>
          <w:color w:val="auto"/>
        </w:rPr>
      </w:pPr>
      <w:r>
        <w:rPr>
          <w:rFonts w:ascii="Times New Roman" w:cs="Times New Roman" w:eastAsia="Times New Roman" w:hAnsi="Times New Roman"/>
          <w:sz w:val="11"/>
          <w:szCs w:val="11"/>
          <w:color w:val="auto"/>
        </w:rPr>
        <w:t>Reconciliation to total assets:</w:t>
      </w:r>
    </w:p>
    <w:p>
      <w:pPr>
        <w:spacing w:after="0" w:line="18"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6"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color w:val="auto"/>
        </w:rPr>
        <w:t>Deferred income tax assets</w:t>
      </w:r>
    </w:p>
    <w:p>
      <w:pPr>
        <w:ind w:left="68"/>
        <w:spacing w:after="0" w:line="222" w:lineRule="auto"/>
        <w:rPr>
          <w:sz w:val="20"/>
          <w:szCs w:val="20"/>
          <w:color w:val="auto"/>
        </w:rPr>
      </w:pPr>
      <w:r>
        <w:rPr>
          <w:rFonts w:ascii="Times New Roman" w:cs="Times New Roman" w:eastAsia="Times New Roman" w:hAnsi="Times New Roman"/>
          <w:sz w:val="11"/>
          <w:szCs w:val="11"/>
          <w:color w:val="auto"/>
        </w:rPr>
        <w:t xml:space="preserve">Divested and other business assets </w:t>
      </w:r>
      <w:r>
        <w:rPr>
          <w:rFonts w:ascii="Times New Roman" w:cs="Times New Roman" w:eastAsia="Times New Roman" w:hAnsi="Times New Roman"/>
          <w:sz w:val="15"/>
          <w:szCs w:val="15"/>
          <w:color w:val="auto"/>
          <w:vertAlign w:val="superscript"/>
        </w:rPr>
        <w:t>(1)</w:t>
      </w:r>
    </w:p>
    <w:p>
      <w:pPr>
        <w:spacing w:after="0" w:line="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color w:val="auto"/>
        </w:rPr>
        <w:t>Assets held for sale</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960" w:type="dxa"/>
        <w:tblCellMar>
          <w:top w:w="0" w:type="dxa"/>
          <w:left w:w="0" w:type="dxa"/>
          <w:bottom w:w="0" w:type="dxa"/>
          <w:right w:w="0" w:type="dxa"/>
        </w:tblCellMar>
      </w:tblPr>
      <w:tr>
        <w:trPr>
          <w:trHeight w:val="155"/>
        </w:trPr>
        <w:tc>
          <w:tcPr>
            <w:tcW w:w="98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w w:val="94"/>
              </w:rPr>
              <w:t>1,823.2</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1,629.3</w:t>
            </w:r>
          </w:p>
        </w:tc>
      </w:tr>
      <w:tr>
        <w:trPr>
          <w:trHeight w:val="277"/>
        </w:trPr>
        <w:tc>
          <w:tcPr>
            <w:tcW w:w="98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683.1</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613.5</w:t>
            </w:r>
          </w:p>
        </w:tc>
      </w:tr>
      <w:tr>
        <w:trPr>
          <w:trHeight w:val="144"/>
        </w:trPr>
        <w:tc>
          <w:tcPr>
            <w:tcW w:w="98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305.6</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1,722.3</w:t>
            </w:r>
          </w:p>
        </w:tc>
      </w:tr>
      <w:tr>
        <w:trPr>
          <w:trHeight w:val="155"/>
        </w:trPr>
        <w:tc>
          <w:tcPr>
            <w:tcW w:w="98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6.6</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-365125</wp:posOffset>
            </wp:positionV>
            <wp:extent cx="7178040" cy="914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-182245</wp:posOffset>
            </wp:positionV>
            <wp:extent cx="7178040" cy="914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1200"/>
        <w:spacing w:after="0"/>
        <w:rPr>
          <w:sz w:val="20"/>
          <w:szCs w:val="20"/>
          <w:color w:val="auto"/>
        </w:rPr>
      </w:pPr>
      <w:r>
        <w:rPr>
          <w:rFonts w:ascii="Times New Roman" w:cs="Times New Roman" w:eastAsia="Times New Roman" w:hAnsi="Times New Roman"/>
          <w:sz w:val="12"/>
          <w:szCs w:val="12"/>
          <w:color w:val="auto"/>
        </w:rPr>
        <w:t>—5,320.6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-86995</wp:posOffset>
            </wp:positionV>
            <wp:extent cx="7178040" cy="971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tabs>
          <w:tab w:leader="none" w:pos="940" w:val="left"/>
          <w:tab w:leader="none" w:pos="1620" w:val="left"/>
          <w:tab w:leader="none" w:pos="256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2,818.5</w:t>
      </w:r>
      <w:r>
        <w:rPr>
          <w:sz w:val="20"/>
          <w:szCs w:val="20"/>
          <w:color w:val="auto"/>
        </w:rPr>
        <w:tab/>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9,371.0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86880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7528" w:space="720"/>
            <w:col w:w="3040"/>
          </w:cols>
          <w:pgMar w:left="292" w:top="557" w:right="319" w:bottom="1440" w:gutter="0" w:footer="0" w:header="0"/>
          <w:type w:val="continuous"/>
        </w:sectPr>
      </w:pPr>
    </w:p>
    <w:p>
      <w:pPr>
        <w:ind w:left="508" w:hanging="508"/>
        <w:spacing w:after="0" w:line="276" w:lineRule="auto"/>
        <w:tabs>
          <w:tab w:leader="none" w:pos="508"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certain inventory retained by the Company related to continuing involvement in divested businesses pursuant to the Amphenol MSA, as discussed in Note 2, as well as other corporate assets. As of September 30, 2026, inventory of $2.6 million related to the OWN segment and DAS business unit and $4.0 million related to the Passive Optical Network (PON) business line within the CCS segment that was not divested with the sale of the CCS segment. As of December 31, 2025, inventory of $16.6 million related to the OWN segment and DAS business unit, $4.4 million related to the PON business line and $64.3 million related to corporate and other assets.</w:t>
      </w:r>
    </w:p>
    <w:p>
      <w:pPr>
        <w:spacing w:after="0" w:line="116" w:lineRule="exact"/>
        <w:rPr>
          <w:sz w:val="20"/>
          <w:szCs w:val="20"/>
          <w:color w:val="auto"/>
        </w:rPr>
      </w:pPr>
    </w:p>
    <w:p>
      <w:pPr>
        <w:ind w:left="8" w:right="200"/>
        <w:spacing w:after="0" w:line="279" w:lineRule="auto"/>
        <w:rPr>
          <w:sz w:val="20"/>
          <w:szCs w:val="20"/>
          <w:color w:val="auto"/>
        </w:rPr>
      </w:pPr>
      <w:r>
        <w:rPr>
          <w:rFonts w:ascii="Times New Roman" w:cs="Times New Roman" w:eastAsia="Times New Roman" w:hAnsi="Times New Roman"/>
          <w:sz w:val="12"/>
          <w:szCs w:val="12"/>
          <w:color w:val="auto"/>
        </w:rPr>
        <w:t>The Company’s Chief Executive Officer is the chief operating decision maker (CODM) and regularly reviews both segment net income (loss) and segment adjusted EBITDA (earnings before interest, income taxes, depreciation and amortization) in assessing the Company’s financial performance.</w:t>
      </w:r>
    </w:p>
    <w:p>
      <w:pPr>
        <w:spacing w:after="0" w:line="111" w:lineRule="exact"/>
        <w:rPr>
          <w:sz w:val="20"/>
          <w:szCs w:val="20"/>
          <w:color w:val="auto"/>
        </w:rPr>
      </w:pPr>
    </w:p>
    <w:p>
      <w:pPr>
        <w:ind w:left="8" w:right="440"/>
        <w:spacing w:after="0" w:line="279" w:lineRule="auto"/>
        <w:rPr>
          <w:sz w:val="20"/>
          <w:szCs w:val="20"/>
          <w:color w:val="auto"/>
        </w:rPr>
      </w:pPr>
      <w:r>
        <w:rPr>
          <w:rFonts w:ascii="Times New Roman" w:cs="Times New Roman" w:eastAsia="Times New Roman" w:hAnsi="Times New Roman"/>
          <w:sz w:val="12"/>
          <w:szCs w:val="12"/>
          <w:color w:val="auto"/>
        </w:rPr>
        <w:t xml:space="preserve">Segment net income (loss) provides the CODM with a GAAP-based measure of the overall profitability of the Company’s single reportable segment and represents the measure of segment profit or loss most consistent with the measurement principles used in the Company's consolidated financial statements, and is therefore presented as the primary measure of segment profit or loss as required under ASC 280, </w:t>
      </w:r>
      <w:r>
        <w:rPr>
          <w:rFonts w:ascii="Times New Roman" w:cs="Times New Roman" w:eastAsia="Times New Roman" w:hAnsi="Times New Roman"/>
          <w:sz w:val="12"/>
          <w:szCs w:val="12"/>
          <w:i w:val="1"/>
          <w:iCs w:val="1"/>
          <w:color w:val="auto"/>
        </w:rPr>
        <w:t>Segment Reporting</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Segment adjusted EBITDA is the measure primarily used by the CODM to evaluate the operating performance of the business, assess period-over-period operating trends and make resource allocation decisions. Management believes segment adjusted EBITDA facilitates these assessments by excluding certain items that may not be indicative of the underlying operating performance of the business.</w:t>
      </w:r>
    </w:p>
    <w:p>
      <w:pPr>
        <w:spacing w:after="0" w:line="111" w:lineRule="exact"/>
        <w:rPr>
          <w:sz w:val="20"/>
          <w:szCs w:val="20"/>
          <w:color w:val="auto"/>
        </w:rPr>
      </w:pPr>
    </w:p>
    <w:p>
      <w:pPr>
        <w:jc w:val="center"/>
        <w:ind w:right="472"/>
        <w:spacing w:after="0"/>
        <w:rPr>
          <w:sz w:val="20"/>
          <w:szCs w:val="20"/>
          <w:color w:val="auto"/>
        </w:rPr>
      </w:pPr>
      <w:r>
        <w:rPr>
          <w:rFonts w:ascii="Times New Roman" w:cs="Times New Roman" w:eastAsia="Times New Roman" w:hAnsi="Times New Roman"/>
          <w:sz w:val="11"/>
          <w:szCs w:val="11"/>
          <w:color w:val="auto"/>
        </w:rPr>
        <w:t>Unallocated amounts, representing corporate and other items, not allocated to the reportable segment are excluded from segment net income (loss) and segment adjusted EBITDA, and are reflected in the reconciliations below.</w:t>
      </w:r>
    </w:p>
    <w:p>
      <w:pPr>
        <w:spacing w:after="0" w:line="1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57" w:right="319" w:bottom="1440" w:gutter="0" w:footer="0" w:header="0"/>
          <w:type w:val="continuous"/>
        </w:sectPr>
      </w:pPr>
    </w:p>
    <w:bookmarkStart w:id="23" w:name="page24"/>
    <w:bookmarkEnd w:id="2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ind w:left="8" w:right="40"/>
        <w:spacing w:after="0" w:line="279" w:lineRule="auto"/>
        <w:rPr>
          <w:sz w:val="20"/>
          <w:szCs w:val="20"/>
          <w:color w:val="auto"/>
        </w:rPr>
      </w:pPr>
      <w:r>
        <w:rPr>
          <w:rFonts w:ascii="Times New Roman" w:cs="Times New Roman" w:eastAsia="Times New Roman" w:hAnsi="Times New Roman"/>
          <w:sz w:val="12"/>
          <w:szCs w:val="12"/>
          <w:color w:val="auto"/>
        </w:rPr>
        <w:t>The following table presents segment net sales, significant segment expenses and other segment items used in determining segment net income for the three and nine months ended September 30, 2026 and 2025, and reconciles segment net income to net income:</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5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gridSpan w:val="4"/>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4"/>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5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51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jc w:val="right"/>
              <w:ind w:right="462"/>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jc w:val="right"/>
              <w:ind w:right="521"/>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402"/>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481"/>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133"/>
        </w:trPr>
        <w:tc>
          <w:tcPr>
            <w:tcW w:w="518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Segment net sales</w:t>
            </w:r>
          </w:p>
        </w:tc>
        <w:tc>
          <w:tcPr>
            <w:tcW w:w="280" w:type="dxa"/>
            <w:vAlign w:val="bottom"/>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319.8</w:t>
            </w:r>
          </w:p>
        </w:tc>
        <w:tc>
          <w:tcPr>
            <w:tcW w:w="1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20" w:type="dxa"/>
            <w:vAlign w:val="bottom"/>
            <w:shd w:val="clear" w:color="auto" w:fill="CCEC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337.8</w:t>
            </w:r>
          </w:p>
        </w:tc>
        <w:tc>
          <w:tcPr>
            <w:tcW w:w="12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40" w:type="dxa"/>
            <w:vAlign w:val="bottom"/>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937.5</w:t>
            </w:r>
          </w:p>
        </w:tc>
        <w:tc>
          <w:tcPr>
            <w:tcW w:w="1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885.3</w:t>
            </w:r>
          </w:p>
        </w:tc>
        <w:tc>
          <w:tcPr>
            <w:tcW w:w="120" w:type="dxa"/>
            <w:vAlign w:val="bottom"/>
            <w:shd w:val="clear" w:color="auto" w:fill="CCECFF"/>
          </w:tcPr>
          <w:p>
            <w:pPr>
              <w:spacing w:after="0"/>
              <w:rPr>
                <w:sz w:val="11"/>
                <w:szCs w:val="11"/>
                <w:color w:val="auto"/>
              </w:rPr>
            </w:pPr>
          </w:p>
        </w:tc>
      </w:tr>
      <w:tr>
        <w:trPr>
          <w:trHeight w:val="144"/>
        </w:trPr>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1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Segment income, costs and expenses:</w:t>
            </w:r>
          </w:p>
        </w:tc>
        <w:tc>
          <w:tcPr>
            <w:tcW w:w="2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4"/>
        </w:trPr>
        <w:tc>
          <w:tcPr>
            <w:tcW w:w="5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Cost of sales</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(207.3)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(211.9)</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(595.5)</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(510.2)</w:t>
            </w:r>
          </w:p>
        </w:tc>
      </w:tr>
      <w:tr>
        <w:trPr>
          <w:trHeight w:val="144"/>
        </w:trPr>
        <w:tc>
          <w:tcPr>
            <w:tcW w:w="51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Operating expenses</w:t>
            </w:r>
          </w:p>
        </w:tc>
        <w:tc>
          <w:tcPr>
            <w:tcW w:w="28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(58.6)</w:t>
            </w:r>
          </w:p>
        </w:tc>
        <w:tc>
          <w:tcPr>
            <w:tcW w:w="24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(75.4)</w:t>
            </w:r>
          </w:p>
        </w:tc>
        <w:tc>
          <w:tcPr>
            <w:tcW w:w="3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(198.2)</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(213.7)</w:t>
            </w:r>
          </w:p>
        </w:tc>
      </w:tr>
      <w:tr>
        <w:trPr>
          <w:trHeight w:val="144"/>
        </w:trPr>
        <w:tc>
          <w:tcPr>
            <w:tcW w:w="5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(21.4)</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(59.4)</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(67.6)</w:t>
            </w:r>
          </w:p>
        </w:tc>
      </w:tr>
      <w:tr>
        <w:trPr>
          <w:trHeight w:val="144"/>
        </w:trPr>
        <w:tc>
          <w:tcPr>
            <w:tcW w:w="51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Equity-based compensation</w:t>
            </w:r>
          </w:p>
        </w:tc>
        <w:tc>
          <w:tcPr>
            <w:tcW w:w="28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(7.4)</w:t>
            </w:r>
          </w:p>
        </w:tc>
        <w:tc>
          <w:tcPr>
            <w:tcW w:w="24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(2.9)</w:t>
            </w:r>
          </w:p>
        </w:tc>
        <w:tc>
          <w:tcPr>
            <w:tcW w:w="3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(14.5)</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(7.3)</w:t>
            </w:r>
          </w:p>
        </w:tc>
      </w:tr>
      <w:tr>
        <w:trPr>
          <w:trHeight w:val="144"/>
        </w:trPr>
        <w:tc>
          <w:tcPr>
            <w:tcW w:w="5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Interest income</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120" w:type="dxa"/>
            <w:vAlign w:val="bottom"/>
          </w:tcPr>
          <w:p>
            <w:pPr>
              <w:spacing w:after="0"/>
              <w:rPr>
                <w:sz w:val="12"/>
                <w:szCs w:val="12"/>
                <w:color w:val="auto"/>
              </w:rPr>
            </w:pPr>
          </w:p>
        </w:tc>
      </w:tr>
      <w:tr>
        <w:trPr>
          <w:trHeight w:val="144"/>
        </w:trPr>
        <w:tc>
          <w:tcPr>
            <w:tcW w:w="51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Interest expense</w:t>
            </w:r>
          </w:p>
        </w:tc>
        <w:tc>
          <w:tcPr>
            <w:tcW w:w="28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(0.9)</w:t>
            </w:r>
          </w:p>
        </w:tc>
        <w:tc>
          <w:tcPr>
            <w:tcW w:w="24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360" w:type="dxa"/>
            <w:vAlign w:val="bottom"/>
            <w:gridSpan w:val="3"/>
            <w:shd w:val="clear" w:color="auto" w:fill="CCEC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(1.7)</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180" w:type="dxa"/>
            <w:vAlign w:val="bottom"/>
          </w:tcPr>
          <w:p>
            <w:pPr>
              <w:ind w:left="40"/>
              <w:spacing w:after="0" w:line="144" w:lineRule="exact"/>
              <w:rPr>
                <w:sz w:val="20"/>
                <w:szCs w:val="20"/>
                <w:color w:val="auto"/>
              </w:rPr>
            </w:pPr>
            <w:r>
              <w:rPr>
                <w:rFonts w:ascii="Times New Roman" w:cs="Times New Roman" w:eastAsia="Times New Roman" w:hAnsi="Times New Roman"/>
                <w:sz w:val="12"/>
                <w:szCs w:val="12"/>
                <w:color w:val="auto"/>
              </w:rPr>
              <w:t xml:space="preserve">Other items </w:t>
            </w:r>
            <w:r>
              <w:rPr>
                <w:rFonts w:ascii="Times New Roman" w:cs="Times New Roman" w:eastAsia="Times New Roman" w:hAnsi="Times New Roman"/>
                <w:sz w:val="16"/>
                <w:szCs w:val="16"/>
                <w:color w:val="auto"/>
                <w:vertAlign w:val="superscript"/>
              </w:rPr>
              <w:t>(1)</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(4.7)</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(21.6)</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(19.4)</w:t>
            </w:r>
          </w:p>
        </w:tc>
      </w:tr>
      <w:tr>
        <w:trPr>
          <w:trHeight w:val="144"/>
        </w:trPr>
        <w:tc>
          <w:tcPr>
            <w:tcW w:w="51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28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3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347.8</w:t>
            </w:r>
          </w:p>
        </w:tc>
        <w:tc>
          <w:tcPr>
            <w:tcW w:w="120" w:type="dxa"/>
            <w:vAlign w:val="bottom"/>
            <w:shd w:val="clear" w:color="auto" w:fill="CCECFF"/>
          </w:tcPr>
          <w:p>
            <w:pPr>
              <w:spacing w:after="0"/>
              <w:rPr>
                <w:sz w:val="12"/>
                <w:szCs w:val="12"/>
                <w:color w:val="auto"/>
              </w:rPr>
            </w:pPr>
          </w:p>
        </w:tc>
      </w:tr>
      <w:tr>
        <w:trPr>
          <w:trHeight w:val="133"/>
        </w:trPr>
        <w:tc>
          <w:tcPr>
            <w:tcW w:w="5180" w:type="dxa"/>
            <w:vAlign w:val="bottom"/>
            <w:tcBorders>
              <w:top w:val="single" w:sz="8" w:color="CCECFF"/>
            </w:tcBorders>
          </w:tcPr>
          <w:p>
            <w:pPr>
              <w:spacing w:after="0" w:line="133" w:lineRule="exact"/>
              <w:rPr>
                <w:sz w:val="20"/>
                <w:szCs w:val="20"/>
                <w:color w:val="auto"/>
              </w:rPr>
            </w:pPr>
            <w:r>
              <w:rPr>
                <w:rFonts w:ascii="Times New Roman" w:cs="Times New Roman" w:eastAsia="Times New Roman" w:hAnsi="Times New Roman"/>
                <w:sz w:val="12"/>
                <w:szCs w:val="12"/>
                <w:color w:val="auto"/>
              </w:rPr>
              <w:t>Segment net income</w:t>
            </w: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54.8</w:t>
            </w:r>
          </w:p>
        </w:tc>
        <w:tc>
          <w:tcPr>
            <w:tcW w:w="120" w:type="dxa"/>
            <w:vAlign w:val="bottom"/>
            <w:tcBorders>
              <w:top w:val="single" w:sz="8" w:color="CCEC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18.1</w:t>
            </w:r>
          </w:p>
        </w:tc>
        <w:tc>
          <w:tcPr>
            <w:tcW w:w="120" w:type="dxa"/>
            <w:vAlign w:val="bottom"/>
            <w:tcBorders>
              <w:top w:val="single" w:sz="8" w:color="CCEC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128.0</w:t>
            </w:r>
          </w:p>
        </w:tc>
        <w:tc>
          <w:tcPr>
            <w:tcW w:w="100" w:type="dxa"/>
            <w:vAlign w:val="bottom"/>
            <w:tcBorders>
              <w:top w:val="single" w:sz="8" w:color="CCEC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426.3</w:t>
            </w:r>
          </w:p>
        </w:tc>
        <w:tc>
          <w:tcPr>
            <w:tcW w:w="120" w:type="dxa"/>
            <w:vAlign w:val="bottom"/>
            <w:tcBorders>
              <w:top w:val="single" w:sz="8" w:color="CCECFF"/>
            </w:tcBorders>
          </w:tcPr>
          <w:p>
            <w:pPr>
              <w:spacing w:after="0"/>
              <w:rPr>
                <w:sz w:val="11"/>
                <w:szCs w:val="11"/>
                <w:color w:val="auto"/>
              </w:rPr>
            </w:pPr>
          </w:p>
        </w:tc>
      </w:tr>
      <w:tr>
        <w:trPr>
          <w:trHeight w:val="144"/>
        </w:trPr>
        <w:tc>
          <w:tcPr>
            <w:tcW w:w="51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Reconciliation of segment net income to net income: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180" w:type="dxa"/>
            <w:vAlign w:val="bottom"/>
            <w:shd w:val="clear" w:color="auto" w:fill="CCECFF"/>
          </w:tcPr>
          <w:p>
            <w:pPr>
              <w:ind w:left="40"/>
              <w:spacing w:after="0" w:line="144" w:lineRule="exact"/>
              <w:rPr>
                <w:sz w:val="20"/>
                <w:szCs w:val="20"/>
                <w:color w:val="auto"/>
              </w:rPr>
            </w:pPr>
            <w:r>
              <w:rPr>
                <w:rFonts w:ascii="Times New Roman" w:cs="Times New Roman" w:eastAsia="Times New Roman" w:hAnsi="Times New Roman"/>
                <w:sz w:val="12"/>
                <w:szCs w:val="12"/>
                <w:color w:val="auto"/>
              </w:rPr>
              <w:t xml:space="preserve">Unallocated amounts </w:t>
            </w:r>
            <w:r>
              <w:rPr>
                <w:rFonts w:ascii="Times New Roman" w:cs="Times New Roman" w:eastAsia="Times New Roman" w:hAnsi="Times New Roman"/>
                <w:sz w:val="16"/>
                <w:szCs w:val="16"/>
                <w:color w:val="auto"/>
                <w:vertAlign w:val="superscript"/>
              </w:rPr>
              <w:t>(2)</w:t>
            </w:r>
          </w:p>
        </w:tc>
        <w:tc>
          <w:tcPr>
            <w:tcW w:w="28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(0.1)</w:t>
            </w:r>
          </w:p>
        </w:tc>
        <w:tc>
          <w:tcPr>
            <w:tcW w:w="24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(37.0)</w:t>
            </w:r>
          </w:p>
        </w:tc>
        <w:tc>
          <w:tcPr>
            <w:tcW w:w="3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(30.6)</w:t>
            </w: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(106.8)</w:t>
            </w:r>
          </w:p>
        </w:tc>
      </w:tr>
      <w:tr>
        <w:trPr>
          <w:trHeight w:val="20"/>
        </w:trPr>
        <w:tc>
          <w:tcPr>
            <w:tcW w:w="51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133"/>
        </w:trPr>
        <w:tc>
          <w:tcPr>
            <w:tcW w:w="5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(loss) from continuing operations</w:t>
            </w: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54.7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(18.9)</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97.4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319.5</w:t>
            </w:r>
          </w:p>
        </w:tc>
        <w:tc>
          <w:tcPr>
            <w:tcW w:w="120" w:type="dxa"/>
            <w:vAlign w:val="bottom"/>
          </w:tcPr>
          <w:p>
            <w:pPr>
              <w:spacing w:after="0"/>
              <w:rPr>
                <w:sz w:val="11"/>
                <w:szCs w:val="11"/>
                <w:color w:val="auto"/>
              </w:rPr>
            </w:pPr>
          </w:p>
        </w:tc>
      </w:tr>
      <w:tr>
        <w:trPr>
          <w:trHeight w:val="144"/>
        </w:trPr>
        <w:tc>
          <w:tcPr>
            <w:tcW w:w="51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color w:val="auto"/>
              </w:rPr>
              <w:t>Income from discontinued operations, net of taxes</w:t>
            </w:r>
          </w:p>
        </w:tc>
        <w:tc>
          <w:tcPr>
            <w:tcW w:w="280" w:type="dxa"/>
            <w:vAlign w:val="bottom"/>
            <w:tcBorders>
              <w:bottom w:val="single" w:sz="8" w:color="auto"/>
            </w:tcBorders>
            <w:shd w:val="clear" w:color="auto" w:fill="CCECFF"/>
          </w:tcPr>
          <w:p>
            <w:pPr>
              <w:spacing w:after="0"/>
              <w:rPr>
                <w:sz w:val="12"/>
                <w:szCs w:val="12"/>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975.9</w:t>
            </w:r>
          </w:p>
        </w:tc>
        <w:tc>
          <w:tcPr>
            <w:tcW w:w="1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420" w:type="dxa"/>
            <w:vAlign w:val="bottom"/>
            <w:tcBorders>
              <w:bottom w:val="single" w:sz="8" w:color="auto"/>
            </w:tcBorders>
            <w:shd w:val="clear" w:color="auto" w:fill="CCECFF"/>
          </w:tcPr>
          <w:p>
            <w:pPr>
              <w:spacing w:after="0"/>
              <w:rPr>
                <w:sz w:val="12"/>
                <w:szCs w:val="12"/>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127.3</w:t>
            </w:r>
          </w:p>
        </w:tc>
        <w:tc>
          <w:tcPr>
            <w:tcW w:w="12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6,736.3</w:t>
            </w:r>
          </w:p>
        </w:tc>
        <w:tc>
          <w:tcPr>
            <w:tcW w:w="10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440" w:type="dxa"/>
            <w:vAlign w:val="bottom"/>
            <w:tcBorders>
              <w:bottom w:val="single" w:sz="8" w:color="auto"/>
            </w:tcBorders>
            <w:shd w:val="clear" w:color="auto" w:fill="CCECFF"/>
          </w:tcPr>
          <w:p>
            <w:pPr>
              <w:spacing w:after="0"/>
              <w:rPr>
                <w:sz w:val="12"/>
                <w:szCs w:val="12"/>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604.7</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0"/>
        </w:trPr>
        <w:tc>
          <w:tcPr>
            <w:tcW w:w="5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1,030.6</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108.4</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6,833.7</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924.2</w:t>
            </w:r>
          </w:p>
        </w:tc>
        <w:tc>
          <w:tcPr>
            <w:tcW w:w="120" w:type="dxa"/>
            <w:vAlign w:val="bottom"/>
          </w:tcPr>
          <w:p>
            <w:pPr>
              <w:spacing w:after="0"/>
              <w:rPr>
                <w:sz w:val="12"/>
                <w:szCs w:val="12"/>
                <w:color w:val="auto"/>
              </w:rPr>
            </w:pPr>
          </w:p>
        </w:tc>
      </w:tr>
      <w:tr>
        <w:trPr>
          <w:trHeight w:val="144"/>
        </w:trPr>
        <w:tc>
          <w:tcPr>
            <w:tcW w:w="51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4"/>
        </w:trPr>
        <w:tc>
          <w:tcPr>
            <w:tcW w:w="5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Depreciation expense </w:t>
            </w:r>
            <w:r>
              <w:rPr>
                <w:rFonts w:ascii="Times New Roman" w:cs="Times New Roman" w:eastAsia="Times New Roman" w:hAnsi="Times New Roman"/>
                <w:sz w:val="16"/>
                <w:szCs w:val="16"/>
                <w:color w:val="auto"/>
                <w:vertAlign w:val="superscript"/>
              </w:rPr>
              <w:t>(3)</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20" w:type="dxa"/>
            <w:vAlign w:val="bottom"/>
          </w:tcPr>
          <w:p>
            <w:pPr>
              <w:spacing w:after="0"/>
              <w:rPr>
                <w:sz w:val="12"/>
                <w:szCs w:val="12"/>
                <w:color w:val="auto"/>
              </w:rPr>
            </w:pPr>
          </w:p>
        </w:tc>
      </w:tr>
      <w:tr>
        <w:trPr>
          <w:trHeight w:val="144"/>
        </w:trPr>
        <w:tc>
          <w:tcPr>
            <w:tcW w:w="518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Additions to property, plant and equipment </w:t>
            </w:r>
            <w:r>
              <w:rPr>
                <w:rFonts w:ascii="Times New Roman" w:cs="Times New Roman" w:eastAsia="Times New Roman" w:hAnsi="Times New Roman"/>
                <w:sz w:val="16"/>
                <w:szCs w:val="16"/>
                <w:color w:val="auto"/>
                <w:vertAlign w:val="superscript"/>
              </w:rPr>
              <w:t>(3)</w:t>
            </w:r>
          </w:p>
        </w:tc>
        <w:tc>
          <w:tcPr>
            <w:tcW w:w="280" w:type="dxa"/>
            <w:vAlign w:val="bottom"/>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20" w:type="dxa"/>
            <w:vAlign w:val="bottom"/>
            <w:shd w:val="clear" w:color="auto" w:fill="CCEC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20" w:type="dxa"/>
            <w:vAlign w:val="bottom"/>
            <w:shd w:val="clear" w:color="auto" w:fill="CCEC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-948055</wp:posOffset>
            </wp:positionV>
            <wp:extent cx="7429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-948055</wp:posOffset>
            </wp:positionV>
            <wp:extent cx="7429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-948055</wp:posOffset>
            </wp:positionV>
            <wp:extent cx="685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-948055</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-576580</wp:posOffset>
            </wp:positionV>
            <wp:extent cx="7429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-576580</wp:posOffset>
            </wp:positionV>
            <wp:extent cx="7429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-576580</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-576580</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-387985</wp:posOffset>
            </wp:positionV>
            <wp:extent cx="7429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-387985</wp:posOffset>
            </wp:positionV>
            <wp:extent cx="7429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-387985</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-387985</wp:posOffset>
            </wp:positionV>
            <wp:extent cx="685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7" w:lineRule="exact"/>
        <w:rPr>
          <w:sz w:val="20"/>
          <w:szCs w:val="20"/>
          <w:color w:val="auto"/>
        </w:rPr>
      </w:pPr>
    </w:p>
    <w:p>
      <w:pPr>
        <w:ind w:left="508" w:hanging="508"/>
        <w:spacing w:after="0"/>
        <w:tabs>
          <w:tab w:leader="none" w:pos="508"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restructuring costs, net, transaction, transformation and integration costs, and other income (expense), net.</w:t>
      </w:r>
    </w:p>
    <w:p>
      <w:pPr>
        <w:spacing w:after="0" w:line="44" w:lineRule="exact"/>
        <w:rPr>
          <w:rFonts w:ascii="Times New Roman" w:cs="Times New Roman" w:eastAsia="Times New Roman" w:hAnsi="Times New Roman"/>
          <w:sz w:val="11"/>
          <w:szCs w:val="11"/>
          <w:color w:val="auto"/>
        </w:rPr>
      </w:pPr>
    </w:p>
    <w:p>
      <w:pPr>
        <w:ind w:left="508" w:right="80" w:hanging="508"/>
        <w:spacing w:after="0" w:line="265" w:lineRule="auto"/>
        <w:tabs>
          <w:tab w:leader="none" w:pos="508"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certain revenues reflected within continuing operations related to products associated with businesses affected by prior divestiture transactions. Such amounts continue to be reported within continuing operations based on the terms of the underlying transactions. Also reflected in unallocated amounts are general corporate costs that were previously allocated to the divested businesses. These indirect expenses have been classified as continuing operations because they were not directly attributable to the divested businesses. Beginning in the first quarter of 2025, the costs previously allocated to the OWN segment and DAS business unit were reallocated to the Company’s remaining segments and partially offset by income under the Amphenol TSA. Beginning in the first quarter of 2026, the costs previously allocated to the CCS segment were reallocated to the Company’s remaining segments and partially offset by income under the Amphenol TSA. Beginning in the third quarter of 2026, the costs previously allocated to the RUCKUS segment were reallocated to the Company’s remaining segment and partially offset by income under the Belden TSA.</w:t>
      </w:r>
    </w:p>
    <w:p>
      <w:pPr>
        <w:spacing w:after="0" w:line="147" w:lineRule="exact"/>
        <w:rPr>
          <w:rFonts w:ascii="Times New Roman" w:cs="Times New Roman" w:eastAsia="Times New Roman" w:hAnsi="Times New Roman"/>
          <w:sz w:val="11"/>
          <w:szCs w:val="11"/>
          <w:color w:val="auto"/>
        </w:rPr>
      </w:pPr>
    </w:p>
    <w:p>
      <w:pPr>
        <w:ind w:left="508" w:hanging="508"/>
        <w:spacing w:after="0"/>
        <w:tabs>
          <w:tab w:leader="none" w:pos="508"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amounts attributable to Aurora, and excludes unallocated amounts as described in footnote (2) above.</w:t>
      </w:r>
    </w:p>
    <w:p>
      <w:pPr>
        <w:spacing w:after="0" w:line="3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24" w:name="page25"/>
    <w:bookmarkEnd w:id="2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The following table presents segment net sales, significant segment expenses and depreciation used in determining segment adjusted EBITDA for the three and nine months ended September 30, 2026 and 2025, and reconciles segment adjusted EBITDA to net income:</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5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40" w:type="dxa"/>
            <w:vAlign w:val="bottom"/>
            <w:gridSpan w:val="4"/>
          </w:tcPr>
          <w:p>
            <w:pPr>
              <w:jc w:val="right"/>
              <w:ind w:right="528"/>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gridSpan w:val="4"/>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51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4"/>
          </w:tcPr>
          <w:p>
            <w:pPr>
              <w:jc w:val="right"/>
              <w:ind w:right="668"/>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5180" w:type="dxa"/>
            <w:vAlign w:val="bottom"/>
          </w:tcPr>
          <w:p>
            <w:pPr>
              <w:spacing w:after="0"/>
              <w:rPr>
                <w:sz w:val="7"/>
                <w:szCs w:val="7"/>
                <w:color w:val="auto"/>
              </w:rPr>
            </w:pPr>
          </w:p>
        </w:tc>
        <w:tc>
          <w:tcPr>
            <w:tcW w:w="840" w:type="dxa"/>
            <w:vAlign w:val="bottom"/>
            <w:tcBorders>
              <w:bottom w:val="single" w:sz="8" w:color="auto"/>
            </w:tcBorders>
          </w:tcPr>
          <w:p>
            <w:pPr>
              <w:jc w:val="right"/>
              <w:ind w:right="48"/>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Borders>
              <w:bottom w:val="single" w:sz="8" w:color="auto"/>
            </w:tcBorders>
          </w:tcPr>
          <w:p>
            <w:pPr>
              <w:jc w:val="right"/>
              <w:ind w:right="88"/>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422"/>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right"/>
              <w:ind w:right="521"/>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133"/>
        </w:trPr>
        <w:tc>
          <w:tcPr>
            <w:tcW w:w="518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Segment net sales</w:t>
            </w:r>
          </w:p>
        </w:tc>
        <w:tc>
          <w:tcPr>
            <w:tcW w:w="840" w:type="dxa"/>
            <w:vAlign w:val="bottom"/>
            <w:shd w:val="clear" w:color="auto" w:fill="CCECFF"/>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319.8</w:t>
            </w:r>
          </w:p>
        </w:tc>
        <w:tc>
          <w:tcPr>
            <w:tcW w:w="1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900" w:type="dxa"/>
            <w:vAlign w:val="bottom"/>
            <w:shd w:val="clear" w:color="auto" w:fill="CCEC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337.8</w:t>
            </w:r>
          </w:p>
        </w:tc>
        <w:tc>
          <w:tcPr>
            <w:tcW w:w="1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80" w:type="dxa"/>
            <w:vAlign w:val="bottom"/>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937.5</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460" w:type="dxa"/>
            <w:vAlign w:val="bottom"/>
            <w:shd w:val="clear" w:color="auto" w:fill="CCEC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885.3</w:t>
            </w:r>
          </w:p>
        </w:tc>
        <w:tc>
          <w:tcPr>
            <w:tcW w:w="120" w:type="dxa"/>
            <w:vAlign w:val="bottom"/>
            <w:shd w:val="clear" w:color="auto" w:fill="CCECFF"/>
          </w:tcPr>
          <w:p>
            <w:pPr>
              <w:spacing w:after="0"/>
              <w:rPr>
                <w:sz w:val="11"/>
                <w:szCs w:val="11"/>
                <w:color w:val="auto"/>
              </w:rPr>
            </w:pPr>
          </w:p>
        </w:tc>
      </w:tr>
      <w:tr>
        <w:trPr>
          <w:trHeight w:val="144"/>
        </w:trPr>
        <w:tc>
          <w:tcPr>
            <w:tcW w:w="5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1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Segment cost and expenses:</w:t>
            </w:r>
          </w:p>
        </w:tc>
        <w:tc>
          <w:tcPr>
            <w:tcW w:w="8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4"/>
        </w:trPr>
        <w:tc>
          <w:tcPr>
            <w:tcW w:w="5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Cost of sales</w:t>
            </w:r>
          </w:p>
        </w:tc>
        <w:tc>
          <w:tcPr>
            <w:tcW w:w="84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(207.3)</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(211.9)</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(595.5)</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(510.2)</w:t>
            </w:r>
          </w:p>
        </w:tc>
      </w:tr>
      <w:tr>
        <w:trPr>
          <w:trHeight w:val="144"/>
        </w:trPr>
        <w:tc>
          <w:tcPr>
            <w:tcW w:w="51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Operating expenses</w:t>
            </w:r>
          </w:p>
        </w:tc>
        <w:tc>
          <w:tcPr>
            <w:tcW w:w="84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(58.6)</w:t>
            </w:r>
          </w:p>
        </w:tc>
        <w:tc>
          <w:tcPr>
            <w:tcW w:w="1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(75.4)</w:t>
            </w:r>
          </w:p>
        </w:tc>
        <w:tc>
          <w:tcPr>
            <w:tcW w:w="1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(198.2)</w:t>
            </w:r>
          </w:p>
        </w:tc>
        <w:tc>
          <w:tcPr>
            <w:tcW w:w="16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(213.7)</w:t>
            </w:r>
          </w:p>
        </w:tc>
      </w:tr>
      <w:tr>
        <w:trPr>
          <w:trHeight w:val="144"/>
        </w:trPr>
        <w:tc>
          <w:tcPr>
            <w:tcW w:w="5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Addback: Depreciation</w:t>
            </w:r>
          </w:p>
        </w:tc>
        <w:tc>
          <w:tcPr>
            <w:tcW w:w="8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20" w:type="dxa"/>
            <w:vAlign w:val="bottom"/>
          </w:tcPr>
          <w:p>
            <w:pPr>
              <w:spacing w:after="0"/>
              <w:rPr>
                <w:sz w:val="12"/>
                <w:szCs w:val="12"/>
                <w:color w:val="auto"/>
              </w:rPr>
            </w:pPr>
          </w:p>
        </w:tc>
      </w:tr>
      <w:tr>
        <w:trPr>
          <w:trHeight w:val="133"/>
        </w:trPr>
        <w:tc>
          <w:tcPr>
            <w:tcW w:w="518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Segment adjusted EBITDA</w:t>
            </w:r>
          </w:p>
        </w:tc>
        <w:tc>
          <w:tcPr>
            <w:tcW w:w="84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56.8</w:t>
            </w:r>
          </w:p>
        </w:tc>
        <w:tc>
          <w:tcPr>
            <w:tcW w:w="1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54.1</w:t>
            </w:r>
          </w:p>
        </w:tc>
        <w:tc>
          <w:tcPr>
            <w:tcW w:w="1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152.7</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8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172.5</w:t>
            </w:r>
          </w:p>
        </w:tc>
        <w:tc>
          <w:tcPr>
            <w:tcW w:w="120" w:type="dxa"/>
            <w:vAlign w:val="bottom"/>
            <w:shd w:val="clear" w:color="auto" w:fill="CCECFF"/>
          </w:tcPr>
          <w:p>
            <w:pPr>
              <w:spacing w:after="0"/>
              <w:rPr>
                <w:sz w:val="11"/>
                <w:szCs w:val="11"/>
                <w:color w:val="auto"/>
              </w:rPr>
            </w:pPr>
          </w:p>
        </w:tc>
      </w:tr>
      <w:tr>
        <w:trPr>
          <w:trHeight w:val="144"/>
        </w:trPr>
        <w:tc>
          <w:tcPr>
            <w:tcW w:w="5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84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(19.0)</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(59.6)</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(66.8)</w:t>
            </w:r>
          </w:p>
        </w:tc>
      </w:tr>
      <w:tr>
        <w:trPr>
          <w:trHeight w:val="144"/>
        </w:trPr>
        <w:tc>
          <w:tcPr>
            <w:tcW w:w="51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Restructuring costs, net</w:t>
            </w:r>
          </w:p>
        </w:tc>
        <w:tc>
          <w:tcPr>
            <w:tcW w:w="84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(1.6)</w:t>
            </w:r>
          </w:p>
        </w:tc>
        <w:tc>
          <w:tcPr>
            <w:tcW w:w="1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(17.2)</w:t>
            </w:r>
          </w:p>
        </w:tc>
        <w:tc>
          <w:tcPr>
            <w:tcW w:w="16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(13.1)</w:t>
            </w:r>
          </w:p>
        </w:tc>
      </w:tr>
      <w:tr>
        <w:trPr>
          <w:trHeight w:val="144"/>
        </w:trPr>
        <w:tc>
          <w:tcPr>
            <w:tcW w:w="5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Equity-based compensation</w:t>
            </w:r>
          </w:p>
        </w:tc>
        <w:tc>
          <w:tcPr>
            <w:tcW w:w="84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(7.4)</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(18.5)</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(18.3)</w:t>
            </w:r>
          </w:p>
        </w:tc>
      </w:tr>
      <w:tr>
        <w:trPr>
          <w:trHeight w:val="144"/>
        </w:trPr>
        <w:tc>
          <w:tcPr>
            <w:tcW w:w="51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Transaction, transformation and integration costs</w:t>
            </w:r>
          </w:p>
        </w:tc>
        <w:tc>
          <w:tcPr>
            <w:tcW w:w="84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1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(14.6)</w:t>
            </w:r>
          </w:p>
        </w:tc>
        <w:tc>
          <w:tcPr>
            <w:tcW w:w="16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(11.3)</w:t>
            </w:r>
          </w:p>
        </w:tc>
      </w:tr>
      <w:tr>
        <w:trPr>
          <w:trHeight w:val="144"/>
        </w:trPr>
        <w:tc>
          <w:tcPr>
            <w:tcW w:w="5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Depreciation</w:t>
            </w:r>
          </w:p>
        </w:tc>
        <w:tc>
          <w:tcPr>
            <w:tcW w:w="84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(2.9)</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(4.7)</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(9.2)</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(15.1)</w:t>
            </w:r>
          </w:p>
        </w:tc>
      </w:tr>
      <w:tr>
        <w:trPr>
          <w:trHeight w:val="144"/>
        </w:trPr>
        <w:tc>
          <w:tcPr>
            <w:tcW w:w="5180" w:type="dxa"/>
            <w:vAlign w:val="bottom"/>
            <w:shd w:val="clear" w:color="auto" w:fill="CCECFF"/>
          </w:tcPr>
          <w:p>
            <w:pPr>
              <w:ind w:left="40"/>
              <w:spacing w:after="0" w:line="144" w:lineRule="exact"/>
              <w:rPr>
                <w:sz w:val="20"/>
                <w:szCs w:val="20"/>
                <w:color w:val="auto"/>
              </w:rPr>
            </w:pPr>
            <w:r>
              <w:rPr>
                <w:rFonts w:ascii="Times New Roman" w:cs="Times New Roman" w:eastAsia="Times New Roman" w:hAnsi="Times New Roman"/>
                <w:sz w:val="12"/>
                <w:szCs w:val="12"/>
                <w:color w:val="auto"/>
              </w:rPr>
              <w:t xml:space="preserve">Unallocated amounts </w:t>
            </w:r>
            <w:r>
              <w:rPr>
                <w:rFonts w:ascii="Times New Roman" w:cs="Times New Roman" w:eastAsia="Times New Roman" w:hAnsi="Times New Roman"/>
                <w:sz w:val="16"/>
                <w:szCs w:val="16"/>
                <w:color w:val="auto"/>
                <w:vertAlign w:val="superscript"/>
              </w:rPr>
              <w:t>(1)</w:t>
            </w:r>
          </w:p>
        </w:tc>
        <w:tc>
          <w:tcPr>
            <w:tcW w:w="84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(29.3)</w:t>
            </w:r>
          </w:p>
        </w:tc>
        <w:tc>
          <w:tcPr>
            <w:tcW w:w="1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(19.1)</w:t>
            </w:r>
          </w:p>
        </w:tc>
        <w:tc>
          <w:tcPr>
            <w:tcW w:w="16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(76.6)</w:t>
            </w:r>
          </w:p>
        </w:tc>
      </w:tr>
      <w:tr>
        <w:trPr>
          <w:trHeight w:val="144"/>
        </w:trPr>
        <w:tc>
          <w:tcPr>
            <w:tcW w:w="5180" w:type="dxa"/>
            <w:vAlign w:val="bottom"/>
          </w:tcPr>
          <w:p>
            <w:pPr>
              <w:ind w:left="40"/>
              <w:spacing w:after="0" w:line="144"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6"/>
                <w:szCs w:val="16"/>
                <w:color w:val="auto"/>
                <w:vertAlign w:val="superscript"/>
              </w:rPr>
              <w:t>(2)</w:t>
            </w:r>
          </w:p>
        </w:tc>
        <w:tc>
          <w:tcPr>
            <w:tcW w:w="8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w:t>
            </w:r>
          </w:p>
        </w:tc>
      </w:tr>
      <w:tr>
        <w:trPr>
          <w:trHeight w:val="20"/>
        </w:trPr>
        <w:tc>
          <w:tcPr>
            <w:tcW w:w="5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518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Operating income (loss)</w:t>
            </w:r>
          </w:p>
        </w:tc>
        <w:tc>
          <w:tcPr>
            <w:tcW w:w="84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22.9</w:t>
            </w:r>
          </w:p>
        </w:tc>
        <w:tc>
          <w:tcPr>
            <w:tcW w:w="1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(11.5)</w:t>
            </w:r>
          </w:p>
        </w:tc>
        <w:tc>
          <w:tcPr>
            <w:tcW w:w="1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14.5</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(33.5)</w:t>
            </w:r>
          </w:p>
        </w:tc>
      </w:tr>
      <w:tr>
        <w:trPr>
          <w:trHeight w:val="144"/>
        </w:trPr>
        <w:tc>
          <w:tcPr>
            <w:tcW w:w="5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Other income, net</w:t>
            </w:r>
          </w:p>
        </w:tc>
        <w:tc>
          <w:tcPr>
            <w:tcW w:w="8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2"/>
                <w:szCs w:val="12"/>
                <w:color w:val="auto"/>
              </w:rPr>
            </w:pPr>
          </w:p>
        </w:tc>
      </w:tr>
      <w:tr>
        <w:trPr>
          <w:trHeight w:val="144"/>
        </w:trPr>
        <w:tc>
          <w:tcPr>
            <w:tcW w:w="51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8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(11.4)</w:t>
            </w:r>
          </w:p>
        </w:tc>
        <w:tc>
          <w:tcPr>
            <w:tcW w:w="1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347.8</w:t>
            </w:r>
          </w:p>
        </w:tc>
        <w:tc>
          <w:tcPr>
            <w:tcW w:w="120" w:type="dxa"/>
            <w:vAlign w:val="bottom"/>
            <w:shd w:val="clear" w:color="auto" w:fill="CCECFF"/>
          </w:tcPr>
          <w:p>
            <w:pPr>
              <w:spacing w:after="0"/>
              <w:rPr>
                <w:sz w:val="12"/>
                <w:szCs w:val="12"/>
                <w:color w:val="auto"/>
              </w:rPr>
            </w:pPr>
          </w:p>
        </w:tc>
      </w:tr>
      <w:tr>
        <w:trPr>
          <w:trHeight w:val="20"/>
        </w:trPr>
        <w:tc>
          <w:tcPr>
            <w:tcW w:w="5180" w:type="dxa"/>
            <w:vAlign w:val="bottom"/>
            <w:shd w:val="clear" w:color="auto" w:fill="CCEC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133"/>
        </w:trPr>
        <w:tc>
          <w:tcPr>
            <w:tcW w:w="5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(loss) from continuing operations</w:t>
            </w:r>
          </w:p>
        </w:tc>
        <w:tc>
          <w:tcPr>
            <w:tcW w:w="8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54.7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(18.9)</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97.4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319.5</w:t>
            </w:r>
          </w:p>
        </w:tc>
        <w:tc>
          <w:tcPr>
            <w:tcW w:w="120" w:type="dxa"/>
            <w:vAlign w:val="bottom"/>
          </w:tcPr>
          <w:p>
            <w:pPr>
              <w:spacing w:after="0"/>
              <w:rPr>
                <w:sz w:val="11"/>
                <w:szCs w:val="11"/>
                <w:color w:val="auto"/>
              </w:rPr>
            </w:pPr>
          </w:p>
        </w:tc>
      </w:tr>
      <w:tr>
        <w:trPr>
          <w:trHeight w:val="144"/>
        </w:trPr>
        <w:tc>
          <w:tcPr>
            <w:tcW w:w="51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color w:val="auto"/>
              </w:rPr>
              <w:t>Income from discontinued operations, net of taxes</w:t>
            </w:r>
          </w:p>
        </w:tc>
        <w:tc>
          <w:tcPr>
            <w:tcW w:w="84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975.9</w:t>
            </w:r>
          </w:p>
        </w:tc>
        <w:tc>
          <w:tcPr>
            <w:tcW w:w="10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90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127.3</w:t>
            </w:r>
          </w:p>
        </w:tc>
        <w:tc>
          <w:tcPr>
            <w:tcW w:w="10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6,736.3</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spacing w:after="0"/>
              <w:rPr>
                <w:sz w:val="12"/>
                <w:szCs w:val="12"/>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604.7</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0"/>
        </w:trPr>
        <w:tc>
          <w:tcPr>
            <w:tcW w:w="5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84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1,030.6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108.4</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6,833.7</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924.2</w:t>
            </w: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-302260</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-302260</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-302260</wp:posOffset>
            </wp:positionV>
            <wp:extent cx="685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-302260</wp:posOffset>
            </wp:positionV>
            <wp:extent cx="7429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-113665</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-113665</wp:posOffset>
            </wp:positionV>
            <wp:extent cx="685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-113665</wp:posOffset>
            </wp:positionV>
            <wp:extent cx="6858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-113665</wp:posOffset>
            </wp:positionV>
            <wp:extent cx="7429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pacing w:after="0" w:line="37" w:lineRule="exact"/>
        <w:rPr>
          <w:sz w:val="20"/>
          <w:szCs w:val="20"/>
          <w:color w:val="auto"/>
        </w:rPr>
      </w:pPr>
    </w:p>
    <w:p>
      <w:pPr>
        <w:ind w:left="508" w:right="80" w:hanging="508"/>
        <w:spacing w:after="0" w:line="265" w:lineRule="auto"/>
        <w:tabs>
          <w:tab w:leader="none" w:pos="508"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certain revenues reflected within continuing operations related to products associated with businesses affected by prior divestiture transactions. Such amounts continue to be reported within continuing operations based on the terms of the underlying transactions. Also reflected in unallocated amounts are general corporate costs that were previously allocated to the divested businesses. These indirect expenses have been classified as continuing operations because they were not directly attributable to the divested businesses. Beginning in the first quarter of 2025, the costs previously allocated to the OWN segment and DAS business unit were reallocated to the Company’s remaining segments and partially offset by income under the Amphenol TSA. Beginning in the first quarter of 2026, the costs previously allocated to the CCS segment were reallocated to the Company’s remaining segments and partially offset by income under the Amphenol TSA. Beginning in the third quarter of 2026, the costs previously allocated to the RUCKUS segment were reallocated to the Company’s remaining segment and partially offset by income under the Belden TSA.</w:t>
      </w:r>
    </w:p>
    <w:p>
      <w:pPr>
        <w:spacing w:after="0" w:line="183" w:lineRule="exact"/>
        <w:rPr>
          <w:rFonts w:ascii="Times New Roman" w:cs="Times New Roman" w:eastAsia="Times New Roman" w:hAnsi="Times New Roman"/>
          <w:sz w:val="11"/>
          <w:szCs w:val="11"/>
          <w:color w:val="auto"/>
        </w:rPr>
      </w:pPr>
    </w:p>
    <w:p>
      <w:pPr>
        <w:ind w:left="508" w:hanging="508"/>
        <w:spacing w:after="0"/>
        <w:tabs>
          <w:tab w:leader="none" w:pos="508"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pretax gain (loss) recognized in 2025 on the sale of the Company's OneCell business.</w:t>
      </w:r>
    </w:p>
    <w:p>
      <w:pPr>
        <w:spacing w:after="0" w:line="3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25" w:name="page26"/>
    <w:bookmarkEnd w:id="25"/>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Sales to customers located outside of the U.S. comprised 20.9% and 19.7% of total net sales for the three and nine months ended September 30, 2026, respectively, compared to 18.7% and 22.2% of total net sales for the three and nine months ended September 30, 2025, respectively. Sales by geographic region, based on the destination of product shipments or service provided, were as follows:</w:t>
      </w:r>
    </w:p>
    <w:p>
      <w:pPr>
        <w:sectPr>
          <w:pgSz w:w="11900" w:h="16838" w:orient="portrait"/>
          <w:cols w:equalWidth="0" w:num="1">
            <w:col w:w="11208"/>
          </w:cols>
          <w:pgMar w:left="292" w:top="557" w:right="3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Geographic Region:</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United States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Europe, Middle East and Africa</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Asia Pacific</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Caribbean and Latin America</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Canada</w:t>
      </w:r>
    </w:p>
    <w:p>
      <w:pPr>
        <w:spacing w:after="0" w:line="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Consolidated net sales</w:t>
      </w:r>
    </w:p>
    <w:p>
      <w:pPr>
        <w:spacing w:after="0" w:line="200" w:lineRule="exact"/>
        <w:rPr>
          <w:sz w:val="20"/>
          <w:szCs w:val="20"/>
          <w:color w:val="auto"/>
        </w:rPr>
      </w:pPr>
    </w:p>
    <w:p>
      <w:pPr>
        <w:spacing w:after="0" w:line="3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Geographic Region:</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United States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Europe, Middle East and Africa</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Asia Pacific</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Caribbean and Latin America</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Canada</w:t>
      </w:r>
    </w:p>
    <w:p>
      <w:pPr>
        <w:spacing w:after="0" w:line="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Consolidated net sales</w:t>
      </w:r>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Geographic Region:</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United States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Europe, Middle East and Africa</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Asia Pacific</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Caribbean and Latin America</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Canada</w:t>
      </w:r>
    </w:p>
    <w:p>
      <w:pPr>
        <w:spacing w:after="0" w:line="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Consolidated net sales</w:t>
      </w:r>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Geographic Region:</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United States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Europe, Middle East and Africa</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Asia Pacific</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Caribbean and Latin America</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Canada</w:t>
      </w:r>
    </w:p>
    <w:p>
      <w:pPr>
        <w:spacing w:after="0" w:line="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Consolidated net sales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0"/>
          <w:szCs w:val="10"/>
          <w:b w:val="1"/>
          <w:bCs w:val="1"/>
          <w:color w:val="auto"/>
        </w:rPr>
        <w:t>Three Months Ended September 30, 2026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78"/>
        </w:trPr>
        <w:tc>
          <w:tcPr>
            <w:tcW w:w="24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40" w:type="dxa"/>
            <w:vAlign w:val="bottom"/>
            <w:tcBorders>
              <w:top w:val="single" w:sz="8" w:color="auto"/>
            </w:tcBorders>
            <w:gridSpan w:val="4"/>
          </w:tcPr>
          <w:p>
            <w:pPr>
              <w:jc w:val="center"/>
              <w:ind w:right="380"/>
              <w:spacing w:after="0" w:line="78" w:lineRule="exact"/>
              <w:rPr>
                <w:sz w:val="20"/>
                <w:szCs w:val="20"/>
                <w:color w:val="auto"/>
              </w:rPr>
            </w:pPr>
            <w:r>
              <w:rPr>
                <w:rFonts w:ascii="Times New Roman" w:cs="Times New Roman" w:eastAsia="Times New Roman" w:hAnsi="Times New Roman"/>
                <w:sz w:val="8"/>
                <w:szCs w:val="8"/>
                <w:b w:val="1"/>
                <w:bCs w:val="1"/>
                <w:color w:val="auto"/>
              </w:rPr>
              <w:t>Corporate</w:t>
            </w:r>
          </w:p>
        </w:tc>
        <w:tc>
          <w:tcPr>
            <w:tcW w:w="1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Aurora</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and other</w:t>
            </w:r>
          </w:p>
        </w:tc>
        <w:tc>
          <w:tcPr>
            <w:tcW w:w="5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4"/>
                <w:szCs w:val="4"/>
                <w:b w:val="1"/>
                <w:bCs w:val="1"/>
                <w:color w:val="auto"/>
                <w:w w:val="84"/>
              </w:rPr>
              <w:t>(1)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66"/>
        </w:trPr>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253.0</w:t>
            </w:r>
          </w:p>
        </w:tc>
        <w:tc>
          <w:tcPr>
            <w:tcW w:w="1280" w:type="dxa"/>
            <w:vAlign w:val="bottom"/>
            <w:gridSpan w:val="3"/>
          </w:tcPr>
          <w:p>
            <w:pPr>
              <w:jc w:val="right"/>
              <w:ind w:right="813"/>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2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252.9</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319.8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81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spacing w:after="0"/>
              <w:rPr>
                <w:sz w:val="11"/>
                <w:szCs w:val="11"/>
                <w:color w:val="auto"/>
              </w:rPr>
            </w:pP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319.7</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Three Months Ended September 30, 2025</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Aurora</w:t>
            </w: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40" w:type="dxa"/>
            <w:vAlign w:val="bottom"/>
            <w:gridSpan w:val="4"/>
          </w:tcPr>
          <w:p>
            <w:pPr>
              <w:jc w:val="center"/>
              <w:ind w:right="380"/>
              <w:spacing w:after="0" w:line="76" w:lineRule="exact"/>
              <w:rPr>
                <w:sz w:val="20"/>
                <w:szCs w:val="20"/>
                <w:color w:val="auto"/>
              </w:rPr>
            </w:pPr>
            <w:r>
              <w:rPr>
                <w:rFonts w:ascii="Times New Roman" w:cs="Times New Roman" w:eastAsia="Times New Roman" w:hAnsi="Times New Roman"/>
                <w:sz w:val="8"/>
                <w:szCs w:val="8"/>
                <w:b w:val="1"/>
                <w:bCs w:val="1"/>
                <w:color w:val="auto"/>
              </w:rPr>
              <w:t>Corporate</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vMerge w:val="restart"/>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and other</w:t>
            </w:r>
          </w:p>
        </w:tc>
        <w:tc>
          <w:tcPr>
            <w:tcW w:w="34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274.6</w:t>
            </w:r>
          </w:p>
        </w:tc>
        <w:tc>
          <w:tcPr>
            <w:tcW w:w="1280" w:type="dxa"/>
            <w:vAlign w:val="bottom"/>
            <w:gridSpan w:val="3"/>
          </w:tcPr>
          <w:p>
            <w:pPr>
              <w:jc w:val="right"/>
              <w:ind w:right="813"/>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274.6</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337.8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337.8</w:t>
            </w:r>
          </w:p>
        </w:tc>
        <w:tc>
          <w:tcPr>
            <w:tcW w:w="0" w:type="dxa"/>
            <w:vAlign w:val="bottom"/>
          </w:tcPr>
          <w:p>
            <w:pPr>
              <w:spacing w:after="0"/>
              <w:rPr>
                <w:sz w:val="1"/>
                <w:szCs w:val="1"/>
                <w:color w:val="auto"/>
              </w:rPr>
            </w:pPr>
          </w:p>
        </w:tc>
      </w:tr>
      <w:tr>
        <w:trPr>
          <w:trHeight w:val="275"/>
        </w:trPr>
        <w:tc>
          <w:tcPr>
            <w:tcW w:w="2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0"/>
                <w:szCs w:val="10"/>
                <w:b w:val="1"/>
                <w:bCs w:val="1"/>
                <w:color w:val="auto"/>
              </w:rPr>
              <w:t>Nine Months Ended September 30, 2026</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jc w:val="center"/>
              <w:ind w:left="433"/>
              <w:spacing w:after="0" w:line="74" w:lineRule="exact"/>
              <w:rPr>
                <w:sz w:val="20"/>
                <w:szCs w:val="20"/>
                <w:color w:val="auto"/>
              </w:rPr>
            </w:pPr>
            <w:r>
              <w:rPr>
                <w:rFonts w:ascii="Times New Roman" w:cs="Times New Roman" w:eastAsia="Times New Roman" w:hAnsi="Times New Roman"/>
                <w:sz w:val="8"/>
                <w:szCs w:val="8"/>
                <w:b w:val="1"/>
                <w:bCs w:val="1"/>
                <w:color w:val="auto"/>
              </w:rPr>
              <w:t>Corporate</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Aurora</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center"/>
              <w:ind w:right="180"/>
              <w:spacing w:after="0" w:line="135" w:lineRule="exact"/>
              <w:rPr>
                <w:sz w:val="20"/>
                <w:szCs w:val="20"/>
                <w:color w:val="auto"/>
              </w:rPr>
            </w:pPr>
            <w:r>
              <w:rPr>
                <w:rFonts w:ascii="Times New Roman" w:cs="Times New Roman" w:eastAsia="Times New Roman" w:hAnsi="Times New Roman"/>
                <w:sz w:val="10"/>
                <w:szCs w:val="10"/>
                <w:b w:val="1"/>
                <w:bCs w:val="1"/>
                <w:color w:val="auto"/>
                <w:w w:val="93"/>
              </w:rPr>
              <w:t xml:space="preserve">and other </w:t>
            </w:r>
            <w:r>
              <w:rPr>
                <w:rFonts w:ascii="Times New Roman" w:cs="Times New Roman" w:eastAsia="Times New Roman" w:hAnsi="Times New Roman"/>
                <w:sz w:val="12"/>
                <w:szCs w:val="12"/>
                <w:b w:val="1"/>
                <w:bCs w:val="1"/>
                <w:color w:val="auto"/>
                <w:w w:val="93"/>
                <w:vertAlign w:val="superscript"/>
              </w:rPr>
              <w:t>(1)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66"/>
        </w:trPr>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752.8</w:t>
            </w:r>
          </w:p>
        </w:tc>
        <w:tc>
          <w:tcPr>
            <w:tcW w:w="160" w:type="dxa"/>
            <w:vAlign w:val="bottom"/>
          </w:tcPr>
          <w:p>
            <w:pPr>
              <w:spacing w:after="0"/>
              <w:rPr>
                <w:sz w:val="23"/>
                <w:szCs w:val="23"/>
                <w:color w:val="auto"/>
              </w:rPr>
            </w:pP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c>
          <w:tcPr>
            <w:tcW w:w="240" w:type="dxa"/>
            <w:vAlign w:val="bottom"/>
          </w:tcPr>
          <w:p>
            <w:pPr>
              <w:spacing w:after="0"/>
              <w:rPr>
                <w:sz w:val="23"/>
                <w:szCs w:val="23"/>
                <w:color w:val="auto"/>
              </w:rPr>
            </w:pPr>
          </w:p>
        </w:tc>
        <w:tc>
          <w:tcPr>
            <w:tcW w:w="440" w:type="dxa"/>
            <w:vAlign w:val="bottom"/>
            <w:gridSpan w:val="2"/>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753.0</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0" w:type="dxa"/>
            <w:vAlign w:val="bottom"/>
          </w:tcPr>
          <w:p>
            <w:pPr>
              <w:spacing w:after="0"/>
              <w:rPr>
                <w:sz w:val="1"/>
                <w:szCs w:val="1"/>
                <w:color w:val="auto"/>
              </w:rPr>
            </w:pPr>
          </w:p>
        </w:tc>
      </w:tr>
      <w:tr>
        <w:trPr>
          <w:trHeight w:val="140"/>
        </w:trPr>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937.5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937.7</w:t>
            </w:r>
          </w:p>
        </w:tc>
        <w:tc>
          <w:tcPr>
            <w:tcW w:w="0" w:type="dxa"/>
            <w:vAlign w:val="bottom"/>
          </w:tcPr>
          <w:p>
            <w:pPr>
              <w:spacing w:after="0"/>
              <w:rPr>
                <w:sz w:val="1"/>
                <w:szCs w:val="1"/>
                <w:color w:val="auto"/>
              </w:rPr>
            </w:pPr>
          </w:p>
        </w:tc>
      </w:tr>
      <w:tr>
        <w:trPr>
          <w:trHeight w:val="275"/>
        </w:trPr>
        <w:tc>
          <w:tcPr>
            <w:tcW w:w="2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0"/>
                <w:szCs w:val="10"/>
                <w:b w:val="1"/>
                <w:bCs w:val="1"/>
                <w:color w:val="auto"/>
              </w:rPr>
              <w:t>Nine Months Ended September 30, 2025</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jc w:val="center"/>
              <w:ind w:left="433"/>
              <w:spacing w:after="0" w:line="74" w:lineRule="exact"/>
              <w:rPr>
                <w:sz w:val="20"/>
                <w:szCs w:val="20"/>
                <w:color w:val="auto"/>
              </w:rPr>
            </w:pPr>
            <w:r>
              <w:rPr>
                <w:rFonts w:ascii="Times New Roman" w:cs="Times New Roman" w:eastAsia="Times New Roman" w:hAnsi="Times New Roman"/>
                <w:sz w:val="8"/>
                <w:szCs w:val="8"/>
                <w:b w:val="1"/>
                <w:bCs w:val="1"/>
                <w:color w:val="auto"/>
              </w:rPr>
              <w:t>Corporate</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Aurora</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center"/>
              <w:ind w:right="180"/>
              <w:spacing w:after="0" w:line="135" w:lineRule="exact"/>
              <w:rPr>
                <w:sz w:val="20"/>
                <w:szCs w:val="20"/>
                <w:color w:val="auto"/>
              </w:rPr>
            </w:pPr>
            <w:r>
              <w:rPr>
                <w:rFonts w:ascii="Times New Roman" w:cs="Times New Roman" w:eastAsia="Times New Roman" w:hAnsi="Times New Roman"/>
                <w:sz w:val="10"/>
                <w:szCs w:val="10"/>
                <w:b w:val="1"/>
                <w:bCs w:val="1"/>
                <w:color w:val="auto"/>
                <w:w w:val="93"/>
              </w:rPr>
              <w:t xml:space="preserve">and other </w:t>
            </w:r>
            <w:r>
              <w:rPr>
                <w:rFonts w:ascii="Times New Roman" w:cs="Times New Roman" w:eastAsia="Times New Roman" w:hAnsi="Times New Roman"/>
                <w:sz w:val="12"/>
                <w:szCs w:val="12"/>
                <w:b w:val="1"/>
                <w:bCs w:val="1"/>
                <w:color w:val="auto"/>
                <w:w w:val="93"/>
                <w:vertAlign w:val="superscript"/>
              </w:rPr>
              <w:t>(1)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66"/>
        </w:trPr>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687.6</w:t>
            </w:r>
          </w:p>
        </w:tc>
        <w:tc>
          <w:tcPr>
            <w:tcW w:w="160" w:type="dxa"/>
            <w:vAlign w:val="bottom"/>
          </w:tcPr>
          <w:p>
            <w:pPr>
              <w:spacing w:after="0"/>
              <w:rPr>
                <w:sz w:val="23"/>
                <w:szCs w:val="23"/>
                <w:color w:val="auto"/>
              </w:rPr>
            </w:pP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10.6</w:t>
            </w:r>
          </w:p>
        </w:tc>
        <w:tc>
          <w:tcPr>
            <w:tcW w:w="240" w:type="dxa"/>
            <w:vAlign w:val="bottom"/>
          </w:tcPr>
          <w:p>
            <w:pPr>
              <w:spacing w:after="0"/>
              <w:rPr>
                <w:sz w:val="23"/>
                <w:szCs w:val="23"/>
                <w:color w:val="auto"/>
              </w:rPr>
            </w:pPr>
          </w:p>
        </w:tc>
        <w:tc>
          <w:tcPr>
            <w:tcW w:w="440" w:type="dxa"/>
            <w:vAlign w:val="bottom"/>
            <w:gridSpan w:val="2"/>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698.2</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w:t>
            </w:r>
          </w:p>
        </w:tc>
        <w:tc>
          <w:tcPr>
            <w:tcW w:w="0" w:type="dxa"/>
            <w:vAlign w:val="bottom"/>
          </w:tcPr>
          <w:p>
            <w:pPr>
              <w:spacing w:after="0"/>
              <w:rPr>
                <w:sz w:val="1"/>
                <w:szCs w:val="1"/>
                <w:color w:val="auto"/>
              </w:rPr>
            </w:pPr>
          </w:p>
        </w:tc>
      </w:tr>
      <w:tr>
        <w:trPr>
          <w:trHeight w:val="140"/>
        </w:trPr>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885.3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897.5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-3616960</wp:posOffset>
            </wp:positionV>
            <wp:extent cx="7178040" cy="914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-3434080</wp:posOffset>
            </wp:positionV>
            <wp:extent cx="7178040" cy="914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-3251200</wp:posOffset>
            </wp:positionV>
            <wp:extent cx="7178040" cy="914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-2639695</wp:posOffset>
            </wp:positionV>
            <wp:extent cx="7178040" cy="914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-2456815</wp:posOffset>
            </wp:positionV>
            <wp:extent cx="7178040" cy="914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-2273935</wp:posOffset>
            </wp:positionV>
            <wp:extent cx="7178040" cy="914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-3062605</wp:posOffset>
            </wp:positionV>
            <wp:extent cx="7178040" cy="1085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-2085340</wp:posOffset>
            </wp:positionV>
            <wp:extent cx="7178040" cy="1085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-1651000</wp:posOffset>
            </wp:positionV>
            <wp:extent cx="7178040" cy="914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-1468120</wp:posOffset>
            </wp:positionV>
            <wp:extent cx="7178040" cy="914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-1285240</wp:posOffset>
            </wp:positionV>
            <wp:extent cx="7178040" cy="914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-662305</wp:posOffset>
            </wp:positionV>
            <wp:extent cx="7178040" cy="914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-479425</wp:posOffset>
            </wp:positionV>
            <wp:extent cx="7178040" cy="914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-296545</wp:posOffset>
            </wp:positionV>
            <wp:extent cx="7178040" cy="914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-1096645</wp:posOffset>
            </wp:positionV>
            <wp:extent cx="7178040" cy="1085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-107950</wp:posOffset>
            </wp:positionV>
            <wp:extent cx="7178040" cy="1085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4728" w:space="720"/>
            <w:col w:w="5760"/>
          </w:cols>
          <w:pgMar w:left="292" w:top="557" w:right="399" w:bottom="1440" w:gutter="0" w:footer="0" w:header="0"/>
          <w:type w:val="continuous"/>
        </w:sectPr>
      </w:pPr>
    </w:p>
    <w:p>
      <w:pPr>
        <w:ind w:left="508" w:right="180" w:hanging="508"/>
        <w:spacing w:after="0" w:line="296" w:lineRule="auto"/>
        <w:tabs>
          <w:tab w:leader="none" w:pos="508"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corporate and other category above includes certain revenues reflected within continuing operations related to products associated with businesses affected by prior divestiture transactions. Such amounts continue to be reported within continuing operations based on the terms of the underlying transactions.</w:t>
      </w:r>
    </w:p>
    <w:p>
      <w:pPr>
        <w:spacing w:after="0" w:line="250"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557" w:right="39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RESTRUCTURING COSTS</w:t>
      </w:r>
    </w:p>
    <w:p>
      <w:pPr>
        <w:spacing w:after="0" w:line="82"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net pretax restructuring activity included in restructuring costs, net on the Condensed Consolidated Statements of Operations, was as follows:</w:t>
      </w:r>
    </w:p>
    <w:p>
      <w:pPr>
        <w:spacing w:after="0" w:line="101"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44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2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8"/>
        </w:trPr>
        <w:tc>
          <w:tcPr>
            <w:tcW w:w="4420" w:type="dxa"/>
            <w:vAlign w:val="bottom"/>
          </w:tcPr>
          <w:p>
            <w:pPr>
              <w:spacing w:after="0"/>
              <w:rPr>
                <w:sz w:val="7"/>
                <w:szCs w:val="7"/>
                <w:color w:val="auto"/>
              </w:rPr>
            </w:pPr>
          </w:p>
        </w:tc>
        <w:tc>
          <w:tcPr>
            <w:tcW w:w="6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40" w:type="dxa"/>
            <w:vAlign w:val="bottom"/>
          </w:tcPr>
          <w:p>
            <w:pPr>
              <w:spacing w:after="0"/>
              <w:rPr>
                <w:sz w:val="7"/>
                <w:szCs w:val="7"/>
                <w:color w:val="auto"/>
              </w:rPr>
            </w:pPr>
          </w:p>
        </w:tc>
        <w:tc>
          <w:tcPr>
            <w:tcW w:w="920" w:type="dxa"/>
            <w:vAlign w:val="bottom"/>
            <w:gridSpan w:val="2"/>
          </w:tcPr>
          <w:p>
            <w:pPr>
              <w:jc w:val="right"/>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jc w:val="right"/>
              <w:ind w:right="12"/>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jc w:val="right"/>
              <w:ind w:right="32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r>
      <w:tr>
        <w:trPr>
          <w:trHeight w:val="133"/>
        </w:trPr>
        <w:tc>
          <w:tcPr>
            <w:tcW w:w="442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Aurora</w:t>
            </w:r>
          </w:p>
        </w:tc>
        <w:tc>
          <w:tcPr>
            <w:tcW w:w="600" w:type="dxa"/>
            <w:vAlign w:val="bottom"/>
            <w:tcBorders>
              <w:top w:val="single" w:sz="8" w:color="auto"/>
            </w:tcBorders>
            <w:shd w:val="clear" w:color="auto" w:fill="CCECFF"/>
          </w:tcPr>
          <w:p>
            <w:pPr>
              <w:spacing w:after="0"/>
              <w:rPr>
                <w:sz w:val="11"/>
                <w:szCs w:val="11"/>
                <w:color w:val="auto"/>
              </w:rPr>
            </w:pPr>
          </w:p>
        </w:tc>
        <w:tc>
          <w:tcPr>
            <w:tcW w:w="34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26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260" w:type="dxa"/>
            <w:vAlign w:val="bottom"/>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14.1</w:t>
            </w:r>
          </w:p>
        </w:tc>
        <w:tc>
          <w:tcPr>
            <w:tcW w:w="260" w:type="dxa"/>
            <w:vAlign w:val="bottom"/>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w:t>
            </w:r>
          </w:p>
        </w:tc>
        <w:tc>
          <w:tcPr>
            <w:tcW w:w="100" w:type="dxa"/>
            <w:vAlign w:val="bottom"/>
            <w:shd w:val="clear" w:color="auto" w:fill="CCECFF"/>
          </w:tcPr>
          <w:p>
            <w:pPr>
              <w:spacing w:after="0"/>
              <w:rPr>
                <w:sz w:val="11"/>
                <w:szCs w:val="11"/>
                <w:color w:val="auto"/>
              </w:rPr>
            </w:pPr>
          </w:p>
        </w:tc>
      </w:tr>
      <w:tr>
        <w:trPr>
          <w:trHeight w:val="144"/>
        </w:trPr>
        <w:tc>
          <w:tcPr>
            <w:tcW w:w="44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Corporate and other </w:t>
            </w:r>
            <w:r>
              <w:rPr>
                <w:rFonts w:ascii="Times New Roman" w:cs="Times New Roman" w:eastAsia="Times New Roman" w:hAnsi="Times New Roman"/>
                <w:sz w:val="16"/>
                <w:szCs w:val="16"/>
                <w:color w:val="auto"/>
                <w:vertAlign w:val="superscript"/>
              </w:rPr>
              <w:t>(1)</w:t>
            </w: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Pr>
          <w:p>
            <w:pPr>
              <w:spacing w:after="0"/>
              <w:rPr>
                <w:sz w:val="12"/>
                <w:szCs w:val="12"/>
                <w:color w:val="auto"/>
              </w:rPr>
            </w:pPr>
          </w:p>
        </w:tc>
      </w:tr>
      <w:tr>
        <w:trPr>
          <w:trHeight w:val="133"/>
        </w:trPr>
        <w:tc>
          <w:tcPr>
            <w:tcW w:w="442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600" w:type="dxa"/>
            <w:vAlign w:val="bottom"/>
            <w:shd w:val="clear" w:color="auto" w:fill="CCECFF"/>
          </w:tcPr>
          <w:p>
            <w:pPr>
              <w:jc w:val="right"/>
              <w:ind w:right="48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920" w:type="dxa"/>
            <w:vAlign w:val="bottom"/>
            <w:gridSpan w:val="2"/>
            <w:shd w:val="clear" w:color="auto" w:fill="CCECFF"/>
          </w:tcPr>
          <w:p>
            <w:pPr>
              <w:jc w:val="right"/>
              <w:ind w:right="6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w:t>
            </w:r>
          </w:p>
        </w:tc>
        <w:tc>
          <w:tcPr>
            <w:tcW w:w="880" w:type="dxa"/>
            <w:vAlign w:val="bottom"/>
            <w:gridSpan w:val="2"/>
            <w:shd w:val="clear" w:color="auto" w:fill="CCECFF"/>
          </w:tcPr>
          <w:p>
            <w:pPr>
              <w:jc w:val="right"/>
              <w:ind w:right="512"/>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17.2</w:t>
            </w:r>
          </w:p>
        </w:tc>
        <w:tc>
          <w:tcPr>
            <w:tcW w:w="580" w:type="dxa"/>
            <w:vAlign w:val="bottom"/>
            <w:gridSpan w:val="2"/>
            <w:shd w:val="clear" w:color="auto" w:fill="CCEC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w:t>
            </w:r>
          </w:p>
        </w:tc>
        <w:tc>
          <w:tcPr>
            <w:tcW w:w="100" w:type="dxa"/>
            <w:vAlign w:val="bottom"/>
            <w:shd w:val="clear" w:color="auto" w:fill="CCECFF"/>
          </w:tcPr>
          <w:p>
            <w:pPr>
              <w:spacing w:after="0"/>
              <w:rPr>
                <w:sz w:val="11"/>
                <w:szCs w:val="11"/>
                <w:color w:val="auto"/>
              </w:rPr>
            </w:pPr>
          </w:p>
        </w:tc>
      </w:tr>
      <w:tr>
        <w:trPr>
          <w:trHeight w:val="27"/>
        </w:trPr>
        <w:tc>
          <w:tcPr>
            <w:tcW w:w="4420" w:type="dxa"/>
            <w:vAlign w:val="bottom"/>
            <w:shd w:val="clear" w:color="auto" w:fill="CCEC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C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-16510</wp:posOffset>
            </wp:positionV>
            <wp:extent cx="5715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4115435</wp:posOffset>
            </wp:positionH>
            <wp:positionV relativeFrom="paragraph">
              <wp:posOffset>-5080</wp:posOffset>
            </wp:positionV>
            <wp:extent cx="5715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-16510</wp:posOffset>
            </wp:positionV>
            <wp:extent cx="5715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-5080</wp:posOffset>
            </wp:positionV>
            <wp:extent cx="5715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5629910</wp:posOffset>
            </wp:positionH>
            <wp:positionV relativeFrom="paragraph">
              <wp:posOffset>-16510</wp:posOffset>
            </wp:positionV>
            <wp:extent cx="5715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5629910</wp:posOffset>
            </wp:positionH>
            <wp:positionV relativeFrom="paragraph">
              <wp:posOffset>-5080</wp:posOffset>
            </wp:positionV>
            <wp:extent cx="5715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-16510</wp:posOffset>
            </wp:positionV>
            <wp:extent cx="6286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-5080</wp:posOffset>
            </wp:positionV>
            <wp:extent cx="6286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45" w:lineRule="exact"/>
        <w:rPr>
          <w:sz w:val="20"/>
          <w:szCs w:val="20"/>
          <w:color w:val="auto"/>
        </w:rPr>
      </w:pPr>
    </w:p>
    <w:p>
      <w:pPr>
        <w:ind w:left="1560" w:hanging="513"/>
        <w:spacing w:after="0" w:line="269" w:lineRule="auto"/>
        <w:tabs>
          <w:tab w:leader="none" w:pos="15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general corporate restructuring costs that were previously allocated to the divested businesses. Beginning in the first quarter of 2025, costs previously allocated to the OWN segment and DAS business unit were reallocated to the Company’s remaining segments and partially offset by income under the Amphenol TSA. Costs previously allocated to the CCS segment were reallocated to the Company’s remaining segments and partially offset by income under the Amphenol TSA beginning in the first quarter of 2026. Beginning in the third quarter of 2026, costs previously allocated to the RUCKUS segment were reallocated to the Company’s remaining segment and partially offset by income under the Belden TSA.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Restructuring liabilities were included in the Company’s Condensed Consolidated Balance Sheets as follows:</w:t>
      </w:r>
    </w:p>
    <w:p>
      <w:pPr>
        <w:spacing w:after="0" w:line="11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right"/>
              <w:ind w:right="525"/>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2026</w:t>
            </w:r>
          </w:p>
        </w:tc>
        <w:tc>
          <w:tcPr>
            <w:tcW w:w="3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33"/>
        </w:trPr>
        <w:tc>
          <w:tcPr>
            <w:tcW w:w="20" w:type="dxa"/>
            <w:vAlign w:val="bottom"/>
          </w:tcPr>
          <w:p>
            <w:pPr>
              <w:spacing w:after="0"/>
              <w:rPr>
                <w:sz w:val="11"/>
                <w:szCs w:val="11"/>
                <w:color w:val="auto"/>
              </w:rPr>
            </w:pPr>
          </w:p>
        </w:tc>
        <w:tc>
          <w:tcPr>
            <w:tcW w:w="28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Accrued and other liabilities</w:t>
            </w:r>
          </w:p>
        </w:tc>
        <w:tc>
          <w:tcPr>
            <w:tcW w:w="2780" w:type="dxa"/>
            <w:vAlign w:val="bottom"/>
            <w:gridSpan w:val="2"/>
            <w:shd w:val="clear" w:color="auto" w:fill="CCECFF"/>
          </w:tcPr>
          <w:p>
            <w:pPr>
              <w:jc w:val="right"/>
              <w:ind w:right="1152"/>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w:t>
            </w:r>
          </w:p>
        </w:tc>
        <w:tc>
          <w:tcPr>
            <w:tcW w:w="540" w:type="dxa"/>
            <w:vAlign w:val="bottom"/>
            <w:gridSpan w:val="2"/>
            <w:shd w:val="clear" w:color="auto" w:fill="CCEC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60" w:type="dxa"/>
            <w:vAlign w:val="bottom"/>
            <w:tcBorders>
              <w:right w:val="single" w:sz="8" w:color="CCECFF"/>
            </w:tcBorders>
            <w:shd w:val="clear" w:color="auto" w:fill="CCECFF"/>
          </w:tcPr>
          <w:p>
            <w:pPr>
              <w:jc w:val="right"/>
              <w:ind w:right="25"/>
              <w:spacing w:after="0" w:line="133" w:lineRule="exact"/>
              <w:rPr>
                <w:sz w:val="20"/>
                <w:szCs w:val="20"/>
                <w:color w:val="auto"/>
              </w:rPr>
            </w:pPr>
            <w:r>
              <w:rPr>
                <w:rFonts w:ascii="Times New Roman" w:cs="Times New Roman" w:eastAsia="Times New Roman" w:hAnsi="Times New Roman"/>
                <w:sz w:val="12"/>
                <w:szCs w:val="12"/>
                <w:color w:val="auto"/>
              </w:rPr>
              <w:t>2.3</w:t>
            </w:r>
          </w:p>
        </w:tc>
      </w:tr>
      <w:tr>
        <w:trPr>
          <w:trHeight w:val="144"/>
        </w:trPr>
        <w:tc>
          <w:tcPr>
            <w:tcW w:w="20" w:type="dxa"/>
            <w:vAlign w:val="bottom"/>
          </w:tcPr>
          <w:p>
            <w:pPr>
              <w:spacing w:after="0"/>
              <w:rPr>
                <w:sz w:val="12"/>
                <w:szCs w:val="12"/>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52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20" w:type="dxa"/>
            <w:vAlign w:val="bottom"/>
          </w:tcPr>
          <w:p>
            <w:pPr>
              <w:spacing w:after="0"/>
              <w:rPr>
                <w:sz w:val="11"/>
                <w:szCs w:val="11"/>
                <w:color w:val="auto"/>
              </w:rPr>
            </w:pPr>
          </w:p>
        </w:tc>
        <w:tc>
          <w:tcPr>
            <w:tcW w:w="286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Total restructuring liabilities</w:t>
            </w:r>
          </w:p>
        </w:tc>
        <w:tc>
          <w:tcPr>
            <w:tcW w:w="2780" w:type="dxa"/>
            <w:vAlign w:val="bottom"/>
            <w:gridSpan w:val="2"/>
            <w:shd w:val="clear" w:color="auto" w:fill="CCECFF"/>
          </w:tcPr>
          <w:p>
            <w:pPr>
              <w:jc w:val="right"/>
              <w:ind w:right="1152"/>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w:t>
            </w:r>
          </w:p>
        </w:tc>
        <w:tc>
          <w:tcPr>
            <w:tcW w:w="540" w:type="dxa"/>
            <w:vAlign w:val="bottom"/>
            <w:gridSpan w:val="2"/>
            <w:shd w:val="clear" w:color="auto" w:fill="CCEC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60" w:type="dxa"/>
            <w:vAlign w:val="bottom"/>
            <w:tcBorders>
              <w:right w:val="single" w:sz="8" w:color="CCECFF"/>
            </w:tcBorders>
            <w:shd w:val="clear" w:color="auto" w:fill="CCECFF"/>
          </w:tcPr>
          <w:p>
            <w:pPr>
              <w:jc w:val="right"/>
              <w:ind w:right="25"/>
              <w:spacing w:after="0" w:line="133" w:lineRule="exact"/>
              <w:rPr>
                <w:sz w:val="20"/>
                <w:szCs w:val="20"/>
                <w:color w:val="auto"/>
              </w:rPr>
            </w:pPr>
            <w:r>
              <w:rPr>
                <w:rFonts w:ascii="Times New Roman" w:cs="Times New Roman" w:eastAsia="Times New Roman" w:hAnsi="Times New Roman"/>
                <w:sz w:val="12"/>
                <w:szCs w:val="12"/>
                <w:color w:val="auto"/>
              </w:rPr>
              <w:t>2.3</w:t>
            </w:r>
          </w:p>
        </w:tc>
      </w:tr>
      <w:tr>
        <w:trPr>
          <w:trHeight w:val="27"/>
        </w:trPr>
        <w:tc>
          <w:tcPr>
            <w:tcW w:w="20" w:type="dxa"/>
            <w:vAlign w:val="bottom"/>
          </w:tcPr>
          <w:p>
            <w:pPr>
              <w:spacing w:after="0"/>
              <w:rPr>
                <w:sz w:val="2"/>
                <w:szCs w:val="2"/>
                <w:color w:val="auto"/>
              </w:rPr>
            </w:pPr>
          </w:p>
        </w:tc>
        <w:tc>
          <w:tcPr>
            <w:tcW w:w="2860" w:type="dxa"/>
            <w:vAlign w:val="bottom"/>
            <w:shd w:val="clear" w:color="auto" w:fill="CCECFF"/>
          </w:tcPr>
          <w:p>
            <w:pPr>
              <w:spacing w:after="0"/>
              <w:rPr>
                <w:sz w:val="2"/>
                <w:szCs w:val="2"/>
                <w:color w:val="auto"/>
              </w:rPr>
            </w:pPr>
          </w:p>
        </w:tc>
        <w:tc>
          <w:tcPr>
            <w:tcW w:w="1520" w:type="dxa"/>
            <w:vAlign w:val="bottom"/>
            <w:shd w:val="clear" w:color="auto" w:fill="CCEC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60" w:type="dxa"/>
            <w:vAlign w:val="bottom"/>
            <w:tcBorders>
              <w:right w:val="single" w:sz="8" w:color="CCEC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-16510</wp:posOffset>
            </wp:positionV>
            <wp:extent cx="4572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-5080</wp:posOffset>
            </wp:positionV>
            <wp:extent cx="4572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-16510</wp:posOffset>
            </wp:positionV>
            <wp:extent cx="4572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-5080</wp:posOffset>
            </wp:positionV>
            <wp:extent cx="4572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Vistance Restructuring Actions</w:t>
      </w:r>
    </w:p>
    <w:p>
      <w:pPr>
        <w:spacing w:after="0" w:line="80"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During 2025, the Company substantially completed a restructuring program that was initiated in prior periods. As of December 31, 2025, the Company had accrued liabilities of $2.3 million related to this program, consisting of employee-related costs. These remaining obligations are expected to be settled in 2026.</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the divestiture of the CCS segment that was completed on January 9, 2026, the Company initiated a new restructuring plan to right-size its cost structure and align operations with its revised business scope.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7" w:name="page28"/>
    <w:bookmarkEnd w:id="2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283" w:lineRule="exact"/>
        <w:rPr>
          <w:sz w:val="20"/>
          <w:szCs w:val="20"/>
          <w:color w:val="auto"/>
        </w:rPr>
      </w:pPr>
    </w:p>
    <w:p>
      <w:pPr>
        <w:ind w:left="8" w:right="340"/>
        <w:spacing w:after="0" w:line="279" w:lineRule="auto"/>
        <w:rPr>
          <w:sz w:val="20"/>
          <w:szCs w:val="20"/>
          <w:color w:val="auto"/>
        </w:rPr>
      </w:pPr>
      <w:r>
        <w:rPr>
          <w:rFonts w:ascii="Times New Roman" w:cs="Times New Roman" w:eastAsia="Times New Roman" w:hAnsi="Times New Roman"/>
          <w:sz w:val="12"/>
          <w:szCs w:val="12"/>
          <w:color w:val="auto"/>
        </w:rPr>
        <w:t>The following table presents activity in the Company’s accrued restructuring liabilities for the periods presented. The roll forward reflects a combined presentation of the remaining liabilities associated with the prior restructuring program and liabilities recognized under restructuring plans initiated in 2026:</w:t>
      </w:r>
    </w:p>
    <w:p>
      <w:pPr>
        <w:spacing w:after="0" w:line="3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w w:val="99"/>
              </w:rPr>
              <w:t>Employee-Related Costs</w:t>
            </w:r>
          </w:p>
        </w:tc>
        <w:tc>
          <w:tcPr>
            <w:tcW w:w="340" w:type="dxa"/>
            <w:vAlign w:val="bottom"/>
          </w:tcPr>
          <w:p>
            <w:pPr>
              <w:spacing w:after="0"/>
              <w:rPr>
                <w:sz w:val="10"/>
                <w:szCs w:val="10"/>
                <w:color w:val="auto"/>
              </w:rPr>
            </w:pPr>
          </w:p>
        </w:tc>
        <w:tc>
          <w:tcPr>
            <w:tcW w:w="10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Other</w:t>
            </w:r>
          </w:p>
        </w:tc>
        <w:tc>
          <w:tcPr>
            <w:tcW w:w="4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0"/>
                <w:szCs w:val="10"/>
                <w:color w:val="auto"/>
              </w:rPr>
            </w:pPr>
          </w:p>
        </w:tc>
      </w:tr>
      <w:tr>
        <w:trPr>
          <w:trHeight w:val="133"/>
        </w:trPr>
        <w:tc>
          <w:tcPr>
            <w:tcW w:w="602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Balance at June 30, 2026</w:t>
            </w:r>
          </w:p>
        </w:tc>
        <w:tc>
          <w:tcPr>
            <w:tcW w:w="380" w:type="dxa"/>
            <w:vAlign w:val="bottom"/>
            <w:gridSpan w:val="2"/>
            <w:shd w:val="clear" w:color="auto" w:fill="CCECFF"/>
          </w:tcPr>
          <w:p>
            <w:pPr>
              <w:jc w:val="right"/>
              <w:ind w:right="2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w:t>
            </w:r>
          </w:p>
        </w:tc>
        <w:tc>
          <w:tcPr>
            <w:tcW w:w="340" w:type="dxa"/>
            <w:vAlign w:val="bottom"/>
            <w:shd w:val="clear" w:color="auto" w:fill="CCECFF"/>
          </w:tcPr>
          <w:p>
            <w:pPr>
              <w:spacing w:after="0"/>
              <w:rPr>
                <w:sz w:val="11"/>
                <w:szCs w:val="11"/>
                <w:color w:val="auto"/>
              </w:rPr>
            </w:pPr>
          </w:p>
        </w:tc>
        <w:tc>
          <w:tcPr>
            <w:tcW w:w="1020" w:type="dxa"/>
            <w:vAlign w:val="bottom"/>
            <w:shd w:val="clear" w:color="auto" w:fill="CCECFF"/>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C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w:t>
            </w:r>
          </w:p>
        </w:tc>
        <w:tc>
          <w:tcPr>
            <w:tcW w:w="120" w:type="dxa"/>
            <w:vAlign w:val="bottom"/>
            <w:shd w:val="clear" w:color="auto" w:fill="CCECFF"/>
          </w:tcPr>
          <w:p>
            <w:pPr>
              <w:spacing w:after="0"/>
              <w:rPr>
                <w:sz w:val="11"/>
                <w:szCs w:val="11"/>
                <w:color w:val="auto"/>
              </w:rPr>
            </w:pPr>
          </w:p>
        </w:tc>
      </w:tr>
      <w:tr>
        <w:trPr>
          <w:trHeight w:val="144"/>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Additional expense, net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2"/>
                <w:szCs w:val="12"/>
                <w:color w:val="auto"/>
              </w:rPr>
            </w:pPr>
          </w:p>
        </w:tc>
      </w:tr>
      <w:tr>
        <w:trPr>
          <w:trHeight w:val="144"/>
        </w:trPr>
        <w:tc>
          <w:tcPr>
            <w:tcW w:w="602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Cash paid</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(5.2)</w:t>
            </w:r>
          </w:p>
        </w:tc>
        <w:tc>
          <w:tcPr>
            <w:tcW w:w="102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CFF"/>
          </w:tcPr>
          <w:p>
            <w:pPr>
              <w:spacing w:after="0"/>
              <w:rPr>
                <w:sz w:val="12"/>
                <w:szCs w:val="12"/>
                <w:color w:val="auto"/>
              </w:rPr>
            </w:pP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(5.2)</w:t>
            </w:r>
          </w:p>
        </w:tc>
      </w:tr>
      <w:tr>
        <w:trPr>
          <w:trHeight w:val="140"/>
        </w:trPr>
        <w:tc>
          <w:tcPr>
            <w:tcW w:w="6020" w:type="dxa"/>
            <w:vAlign w:val="bottom"/>
            <w:tcBorders>
              <w:top w:val="single" w:sz="8" w:color="CCECFF"/>
              <w:bottom w:val="single" w:sz="8" w:color="CCECFF"/>
            </w:tcBorders>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Balance at September 30, 2026</w:t>
            </w: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140" w:type="dxa"/>
            <w:vAlign w:val="bottom"/>
            <w:tcBorders>
              <w:top w:val="single" w:sz="8" w:color="auto"/>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w:t>
            </w:r>
          </w:p>
        </w:tc>
        <w:tc>
          <w:tcPr>
            <w:tcW w:w="340" w:type="dxa"/>
            <w:vAlign w:val="bottom"/>
            <w:tcBorders>
              <w:top w:val="single" w:sz="8" w:color="CCECFF"/>
              <w:bottom w:val="single" w:sz="8" w:color="CCECFF"/>
            </w:tcBorders>
            <w:shd w:val="clear" w:color="auto" w:fill="CCECFF"/>
          </w:tcPr>
          <w:p>
            <w:pPr>
              <w:spacing w:after="0"/>
              <w:rPr>
                <w:sz w:val="12"/>
                <w:szCs w:val="12"/>
                <w:color w:val="auto"/>
              </w:rPr>
            </w:pPr>
          </w:p>
        </w:tc>
        <w:tc>
          <w:tcPr>
            <w:tcW w:w="1020" w:type="dxa"/>
            <w:vAlign w:val="bottom"/>
            <w:tcBorders>
              <w:top w:val="single" w:sz="8" w:color="auto"/>
              <w:bottom w:val="single" w:sz="8" w:color="auto"/>
            </w:tcBorders>
            <w:shd w:val="clear" w:color="auto" w:fill="CCECFF"/>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CFF"/>
              <w:bottom w:val="single" w:sz="8" w:color="CCECFF"/>
            </w:tcBorders>
            <w:shd w:val="clear" w:color="auto" w:fill="CCECFF"/>
          </w:tcPr>
          <w:p>
            <w:pPr>
              <w:spacing w:after="0"/>
              <w:rPr>
                <w:sz w:val="12"/>
                <w:szCs w:val="12"/>
                <w:color w:val="auto"/>
              </w:rPr>
            </w:pPr>
          </w:p>
        </w:tc>
        <w:tc>
          <w:tcPr>
            <w:tcW w:w="320" w:type="dxa"/>
            <w:vAlign w:val="bottom"/>
            <w:tcBorders>
              <w:top w:val="single" w:sz="8" w:color="auto"/>
              <w:bottom w:val="single" w:sz="8" w:color="auto"/>
            </w:tcBorders>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r>
      <w:tr>
        <w:trPr>
          <w:trHeight w:val="144"/>
        </w:trPr>
        <w:tc>
          <w:tcPr>
            <w:tcW w:w="6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2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380" w:type="dxa"/>
            <w:vAlign w:val="bottom"/>
            <w:gridSpan w:val="2"/>
            <w:shd w:val="clear" w:color="auto" w:fill="CCEC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340" w:type="dxa"/>
            <w:vAlign w:val="bottom"/>
            <w:shd w:val="clear" w:color="auto" w:fill="CCECFF"/>
          </w:tcPr>
          <w:p>
            <w:pPr>
              <w:spacing w:after="0"/>
              <w:rPr>
                <w:sz w:val="12"/>
                <w:szCs w:val="12"/>
                <w:color w:val="auto"/>
              </w:rPr>
            </w:pPr>
          </w:p>
        </w:tc>
        <w:tc>
          <w:tcPr>
            <w:tcW w:w="1020" w:type="dxa"/>
            <w:vAlign w:val="bottom"/>
            <w:shd w:val="clear" w:color="auto" w:fill="CCECFF"/>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shd w:val="clear" w:color="auto" w:fill="CCECFF"/>
          </w:tcPr>
          <w:p>
            <w:pPr>
              <w:spacing w:after="0"/>
              <w:rPr>
                <w:sz w:val="12"/>
                <w:szCs w:val="12"/>
                <w:color w:val="auto"/>
              </w:rPr>
            </w:pPr>
          </w:p>
        </w:tc>
      </w:tr>
      <w:tr>
        <w:trPr>
          <w:trHeight w:val="144"/>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Additional expense, net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20" w:type="dxa"/>
            <w:vAlign w:val="bottom"/>
          </w:tcPr>
          <w:p>
            <w:pPr>
              <w:spacing w:after="0"/>
              <w:rPr>
                <w:sz w:val="12"/>
                <w:szCs w:val="12"/>
                <w:color w:val="auto"/>
              </w:rPr>
            </w:pPr>
          </w:p>
        </w:tc>
      </w:tr>
      <w:tr>
        <w:trPr>
          <w:trHeight w:val="144"/>
        </w:trPr>
        <w:tc>
          <w:tcPr>
            <w:tcW w:w="602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Cash paid</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(14.6)</w:t>
            </w:r>
          </w:p>
        </w:tc>
        <w:tc>
          <w:tcPr>
            <w:tcW w:w="102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2"/>
                <w:szCs w:val="12"/>
                <w:color w:val="auto"/>
              </w:rPr>
              <w:t>(0.5)</w:t>
            </w:r>
          </w:p>
        </w:tc>
        <w:tc>
          <w:tcPr>
            <w:tcW w:w="320" w:type="dxa"/>
            <w:vAlign w:val="bottom"/>
            <w:shd w:val="clear" w:color="auto" w:fill="CCECFF"/>
          </w:tcPr>
          <w:p>
            <w:pPr>
              <w:spacing w:after="0"/>
              <w:rPr>
                <w:sz w:val="12"/>
                <w:szCs w:val="12"/>
                <w:color w:val="auto"/>
              </w:rPr>
            </w:pP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(15.1)</w:t>
            </w:r>
          </w:p>
        </w:tc>
      </w:tr>
      <w:tr>
        <w:trPr>
          <w:trHeight w:val="140"/>
        </w:trPr>
        <w:tc>
          <w:tcPr>
            <w:tcW w:w="6020" w:type="dxa"/>
            <w:vAlign w:val="bottom"/>
            <w:tcBorders>
              <w:top w:val="single" w:sz="8" w:color="CCECFF"/>
              <w:bottom w:val="single" w:sz="8" w:color="CCECFF"/>
            </w:tcBorders>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Balance at September 30, 2026</w:t>
            </w: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140" w:type="dxa"/>
            <w:vAlign w:val="bottom"/>
            <w:tcBorders>
              <w:top w:val="single" w:sz="8" w:color="auto"/>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w:t>
            </w:r>
          </w:p>
        </w:tc>
        <w:tc>
          <w:tcPr>
            <w:tcW w:w="340" w:type="dxa"/>
            <w:vAlign w:val="bottom"/>
            <w:tcBorders>
              <w:top w:val="single" w:sz="8" w:color="CCECFF"/>
              <w:bottom w:val="single" w:sz="8" w:color="CCECFF"/>
            </w:tcBorders>
            <w:shd w:val="clear" w:color="auto" w:fill="CCECFF"/>
          </w:tcPr>
          <w:p>
            <w:pPr>
              <w:spacing w:after="0"/>
              <w:rPr>
                <w:sz w:val="12"/>
                <w:szCs w:val="12"/>
                <w:color w:val="auto"/>
              </w:rPr>
            </w:pPr>
          </w:p>
        </w:tc>
        <w:tc>
          <w:tcPr>
            <w:tcW w:w="1020" w:type="dxa"/>
            <w:vAlign w:val="bottom"/>
            <w:tcBorders>
              <w:top w:val="single" w:sz="8" w:color="auto"/>
              <w:bottom w:val="single" w:sz="8" w:color="auto"/>
            </w:tcBorders>
            <w:shd w:val="clear" w:color="auto" w:fill="CCECFF"/>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CFF"/>
              <w:bottom w:val="single" w:sz="8" w:color="CCECFF"/>
            </w:tcBorders>
            <w:shd w:val="clear" w:color="auto" w:fill="CCECFF"/>
          </w:tcPr>
          <w:p>
            <w:pPr>
              <w:spacing w:after="0"/>
              <w:rPr>
                <w:sz w:val="12"/>
                <w:szCs w:val="12"/>
                <w:color w:val="auto"/>
              </w:rPr>
            </w:pPr>
          </w:p>
        </w:tc>
        <w:tc>
          <w:tcPr>
            <w:tcW w:w="320" w:type="dxa"/>
            <w:vAlign w:val="bottom"/>
            <w:tcBorders>
              <w:top w:val="single" w:sz="8" w:color="auto"/>
              <w:bottom w:val="single" w:sz="8" w:color="auto"/>
            </w:tcBorders>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-496570</wp:posOffset>
            </wp:positionV>
            <wp:extent cx="7429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-485140</wp:posOffset>
            </wp:positionV>
            <wp:extent cx="7429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-593725</wp:posOffset>
            </wp:positionV>
            <wp:extent cx="7429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-496570</wp:posOffset>
            </wp:positionV>
            <wp:extent cx="6858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-485140</wp:posOffset>
            </wp:positionV>
            <wp:extent cx="685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-593725</wp:posOffset>
            </wp:positionV>
            <wp:extent cx="6858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-496570</wp:posOffset>
            </wp:positionV>
            <wp:extent cx="685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-485140</wp:posOffset>
            </wp:positionV>
            <wp:extent cx="685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-593725</wp:posOffset>
            </wp:positionV>
            <wp:extent cx="685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-16510</wp:posOffset>
            </wp:positionV>
            <wp:extent cx="7429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-5080</wp:posOffset>
            </wp:positionV>
            <wp:extent cx="7429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-113665</wp:posOffset>
            </wp:positionV>
            <wp:extent cx="7429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-16510</wp:posOffset>
            </wp:positionV>
            <wp:extent cx="685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-5080</wp:posOffset>
            </wp:positionV>
            <wp:extent cx="6858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-113665</wp:posOffset>
            </wp:positionV>
            <wp:extent cx="6858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-16510</wp:posOffset>
            </wp:positionV>
            <wp:extent cx="6858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-5080</wp:posOffset>
            </wp:positionV>
            <wp:extent cx="6858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-113665</wp:posOffset>
            </wp:positionV>
            <wp:extent cx="6858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left="8" w:right="400"/>
        <w:spacing w:after="0" w:line="279" w:lineRule="auto"/>
        <w:rPr>
          <w:sz w:val="20"/>
          <w:szCs w:val="20"/>
          <w:color w:val="auto"/>
        </w:rPr>
      </w:pPr>
      <w:r>
        <w:rPr>
          <w:rFonts w:ascii="Times New Roman" w:cs="Times New Roman" w:eastAsia="Times New Roman" w:hAnsi="Times New Roman"/>
          <w:sz w:val="12"/>
          <w:szCs w:val="12"/>
          <w:color w:val="auto"/>
        </w:rPr>
        <w:t>The Company expects to make cash payments of $2.9 million during the remainder of 2026 and $1.5 million during 2027 to settle these restructuring actions. Additional restructuring actions are expected to be identified, and the resulting charges and cash requirements could be material.</w:t>
      </w:r>
    </w:p>
    <w:p>
      <w:pPr>
        <w:spacing w:after="0" w:line="179" w:lineRule="exact"/>
        <w:rPr>
          <w:sz w:val="20"/>
          <w:szCs w:val="20"/>
          <w:color w:val="auto"/>
        </w:rPr>
      </w:pPr>
    </w:p>
    <w:p>
      <w:pPr>
        <w:ind w:left="8" w:right="9640" w:hanging="8"/>
        <w:spacing w:after="0" w:line="379" w:lineRule="auto"/>
        <w:tabs>
          <w:tab w:leader="none" w:pos="128"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EQUITY Special Distributions</w:t>
      </w: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On April 7, 2026, the Company’s Board of Directors approved a special cash distribution of $10.00 per share on the Company’s outstanding common stock. The distribution was paid on April 27, 2026, to stockholders of record as of April 17, 2026. The special distribution was funded primarily from proceeds received from the sale of the Company’s CCS segment.</w:t>
      </w:r>
    </w:p>
    <w:p>
      <w:pPr>
        <w:spacing w:after="0" w:line="111" w:lineRule="exact"/>
        <w:rPr>
          <w:sz w:val="20"/>
          <w:szCs w:val="20"/>
          <w:color w:val="auto"/>
        </w:rPr>
      </w:pPr>
    </w:p>
    <w:p>
      <w:pPr>
        <w:ind w:left="8" w:right="60"/>
        <w:spacing w:after="0" w:line="327" w:lineRule="auto"/>
        <w:rPr>
          <w:sz w:val="20"/>
          <w:szCs w:val="20"/>
          <w:color w:val="auto"/>
        </w:rPr>
      </w:pPr>
      <w:r>
        <w:rPr>
          <w:rFonts w:ascii="Times New Roman" w:cs="Times New Roman" w:eastAsia="Times New Roman" w:hAnsi="Times New Roman"/>
          <w:sz w:val="11"/>
          <w:szCs w:val="11"/>
          <w:color w:val="auto"/>
        </w:rPr>
        <w:t>On August 5, 2026, the Company’s Board of Directors approved an additional special cash distribution of $5.00 per share on the Company’s outstanding common stock following the completion of the sale of the Company’s RUCKUS segment. The distribution was paid on August 27, 2026, to stockholders of record as of August 17, 2026. The special distribution was funded primarily from proceeds received from the sale of the Company’s RUCKUS segment.</w:t>
      </w:r>
    </w:p>
    <w:p>
      <w:pPr>
        <w:spacing w:after="0" w:line="87" w:lineRule="exact"/>
        <w:rPr>
          <w:sz w:val="20"/>
          <w:szCs w:val="20"/>
          <w:color w:val="auto"/>
        </w:rPr>
      </w:pPr>
    </w:p>
    <w:p>
      <w:pPr>
        <w:ind w:left="8" w:right="180"/>
        <w:spacing w:after="0" w:line="265" w:lineRule="auto"/>
        <w:rPr>
          <w:sz w:val="20"/>
          <w:szCs w:val="20"/>
          <w:color w:val="auto"/>
        </w:rPr>
      </w:pPr>
      <w:r>
        <w:rPr>
          <w:rFonts w:ascii="Times New Roman" w:cs="Times New Roman" w:eastAsia="Times New Roman" w:hAnsi="Times New Roman"/>
          <w:sz w:val="12"/>
          <w:szCs w:val="12"/>
          <w:color w:val="auto"/>
        </w:rPr>
        <w:t>The Company recorded distributions totaling $1,148.1 million and $3,521.8 million as a reduction of retained earnings during the three and nine months ended September 30, 2026, respectively. The distributions included amounts attributable to outstanding common shares as well as dividend equivalents associated with unvested RSUs and PSUs that were entitled to receive the special distributions under the terms of the Company’s equity compensation plans, net of forfeitures. Dividend equivalents associated with awards that are subsequently forfeited are reversed upon forfeiture in accordance with the terms of the applicable award agreements.</w:t>
      </w:r>
    </w:p>
    <w:p>
      <w:pPr>
        <w:spacing w:after="0" w:line="119" w:lineRule="exact"/>
        <w:rPr>
          <w:sz w:val="20"/>
          <w:szCs w:val="20"/>
          <w:color w:val="auto"/>
        </w:rPr>
      </w:pPr>
    </w:p>
    <w:p>
      <w:pPr>
        <w:ind w:left="8" w:right="40"/>
        <w:spacing w:after="0" w:line="279" w:lineRule="auto"/>
        <w:rPr>
          <w:sz w:val="20"/>
          <w:szCs w:val="20"/>
          <w:color w:val="auto"/>
        </w:rPr>
      </w:pPr>
      <w:r>
        <w:rPr>
          <w:rFonts w:ascii="Times New Roman" w:cs="Times New Roman" w:eastAsia="Times New Roman" w:hAnsi="Times New Roman"/>
          <w:sz w:val="12"/>
          <w:szCs w:val="12"/>
          <w:color w:val="auto"/>
        </w:rPr>
        <w:t>During the nine months ended September 30, 2026, the Company paid cash distributions totaling $3,435.2 million in connection with the special distributions. The distributions included distributions paid on outstanding common shares and dividend equivalents paid with respect to equity awards that vested during the period in accordance with the terms of the Company’s equity compensation plans.</w:t>
      </w:r>
    </w:p>
    <w:p>
      <w:pPr>
        <w:spacing w:after="0" w:line="111" w:lineRule="exact"/>
        <w:rPr>
          <w:sz w:val="20"/>
          <w:szCs w:val="20"/>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As of September 30, 2026, $86.6 million of special dividend equivalents associated with unvested awards remained payable, of which $54.1 million and $32.5 million were classified as current and non-current, respectively, based on the expected vesting dates of the underlying awards. Such dividend equivalents are payable upon vesting of the related awards.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2"/>
          <w:szCs w:val="12"/>
          <w:b w:val="1"/>
          <w:bCs w:val="1"/>
          <w:color w:val="auto"/>
        </w:rPr>
        <w:t>Vistance Networks,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 unless otherwise noted)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Repurchase Program</w:t>
      </w:r>
    </w:p>
    <w:p>
      <w:pPr>
        <w:spacing w:after="0" w:line="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On April 29, 2026, the Company’s Board of Directors approved a new share repurchase program, replacing the previous program, authorizing, but not obligating, the repurchase of up to an aggregate of $100.0 million of the Company’s outstanding common stock. On August 26, 2026, the Board of Directors approved an additional authorization of $150.0 million under the Company’s share repurchase program, increasing the aggregate authorization to $250.0 million. Repurchases under the share repurchase program may be made at management’s discretion from time to time on the open market, in privately negotiated transactions or otherwise, in each case subject to compliance with all Securities and Exchange Commission rules and other legal requirements, and may be made in part under one or more Rule 10b5-1 and Rule 10b-18 plans, which permit stock repurchases at times when the Company might otherwise be precluded from doing so. The method, timing and amount of shares repurchased under the share repurchase program will depend on several factors, including capital and liquidity requirements, market conditions and alternative uses for cash. The share repurchase program does not have a set expiration date and may be modified, suspended or discontinued at any time.</w:t>
      </w:r>
    </w:p>
    <w:p>
      <w:pPr>
        <w:spacing w:after="0" w:line="12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During both the three and nine months ended September 30, 2026, the Company repurchased 17.7 million shares of its common stock through open market transactions for an aggregate purchase price of $156.7 million under its authorized share repurchase program. In addition, the Company paid $0.3 million of commissions and accrued $1.6 million of excise tax on such share repurchases. As of September 30, 2026, approximately $93.3 million remained available for repurchase under the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SUBSEQUENT EVENTS</w:t>
      </w:r>
    </w:p>
    <w:p>
      <w:pPr>
        <w:spacing w:after="0" w:line="82"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On October 14, 2026, the Company’s Board of Directors approved a special cash distribution of $1.50 per share on the Company’s outstanding common stock. The distribution will be paid on November 6, 2026, to stockholders of record as of October 26, 2026. The Company expects to fund the special cash distribution with available cash, including proceeds from the sale of the Company’s RUCKUS segment.</w:t>
      </w:r>
    </w:p>
    <w:p>
      <w:pPr>
        <w:spacing w:after="0" w:line="11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On November 4, 2026, the Company’s Board of Directors approved an additional authorization of $100.0 million under the Company’s share repurchase program as described above in Note 8, increasing the aggregate authorization to $350.0 million.</w:t>
      </w:r>
    </w:p>
    <w:p>
      <w:pPr>
        <w:spacing w:after="0" w:line="11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On November 5, 2026, the Company announced that Chuck Treadway will step down as President and Chief Executive Officer (“CEO”) of the Company, and as a member of the Vistance Board of Directors on February 1, 2027. The Board of Directors has launched a comprehensive search for the Company’s next CEO.</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82"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2"/>
          <w:szCs w:val="12"/>
          <w:color w:val="auto"/>
        </w:rPr>
        <w:t>The following narrative is an analysis of the three and nine months ended September 30, 2026 compared to the three and nine months ended September 30, 2025.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2025 (2025 Annual Report).</w:t>
      </w:r>
    </w:p>
    <w:p>
      <w:pPr>
        <w:spacing w:after="0" w:line="12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below for more information about these non-GAAP financial measures, including our reasons for including the measures and material limitations with respect to the usefulness of the measures.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We are a global provider of intelligent network solutions. Our solutions for wired and wireless networks enable service providers, including cable, telephone and digital broadcast satellite operators and media programmers, to deliver media, voice and Internet Protocol (IP) data services.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12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2"/>
          <w:szCs w:val="12"/>
          <w:color w:val="auto"/>
        </w:rPr>
        <w:t>Following the divestiture of the Connectivity and Cable Solutions (CCS) segment that was completed on January 9, 2026, we initiated a new restructuring plan to right-size our cost structure and align operations with our revised business scope. As a result of this transaction, the new restructuring plan and our prior transformation initiative, we incurred $2.1 million and $17.2 million of net restructuring costs and $2.3 million and $14.6 million of transaction, transformation and integration costs for the three and nine months ended September 30, 2026, respectively. We incurred $1.6 million and $13.1 million of net restructuring costs and $1.3 million and $11.3 million of transaction, transformation and integration costs during the three and nine months ended September 30, 2025, respectively. We expect to continue to incur such costs during the remainder of 2026 as we continue executing on our current transformation initiative, and the resulting charges and cash requirements could be material.</w:t>
      </w:r>
    </w:p>
    <w:p>
      <w:pPr>
        <w:spacing w:after="0" w:line="1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 xml:space="preserve">On July 1, 2026, we completed the previously announced sale of our RUCKUS segment to Belden Inc. (Belden) pursuant to the Purchase Agreement, dated as of April 29, 2026, in exchange for net cash consideration of $1.9 billion. The proceeds are net of $16.2 million of transaction expenses and $38.0 million of cash included in the assets sold. The RUCKUS segment provided wireless networks for enterprises and service providers. The RUCKUS segment met the “held for sale” criteria in the second quarter of 2026 per Accounting Standard Codification (ASC) 360-10, </w:t>
      </w:r>
      <w:r>
        <w:rPr>
          <w:rFonts w:ascii="Times New Roman" w:cs="Times New Roman" w:eastAsia="Times New Roman" w:hAnsi="Times New Roman"/>
          <w:sz w:val="12"/>
          <w:szCs w:val="12"/>
          <w:i w:val="1"/>
          <w:iCs w:val="1"/>
          <w:color w:val="auto"/>
        </w:rPr>
        <w:t>Impairment and Disposal of Long Lived Assets</w:t>
      </w:r>
      <w:r>
        <w:rPr>
          <w:rFonts w:ascii="Times New Roman" w:cs="Times New Roman" w:eastAsia="Times New Roman" w:hAnsi="Times New Roman"/>
          <w:sz w:val="12"/>
          <w:szCs w:val="12"/>
          <w:color w:val="auto"/>
        </w:rPr>
        <w:t xml:space="preserve"> (ASC 360-10), and we determined, qualitatively and quantitatively, that this transaction represented a strategic shift that would have a major effect on our operations and financial results. As such, the results of operations directly attributable to the RUCKUS segment were reclassified to discontinued operations per ASC 205-20, </w:t>
      </w:r>
      <w:r>
        <w:rPr>
          <w:rFonts w:ascii="Times New Roman" w:cs="Times New Roman" w:eastAsia="Times New Roman" w:hAnsi="Times New Roman"/>
          <w:sz w:val="12"/>
          <w:szCs w:val="12"/>
          <w:i w:val="1"/>
          <w:iCs w:val="1"/>
          <w:color w:val="auto"/>
        </w:rPr>
        <w:t>Presentation of Financial Statements—Discontinued Operations</w:t>
      </w:r>
      <w:r>
        <w:rPr>
          <w:rFonts w:ascii="Times New Roman" w:cs="Times New Roman" w:eastAsia="Times New Roman" w:hAnsi="Times New Roman"/>
          <w:sz w:val="12"/>
          <w:szCs w:val="12"/>
          <w:color w:val="auto"/>
        </w:rPr>
        <w:t xml:space="preserve"> (ASC 205-20), on the Condensed Consolidated Statements of Operations, retrospectively for all periods presented beginning in the second quarter of 2026. In addition, the assets and liabilities of the RUCKUS segment were presented separately as assets and liabilities held for sale on the Condensed Consolidated Balance Sheet as of December 31, 2025.</w:t>
      </w:r>
    </w:p>
    <w:p>
      <w:pPr>
        <w:spacing w:after="0" w:line="1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addition to the divestitures of the CCS and RUCKUS segments, we completed the divestitures of our Home Networks (Home) business, Outdoor Wireless Networks (OWN) segment and Distributed Antenna Systems (DAS) business unit during 2025 and 2024. Unless otherwise noted, the following discussions relate solely to our continuing operations. For further discussion of the divested businesses, see Note 2, Divestitures, in the Notes to Unaudited Condensed Consolidated Financial Statements included herein.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17" w:right="319" w:bottom="1440" w:gutter="0" w:footer="0" w:header="0"/>
        </w:sectPr>
      </w:pPr>
    </w:p>
    <w:bookmarkStart w:id="30" w:name="page31"/>
    <w:bookmarkEnd w:id="30"/>
    <w:p>
      <w:pPr>
        <w:spacing w:after="0" w:line="257" w:lineRule="auto"/>
        <w:rPr>
          <w:sz w:val="20"/>
          <w:szCs w:val="20"/>
          <w:color w:val="auto"/>
        </w:rPr>
      </w:pPr>
      <w:r>
        <w:rPr>
          <w:rFonts w:ascii="Times New Roman" w:cs="Times New Roman" w:eastAsia="Times New Roman" w:hAnsi="Times New Roman"/>
          <w:sz w:val="12"/>
          <w:szCs w:val="12"/>
          <w:color w:val="auto"/>
        </w:rPr>
        <w:t>Our continuing operations results include general corporate costs that were previously allocated to the divested businesses. These indirect costs, reflected on the corporate and other line item within our “Aurora and consolidated results” below, have been classified within continuing operations, because they were not directly attributable to the divested businesses. Beginning in the first quarter of 2025, the costs previously allocated to the OWN segment and DAS business unit have been reallocated to our remaining segments and partially offset by income under the Transition Service Agreement with Amphenol Corporation (Amphenol TSA). The costs previously allocated to the CCS segment have been reallocated to our remaining segments and partially offset by income under the Amphenol TSA beginning in the first quarter of 2026. Beginning in the third quarter of 2026, the costs previously allocated to the RUCKUS segment were reallocated to our remaining segment and partially offset by income under the Transition Service Agreement with Belden (Belden TSA).</w:t>
      </w:r>
    </w:p>
    <w:p>
      <w:pPr>
        <w:spacing w:after="0" w:line="1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Additionally, below we present the results of Aurora, our reportable segment, which represent substantially all of our net sales and exclude general corporate costs that were previously allocated to the divested businesses because they were not directly attributable to the divested businesses. Aurora results reflect the business results as currently managed and reported by the Company. See "Aurora and consolidated results" included below for a reconciliation of Aurora results to consolidated results.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49" w:right="319" w:bottom="1440" w:gutter="0" w:footer="0" w:header="0"/>
        </w:sectPr>
      </w:pPr>
    </w:p>
    <w:bookmarkStart w:id="31" w:name="page32"/>
    <w:bookmarkEnd w:id="31"/>
    <w:p>
      <w:pPr>
        <w:ind w:left="8"/>
        <w:spacing w:after="0"/>
        <w:rPr>
          <w:sz w:val="20"/>
          <w:szCs w:val="20"/>
          <w:color w:val="auto"/>
        </w:rPr>
      </w:pPr>
      <w:r>
        <w:rPr>
          <w:rFonts w:ascii="Times New Roman" w:cs="Times New Roman" w:eastAsia="Times New Roman" w:hAnsi="Times New Roman"/>
          <w:sz w:val="12"/>
          <w:szCs w:val="12"/>
          <w:b w:val="1"/>
          <w:bCs w:val="1"/>
          <w:color w:val="auto"/>
        </w:rPr>
        <w:t>CRITICAL ACCOUNTING POLICIES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There have been no changes in our critical accounting policies as disclosed in our 2025 Annual Report.</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COMPARISON OF RESULTS OF OPERATIONS FOR THE THREE AND NINE MONTHS ENDED SEPTEMBER 30, 2026 WITH THE THREE AND NINE MONTHS ENDED SEPTEMBER 30, 2025</w:t>
      </w:r>
    </w:p>
    <w:p>
      <w:pPr>
        <w:spacing w:after="0" w:line="72"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1720"/>
        <w:spacing w:after="0" w:line="215" w:lineRule="auto"/>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8" w:type="dxa"/>
        <w:tblCellMar>
          <w:top w:w="0" w:type="dxa"/>
          <w:left w:w="0" w:type="dxa"/>
          <w:bottom w:w="0" w:type="dxa"/>
          <w:right w:w="0" w:type="dxa"/>
        </w:tblCellMar>
      </w:tblPr>
      <w:tr>
        <w:trPr>
          <w:trHeight w:val="88"/>
        </w:trPr>
        <w:tc>
          <w:tcPr>
            <w:tcW w:w="4260" w:type="dxa"/>
            <w:vAlign w:val="bottom"/>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1180" w:type="dxa"/>
            <w:vAlign w:val="bottom"/>
            <w:tcBorders>
              <w:top w:val="single" w:sz="8" w:color="auto"/>
              <w:bottom w:val="single" w:sz="8" w:color="auto"/>
            </w:tcBorders>
            <w:gridSpan w:val="3"/>
          </w:tcPr>
          <w:p>
            <w:pPr>
              <w:jc w:val="right"/>
              <w:ind w:right="615"/>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960" w:type="dxa"/>
            <w:vAlign w:val="bottom"/>
            <w:tcBorders>
              <w:top w:val="single" w:sz="8" w:color="auto"/>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26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jc w:val="center"/>
              <w:ind w:left="235"/>
              <w:spacing w:after="0" w:line="72" w:lineRule="exact"/>
              <w:rPr>
                <w:sz w:val="20"/>
                <w:szCs w:val="20"/>
                <w:color w:val="auto"/>
              </w:rPr>
            </w:pPr>
            <w:r>
              <w:rPr>
                <w:rFonts w:ascii="Times New Roman" w:cs="Times New Roman" w:eastAsia="Times New Roman" w:hAnsi="Times New Roman"/>
                <w:sz w:val="8"/>
                <w:szCs w:val="8"/>
                <w:b w:val="1"/>
                <w:bCs w:val="1"/>
                <w:color w:val="auto"/>
              </w:rPr>
              <w:t>% of Net</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 of Net</w:t>
            </w: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ind w:left="255"/>
              <w:spacing w:after="0"/>
              <w:rPr>
                <w:sz w:val="20"/>
                <w:szCs w:val="20"/>
                <w:color w:val="auto"/>
              </w:rPr>
            </w:pPr>
            <w:r>
              <w:rPr>
                <w:rFonts w:ascii="Times New Roman" w:cs="Times New Roman" w:eastAsia="Times New Roman" w:hAnsi="Times New Roman"/>
                <w:sz w:val="10"/>
                <w:szCs w:val="10"/>
                <w:b w:val="1"/>
                <w:bCs w:val="1"/>
                <w:color w:val="auto"/>
              </w:rPr>
              <w:t>Sales</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73"/>
              </w:rPr>
              <w:t>except</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2"/>
              </w:rPr>
              <w:t>Sales</w:t>
            </w: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0" w:type="dxa"/>
            <w:vAlign w:val="bottom"/>
          </w:tcPr>
          <w:p>
            <w:pPr>
              <w:spacing w:after="0"/>
              <w:rPr>
                <w:sz w:val="1"/>
                <w:szCs w:val="1"/>
                <w:color w:val="auto"/>
              </w:rPr>
            </w:pPr>
          </w:p>
        </w:tc>
      </w:tr>
      <w:tr>
        <w:trPr>
          <w:trHeight w:val="88"/>
        </w:trPr>
        <w:tc>
          <w:tcPr>
            <w:tcW w:w="42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Borders>
              <w:top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220" w:type="dxa"/>
            <w:vAlign w:val="bottom"/>
            <w:vMerge w:val="continue"/>
          </w:tcPr>
          <w:p>
            <w:pPr>
              <w:spacing w:after="0"/>
              <w:rPr>
                <w:sz w:val="7"/>
                <w:szCs w:val="7"/>
                <w:color w:val="auto"/>
              </w:rPr>
            </w:pPr>
          </w:p>
        </w:tc>
        <w:tc>
          <w:tcPr>
            <w:tcW w:w="96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per share amounts)</w:t>
            </w: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Net sales</w:t>
            </w:r>
          </w:p>
        </w:tc>
        <w:tc>
          <w:tcPr>
            <w:tcW w:w="640" w:type="dxa"/>
            <w:vAlign w:val="bottom"/>
            <w:shd w:val="clear" w:color="auto" w:fill="CCECFF"/>
          </w:tcPr>
          <w:p>
            <w:pPr>
              <w:jc w:val="right"/>
              <w:ind w:right="52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w w:val="96"/>
              </w:rPr>
              <w:t>319.7</w:t>
            </w:r>
          </w:p>
        </w:tc>
        <w:tc>
          <w:tcPr>
            <w:tcW w:w="2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100.0%</w:t>
            </w:r>
          </w:p>
        </w:tc>
        <w:tc>
          <w:tcPr>
            <w:tcW w:w="640" w:type="dxa"/>
            <w:vAlign w:val="bottom"/>
            <w:shd w:val="clear" w:color="auto" w:fill="CCECFF"/>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w w:val="96"/>
              </w:rPr>
              <w:t>337.8</w:t>
            </w:r>
          </w:p>
        </w:tc>
        <w:tc>
          <w:tcPr>
            <w:tcW w:w="22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100.0%</w:t>
            </w:r>
          </w:p>
        </w:tc>
        <w:tc>
          <w:tcPr>
            <w:tcW w:w="18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(18.1)</w:t>
            </w:r>
          </w:p>
        </w:tc>
        <w:tc>
          <w:tcPr>
            <w:tcW w:w="11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112.4</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120.4</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(6.6)</w:t>
            </w:r>
          </w:p>
        </w:tc>
        <w:tc>
          <w:tcPr>
            <w:tcW w:w="0" w:type="dxa"/>
            <w:vAlign w:val="bottom"/>
          </w:tcPr>
          <w:p>
            <w:pPr>
              <w:spacing w:after="0"/>
              <w:rPr>
                <w:sz w:val="1"/>
                <w:szCs w:val="1"/>
                <w:color w:val="auto"/>
              </w:rPr>
            </w:pPr>
          </w:p>
        </w:tc>
      </w:tr>
      <w:tr>
        <w:trPr>
          <w:trHeight w:val="144"/>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4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2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2"/>
                <w:szCs w:val="12"/>
                <w:color w:val="auto"/>
              </w:rPr>
              <w:t>(11.5)</w:t>
            </w:r>
          </w:p>
        </w:tc>
        <w:tc>
          <w:tcPr>
            <w:tcW w:w="12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(3.4)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2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144"/>
        </w:trPr>
        <w:tc>
          <w:tcPr>
            <w:tcW w:w="42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Aurora operating income </w:t>
            </w:r>
            <w:r>
              <w:rPr>
                <w:rFonts w:ascii="Times New Roman" w:cs="Times New Roman" w:eastAsia="Times New Roman" w:hAnsi="Times New Roman"/>
                <w:sz w:val="16"/>
                <w:szCs w:val="16"/>
                <w:color w:val="auto"/>
                <w:vertAlign w:val="superscript"/>
              </w:rPr>
              <w:t>(1)</w:t>
            </w: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r>
        <w:trPr>
          <w:trHeight w:val="144"/>
        </w:trPr>
        <w:tc>
          <w:tcPr>
            <w:tcW w:w="426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Non-GAAP adjusted EBITDA </w:t>
            </w:r>
            <w:r>
              <w:rPr>
                <w:rFonts w:ascii="Times New Roman" w:cs="Times New Roman" w:eastAsia="Times New Roman" w:hAnsi="Times New Roman"/>
                <w:sz w:val="16"/>
                <w:szCs w:val="16"/>
                <w:color w:val="auto"/>
                <w:vertAlign w:val="superscript"/>
              </w:rPr>
              <w:t>(2)</w:t>
            </w:r>
          </w:p>
        </w:tc>
        <w:tc>
          <w:tcPr>
            <w:tcW w:w="64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2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2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2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2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220" w:type="dxa"/>
            <w:vAlign w:val="bottom"/>
            <w:shd w:val="clear" w:color="auto" w:fill="CCECFF"/>
          </w:tcPr>
          <w:p>
            <w:pPr>
              <w:spacing w:after="0"/>
              <w:rPr>
                <w:sz w:val="12"/>
                <w:szCs w:val="12"/>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128.2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Aurora adjusted EBITDA </w:t>
            </w:r>
            <w:r>
              <w:rPr>
                <w:rFonts w:ascii="Times New Roman" w:cs="Times New Roman" w:eastAsia="Times New Roman" w:hAnsi="Times New Roman"/>
                <w:sz w:val="16"/>
                <w:szCs w:val="16"/>
                <w:color w:val="auto"/>
                <w:vertAlign w:val="superscript"/>
              </w:rPr>
              <w:t>(1) (2)</w:t>
            </w: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Income (loss) from continuing operations</w:t>
            </w:r>
          </w:p>
        </w:tc>
        <w:tc>
          <w:tcPr>
            <w:tcW w:w="64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2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2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2"/>
                <w:szCs w:val="12"/>
                <w:color w:val="auto"/>
              </w:rPr>
              <w:t>(18.9)</w:t>
            </w:r>
          </w:p>
        </w:tc>
        <w:tc>
          <w:tcPr>
            <w:tcW w:w="12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(5.6)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73.6</w:t>
            </w:r>
          </w:p>
        </w:tc>
        <w:tc>
          <w:tcPr>
            <w:tcW w:w="2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133"/>
        </w:trPr>
        <w:tc>
          <w:tcPr>
            <w:tcW w:w="42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Diluted earnings (loss) from continuing</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operations per share</w:t>
            </w:r>
          </w:p>
        </w:tc>
        <w:tc>
          <w:tcPr>
            <w:tcW w:w="640" w:type="dxa"/>
            <w:vAlign w:val="bottom"/>
          </w:tcPr>
          <w:p>
            <w:pPr>
              <w:jc w:val="right"/>
              <w:ind w:right="52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132"/>
              <w:spacing w:after="0"/>
              <w:rPr>
                <w:sz w:val="20"/>
                <w:szCs w:val="20"/>
                <w:color w:val="auto"/>
              </w:rPr>
            </w:pPr>
            <w:r>
              <w:rPr>
                <w:rFonts w:ascii="Times New Roman" w:cs="Times New Roman" w:eastAsia="Times New Roman" w:hAnsi="Times New Roman"/>
                <w:sz w:val="12"/>
                <w:szCs w:val="12"/>
                <w:color w:val="auto"/>
              </w:rPr>
              <w:t>(0.16)</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2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227"/>
        </w:trPr>
        <w:tc>
          <w:tcPr>
            <w:tcW w:w="4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gridSpan w:val="3"/>
          </w:tcPr>
          <w:p>
            <w:pPr>
              <w:jc w:val="right"/>
              <w:ind w:right="329"/>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2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26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tcPr>
          <w:p>
            <w:pPr>
              <w:jc w:val="right"/>
              <w:ind w:right="615"/>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9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26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jc w:val="center"/>
              <w:ind w:left="235"/>
              <w:spacing w:after="0" w:line="72" w:lineRule="exact"/>
              <w:rPr>
                <w:sz w:val="20"/>
                <w:szCs w:val="20"/>
                <w:color w:val="auto"/>
              </w:rPr>
            </w:pPr>
            <w:r>
              <w:rPr>
                <w:rFonts w:ascii="Times New Roman" w:cs="Times New Roman" w:eastAsia="Times New Roman" w:hAnsi="Times New Roman"/>
                <w:sz w:val="8"/>
                <w:szCs w:val="8"/>
                <w:b w:val="1"/>
                <w:bCs w:val="1"/>
                <w:color w:val="auto"/>
              </w:rPr>
              <w:t>% of Net</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 of Net</w:t>
            </w: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ind w:left="255"/>
              <w:spacing w:after="0"/>
              <w:rPr>
                <w:sz w:val="20"/>
                <w:szCs w:val="20"/>
                <w:color w:val="auto"/>
              </w:rPr>
            </w:pPr>
            <w:r>
              <w:rPr>
                <w:rFonts w:ascii="Times New Roman" w:cs="Times New Roman" w:eastAsia="Times New Roman" w:hAnsi="Times New Roman"/>
                <w:sz w:val="10"/>
                <w:szCs w:val="10"/>
                <w:b w:val="1"/>
                <w:bCs w:val="1"/>
                <w:color w:val="auto"/>
              </w:rPr>
              <w:t>Sales</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73"/>
              </w:rPr>
              <w:t>except</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2"/>
              </w:rPr>
              <w:t>Sales</w:t>
            </w: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0" w:type="dxa"/>
            <w:vAlign w:val="bottom"/>
          </w:tcPr>
          <w:p>
            <w:pPr>
              <w:spacing w:after="0"/>
              <w:rPr>
                <w:sz w:val="1"/>
                <w:szCs w:val="1"/>
                <w:color w:val="auto"/>
              </w:rPr>
            </w:pPr>
          </w:p>
        </w:tc>
      </w:tr>
      <w:tr>
        <w:trPr>
          <w:trHeight w:val="88"/>
        </w:trPr>
        <w:tc>
          <w:tcPr>
            <w:tcW w:w="42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Borders>
              <w:top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220" w:type="dxa"/>
            <w:vAlign w:val="bottom"/>
            <w:vMerge w:val="continue"/>
          </w:tcPr>
          <w:p>
            <w:pPr>
              <w:spacing w:after="0"/>
              <w:rPr>
                <w:sz w:val="7"/>
                <w:szCs w:val="7"/>
                <w:color w:val="auto"/>
              </w:rPr>
            </w:pPr>
          </w:p>
        </w:tc>
        <w:tc>
          <w:tcPr>
            <w:tcW w:w="96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4"/>
              </w:rPr>
              <w:t>per share amounts)</w:t>
            </w: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Net sales</w:t>
            </w:r>
          </w:p>
        </w:tc>
        <w:tc>
          <w:tcPr>
            <w:tcW w:w="640" w:type="dxa"/>
            <w:vAlign w:val="bottom"/>
            <w:shd w:val="clear" w:color="auto" w:fill="CCECFF"/>
          </w:tcPr>
          <w:p>
            <w:pPr>
              <w:jc w:val="right"/>
              <w:ind w:right="52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w w:val="96"/>
              </w:rPr>
              <w:t>937.7</w:t>
            </w:r>
          </w:p>
        </w:tc>
        <w:tc>
          <w:tcPr>
            <w:tcW w:w="2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100.0%</w:t>
            </w:r>
          </w:p>
        </w:tc>
        <w:tc>
          <w:tcPr>
            <w:tcW w:w="640" w:type="dxa"/>
            <w:vAlign w:val="bottom"/>
            <w:shd w:val="clear" w:color="auto" w:fill="CCECFF"/>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w w:val="96"/>
              </w:rPr>
              <w:t>897.5</w:t>
            </w:r>
          </w:p>
        </w:tc>
        <w:tc>
          <w:tcPr>
            <w:tcW w:w="22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100.0%</w:t>
            </w:r>
          </w:p>
        </w:tc>
        <w:tc>
          <w:tcPr>
            <w:tcW w:w="18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220" w:type="dxa"/>
            <w:vAlign w:val="bottom"/>
            <w:shd w:val="clear" w:color="auto" w:fill="CCECFF"/>
          </w:tcPr>
          <w:p>
            <w:pPr>
              <w:spacing w:after="0"/>
              <w:rPr>
                <w:sz w:val="12"/>
                <w:szCs w:val="12"/>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341.5</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370.3</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w:t>
            </w:r>
          </w:p>
        </w:tc>
        <w:tc>
          <w:tcPr>
            <w:tcW w:w="0" w:type="dxa"/>
            <w:vAlign w:val="bottom"/>
          </w:tcPr>
          <w:p>
            <w:pPr>
              <w:spacing w:after="0"/>
              <w:rPr>
                <w:sz w:val="1"/>
                <w:szCs w:val="1"/>
                <w:color w:val="auto"/>
              </w:rPr>
            </w:pPr>
          </w:p>
        </w:tc>
      </w:tr>
      <w:tr>
        <w:trPr>
          <w:trHeight w:val="144"/>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4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2"/>
                <w:szCs w:val="12"/>
                <w:color w:val="auto"/>
              </w:rPr>
              <w:t>(33.5)</w:t>
            </w:r>
          </w:p>
        </w:tc>
        <w:tc>
          <w:tcPr>
            <w:tcW w:w="12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2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NM</w:t>
            </w:r>
          </w:p>
        </w:tc>
        <w:tc>
          <w:tcPr>
            <w:tcW w:w="0" w:type="dxa"/>
            <w:vAlign w:val="bottom"/>
          </w:tcPr>
          <w:p>
            <w:pPr>
              <w:spacing w:after="0"/>
              <w:rPr>
                <w:sz w:val="1"/>
                <w:szCs w:val="1"/>
                <w:color w:val="auto"/>
              </w:rPr>
            </w:pPr>
          </w:p>
        </w:tc>
      </w:tr>
      <w:tr>
        <w:trPr>
          <w:trHeight w:val="144"/>
        </w:trPr>
        <w:tc>
          <w:tcPr>
            <w:tcW w:w="42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Aurora operating income </w:t>
            </w:r>
            <w:r>
              <w:rPr>
                <w:rFonts w:ascii="Times New Roman" w:cs="Times New Roman" w:eastAsia="Times New Roman" w:hAnsi="Times New Roman"/>
                <w:sz w:val="16"/>
                <w:szCs w:val="16"/>
                <w:color w:val="auto"/>
                <w:vertAlign w:val="superscript"/>
              </w:rPr>
              <w:t>(1)</w:t>
            </w: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(38.5)</w:t>
            </w:r>
          </w:p>
        </w:tc>
        <w:tc>
          <w:tcPr>
            <w:tcW w:w="0" w:type="dxa"/>
            <w:vAlign w:val="bottom"/>
          </w:tcPr>
          <w:p>
            <w:pPr>
              <w:spacing w:after="0"/>
              <w:rPr>
                <w:sz w:val="1"/>
                <w:szCs w:val="1"/>
                <w:color w:val="auto"/>
              </w:rPr>
            </w:pPr>
          </w:p>
        </w:tc>
      </w:tr>
      <w:tr>
        <w:trPr>
          <w:trHeight w:val="144"/>
        </w:trPr>
        <w:tc>
          <w:tcPr>
            <w:tcW w:w="426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Non-GAAP adjusted EBITDA </w:t>
            </w:r>
            <w:r>
              <w:rPr>
                <w:rFonts w:ascii="Times New Roman" w:cs="Times New Roman" w:eastAsia="Times New Roman" w:hAnsi="Times New Roman"/>
                <w:sz w:val="16"/>
                <w:szCs w:val="16"/>
                <w:color w:val="auto"/>
                <w:vertAlign w:val="superscript"/>
              </w:rPr>
              <w:t>(2)</w:t>
            </w:r>
          </w:p>
        </w:tc>
        <w:tc>
          <w:tcPr>
            <w:tcW w:w="64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w w:val="96"/>
              </w:rPr>
              <w:t>133.6</w:t>
            </w:r>
          </w:p>
        </w:tc>
        <w:tc>
          <w:tcPr>
            <w:tcW w:w="2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2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2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220" w:type="dxa"/>
            <w:vAlign w:val="bottom"/>
            <w:shd w:val="clear" w:color="auto" w:fill="CCECFF"/>
          </w:tcPr>
          <w:p>
            <w:pPr>
              <w:spacing w:after="0"/>
              <w:rPr>
                <w:sz w:val="12"/>
                <w:szCs w:val="12"/>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Aurora adjusted EBITDA </w:t>
            </w:r>
            <w:r>
              <w:rPr>
                <w:rFonts w:ascii="Times New Roman" w:cs="Times New Roman" w:eastAsia="Times New Roman" w:hAnsi="Times New Roman"/>
                <w:sz w:val="16"/>
                <w:szCs w:val="16"/>
                <w:color w:val="auto"/>
                <w:vertAlign w:val="superscript"/>
              </w:rPr>
              <w:t>(1) (2)</w:t>
            </w: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152.7</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172.5</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(11.5)</w:t>
            </w:r>
          </w:p>
        </w:tc>
        <w:tc>
          <w:tcPr>
            <w:tcW w:w="0" w:type="dxa"/>
            <w:vAlign w:val="bottom"/>
          </w:tcPr>
          <w:p>
            <w:pPr>
              <w:spacing w:after="0"/>
              <w:rPr>
                <w:sz w:val="1"/>
                <w:szCs w:val="1"/>
                <w:color w:val="auto"/>
              </w:rPr>
            </w:pPr>
          </w:p>
        </w:tc>
      </w:tr>
      <w:tr>
        <w:trPr>
          <w:trHeight w:val="144"/>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Income from continuing operations</w:t>
            </w:r>
          </w:p>
        </w:tc>
        <w:tc>
          <w:tcPr>
            <w:tcW w:w="64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97.4</w:t>
            </w:r>
          </w:p>
        </w:tc>
        <w:tc>
          <w:tcPr>
            <w:tcW w:w="2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w w:val="96"/>
              </w:rPr>
              <w:t>319.5</w:t>
            </w:r>
          </w:p>
        </w:tc>
        <w:tc>
          <w:tcPr>
            <w:tcW w:w="2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2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(222.1)</w:t>
            </w:r>
          </w:p>
        </w:tc>
        <w:tc>
          <w:tcPr>
            <w:tcW w:w="11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(69.5)</w:t>
            </w:r>
          </w:p>
        </w:tc>
        <w:tc>
          <w:tcPr>
            <w:tcW w:w="0" w:type="dxa"/>
            <w:vAlign w:val="bottom"/>
          </w:tcPr>
          <w:p>
            <w:pPr>
              <w:spacing w:after="0"/>
              <w:rPr>
                <w:sz w:val="1"/>
                <w:szCs w:val="1"/>
                <w:color w:val="auto"/>
              </w:rPr>
            </w:pPr>
          </w:p>
        </w:tc>
      </w:tr>
      <w:tr>
        <w:trPr>
          <w:trHeight w:val="133"/>
        </w:trPr>
        <w:tc>
          <w:tcPr>
            <w:tcW w:w="42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Diluted earnings from continuing operations</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per share</w:t>
            </w:r>
          </w:p>
        </w:tc>
        <w:tc>
          <w:tcPr>
            <w:tcW w:w="640" w:type="dxa"/>
            <w:vAlign w:val="bottom"/>
          </w:tcPr>
          <w:p>
            <w:pPr>
              <w:jc w:val="right"/>
              <w:ind w:right="52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(0.81)</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(69.2)</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508" w:right="280" w:hanging="508"/>
        <w:spacing w:after="0" w:line="255" w:lineRule="auto"/>
        <w:tabs>
          <w:tab w:leader="none" w:pos="50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Reflects the results of Aurora, our reportable segment, which represent substantially all of our net sales and exclude general corporate costs that were previously allocated to the divested businesses because they were not directly attributable to the divested businesses. </w:t>
      </w:r>
      <w:r>
        <w:rPr>
          <w:rFonts w:ascii="Times New Roman" w:cs="Times New Roman" w:eastAsia="Times New Roman" w:hAnsi="Times New Roman"/>
          <w:sz w:val="11"/>
          <w:szCs w:val="11"/>
          <w:color w:val="auto"/>
        </w:rPr>
        <w:t>The composition of Aurora adjusted EBITDA and the adjustments reflected therein, including changes in the allocation of general corporate costs following our divestitures and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1"/>
          <w:szCs w:val="11"/>
          <w:color w:val="auto"/>
        </w:rPr>
        <w:t>related impact of transition service agreement (TSA) income, are described in Note 6, Segment and Geographic Information, in the Notes to Unaudited Condensed Consolidated Financial Statements included herein.</w:t>
      </w:r>
    </w:p>
    <w:p>
      <w:pPr>
        <w:spacing w:after="0" w:line="15" w:lineRule="exact"/>
        <w:rPr>
          <w:rFonts w:ascii="Times New Roman" w:cs="Times New Roman" w:eastAsia="Times New Roman" w:hAnsi="Times New Roman"/>
          <w:sz w:val="12"/>
          <w:szCs w:val="12"/>
          <w:color w:val="auto"/>
        </w:rPr>
      </w:pPr>
    </w:p>
    <w:p>
      <w:pPr>
        <w:ind w:left="548" w:hanging="548"/>
        <w:spacing w:after="0"/>
        <w:tabs>
          <w:tab w:leader="none" w:pos="548"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“Reconciliation of Non-GAAP Measures” in this Management’s Discussion and Analysis of Financial Condition and Results of Operations below.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5"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color w:val="auto"/>
        </w:rPr>
        <w:t>Net sales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0"/>
                <w:szCs w:val="10"/>
                <w:b w:val="1"/>
                <w:bCs w:val="1"/>
                <w:color w:val="auto"/>
                <w:w w:val="98"/>
              </w:rPr>
              <w:t>Nine Months Ended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5"/>
        </w:trPr>
        <w:tc>
          <w:tcPr>
            <w:tcW w:w="2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right"/>
              <w:ind w:right="386"/>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r>
      <w:tr>
        <w:trPr>
          <w:trHeight w:val="88"/>
        </w:trPr>
        <w:tc>
          <w:tcPr>
            <w:tcW w:w="2120" w:type="dxa"/>
            <w:vAlign w:val="bottom"/>
          </w:tcPr>
          <w:p>
            <w:pPr>
              <w:spacing w:after="0"/>
              <w:rPr>
                <w:sz w:val="7"/>
                <w:szCs w:val="7"/>
                <w:color w:val="auto"/>
              </w:rPr>
            </w:pP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303"/>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2025</w:t>
            </w:r>
          </w:p>
        </w:tc>
        <w:tc>
          <w:tcPr>
            <w:tcW w:w="2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243"/>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7"/>
                <w:szCs w:val="7"/>
                <w:color w:val="auto"/>
              </w:rPr>
            </w:pPr>
          </w:p>
        </w:tc>
        <w:tc>
          <w:tcPr>
            <w:tcW w:w="960" w:type="dxa"/>
            <w:vAlign w:val="bottom"/>
            <w:tcBorders>
              <w:bottom w:val="single" w:sz="8" w:color="auto"/>
            </w:tcBorders>
          </w:tcPr>
          <w:p>
            <w:pPr>
              <w:jc w:val="right"/>
              <w:ind w:right="286"/>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3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2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30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203"/>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7"/>
                <w:szCs w:val="7"/>
                <w:color w:val="auto"/>
              </w:rPr>
            </w:pPr>
          </w:p>
        </w:tc>
        <w:tc>
          <w:tcPr>
            <w:tcW w:w="900" w:type="dxa"/>
            <w:vAlign w:val="bottom"/>
            <w:tcBorders>
              <w:bottom w:val="single" w:sz="8" w:color="auto"/>
            </w:tcBorders>
          </w:tcPr>
          <w:p>
            <w:pPr>
              <w:jc w:val="right"/>
              <w:ind w:right="245"/>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Pr>
          <w:p>
            <w:pPr>
              <w:spacing w:after="0"/>
              <w:rPr>
                <w:sz w:val="7"/>
                <w:szCs w:val="7"/>
                <w:color w:val="auto"/>
              </w:rPr>
            </w:pPr>
          </w:p>
        </w:tc>
      </w:tr>
      <w:tr>
        <w:trPr>
          <w:trHeight w:val="88"/>
        </w:trPr>
        <w:tc>
          <w:tcPr>
            <w:tcW w:w="2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(dollars</w:t>
            </w:r>
          </w:p>
        </w:tc>
        <w:tc>
          <w:tcPr>
            <w:tcW w:w="580" w:type="dxa"/>
            <w:vAlign w:val="bottom"/>
            <w:gridSpan w:val="2"/>
          </w:tcPr>
          <w:p>
            <w:pPr>
              <w:jc w:val="right"/>
              <w:ind w:right="80"/>
              <w:spacing w:after="0" w:line="88" w:lineRule="exact"/>
              <w:rPr>
                <w:sz w:val="20"/>
                <w:szCs w:val="20"/>
                <w:color w:val="auto"/>
              </w:rPr>
            </w:pPr>
            <w:r>
              <w:rPr>
                <w:rFonts w:ascii="Times New Roman" w:cs="Times New Roman" w:eastAsia="Times New Roman" w:hAnsi="Times New Roman"/>
                <w:sz w:val="10"/>
                <w:szCs w:val="10"/>
                <w:b w:val="1"/>
                <w:bCs w:val="1"/>
                <w:color w:val="auto"/>
                <w:w w:val="99"/>
              </w:rPr>
              <w:t>in millions)</w:t>
            </w: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44"/>
        </w:trPr>
        <w:tc>
          <w:tcPr>
            <w:tcW w:w="212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Net sales</w:t>
            </w:r>
          </w:p>
        </w:tc>
        <w:tc>
          <w:tcPr>
            <w:tcW w:w="560" w:type="dxa"/>
            <w:vAlign w:val="bottom"/>
            <w:shd w:val="clear" w:color="auto" w:fill="CCECFF"/>
          </w:tcPr>
          <w:p>
            <w:pPr>
              <w:jc w:val="right"/>
              <w:ind w:right="44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319.7</w:t>
            </w:r>
          </w:p>
        </w:tc>
        <w:tc>
          <w:tcPr>
            <w:tcW w:w="5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337.8</w:t>
            </w:r>
          </w:p>
        </w:tc>
        <w:tc>
          <w:tcPr>
            <w:tcW w:w="4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(18.1)</w:t>
            </w:r>
          </w:p>
        </w:tc>
        <w:tc>
          <w:tcPr>
            <w:tcW w:w="1540" w:type="dxa"/>
            <w:vAlign w:val="bottom"/>
            <w:gridSpan w:val="3"/>
            <w:shd w:val="clear" w:color="auto" w:fill="CCECFF"/>
          </w:tcPr>
          <w:p>
            <w:pPr>
              <w:jc w:val="right"/>
              <w:ind w:right="200"/>
              <w:spacing w:after="0"/>
              <w:rPr>
                <w:sz w:val="20"/>
                <w:szCs w:val="20"/>
                <w:color w:val="auto"/>
              </w:rPr>
            </w:pPr>
            <w:r>
              <w:rPr>
                <w:rFonts w:ascii="Times New Roman" w:cs="Times New Roman" w:eastAsia="Times New Roman" w:hAnsi="Times New Roman"/>
                <w:sz w:val="12"/>
                <w:szCs w:val="12"/>
                <w:color w:val="auto"/>
              </w:rPr>
              <w:t>(5.4)%   $</w:t>
            </w:r>
          </w:p>
        </w:tc>
        <w:tc>
          <w:tcPr>
            <w:tcW w:w="64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2"/>
                <w:szCs w:val="12"/>
                <w:color w:val="auto"/>
                <w:w w:val="96"/>
              </w:rPr>
              <w:t>937.7</w:t>
            </w:r>
          </w:p>
        </w:tc>
        <w:tc>
          <w:tcPr>
            <w:tcW w:w="5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897.5</w:t>
            </w:r>
          </w:p>
        </w:tc>
        <w:tc>
          <w:tcPr>
            <w:tcW w:w="4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22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4.5%</w:t>
            </w:r>
          </w:p>
        </w:tc>
      </w:tr>
      <w:tr>
        <w:trPr>
          <w:trHeight w:val="144"/>
        </w:trPr>
        <w:tc>
          <w:tcPr>
            <w:tcW w:w="2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Domestic</w:t>
            </w:r>
          </w:p>
        </w:tc>
        <w:tc>
          <w:tcPr>
            <w:tcW w:w="5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252.9</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(21.7)</w:t>
            </w:r>
          </w:p>
        </w:tc>
        <w:tc>
          <w:tcPr>
            <w:tcW w:w="1260" w:type="dxa"/>
            <w:vAlign w:val="bottom"/>
            <w:gridSpan w:val="2"/>
          </w:tcPr>
          <w:p>
            <w:pPr>
              <w:jc w:val="right"/>
              <w:ind w:right="212"/>
              <w:spacing w:after="0"/>
              <w:rPr>
                <w:sz w:val="20"/>
                <w:szCs w:val="20"/>
                <w:color w:val="auto"/>
              </w:rPr>
            </w:pPr>
            <w:r>
              <w:rPr>
                <w:rFonts w:ascii="Times New Roman" w:cs="Times New Roman" w:eastAsia="Times New Roman" w:hAnsi="Times New Roman"/>
                <w:sz w:val="12"/>
                <w:szCs w:val="12"/>
                <w:color w:val="auto"/>
              </w:rPr>
              <w:t>(7.9)</w:t>
            </w:r>
          </w:p>
        </w:tc>
        <w:tc>
          <w:tcPr>
            <w:tcW w:w="280" w:type="dxa"/>
            <w:vAlign w:val="bottom"/>
          </w:tcPr>
          <w:p>
            <w:pPr>
              <w:spacing w:after="0"/>
              <w:rPr>
                <w:sz w:val="12"/>
                <w:szCs w:val="12"/>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2"/>
                <w:szCs w:val="12"/>
                <w:color w:val="auto"/>
                <w:w w:val="96"/>
              </w:rPr>
              <w:t>753.0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40" w:type="dxa"/>
            <w:vAlign w:val="bottom"/>
          </w:tcPr>
          <w:p>
            <w:pPr>
              <w:spacing w:after="0"/>
              <w:rPr>
                <w:sz w:val="12"/>
                <w:szCs w:val="12"/>
                <w:color w:val="auto"/>
              </w:rPr>
            </w:pPr>
          </w:p>
        </w:tc>
      </w:tr>
      <w:tr>
        <w:trPr>
          <w:trHeight w:val="144"/>
        </w:trPr>
        <w:tc>
          <w:tcPr>
            <w:tcW w:w="2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color w:val="auto"/>
              </w:rPr>
              <w:t>International</w:t>
            </w:r>
          </w:p>
        </w:tc>
        <w:tc>
          <w:tcPr>
            <w:tcW w:w="56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2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2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3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4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2"/>
                <w:szCs w:val="12"/>
                <w:color w:val="auto"/>
                <w:w w:val="96"/>
              </w:rPr>
              <w:t>184.7</w:t>
            </w:r>
          </w:p>
        </w:tc>
        <w:tc>
          <w:tcPr>
            <w:tcW w:w="2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2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(14.6)</w:t>
            </w:r>
          </w:p>
        </w:tc>
        <w:tc>
          <w:tcPr>
            <w:tcW w:w="10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(7.3)</w:t>
            </w:r>
          </w:p>
        </w:tc>
      </w:tr>
    </w:tbl>
    <w:p>
      <w:pPr>
        <w:spacing w:after="0" w:line="10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For the three and nine months ended September 30, 2026, net sales which were primarily attributable to Aurora, decreased by $18.1 million, or 5.4%, and increased $40.2 million, or 4.5%, respectively, compared to the prior year periods. For the three months ended September 30, 2026, net sales decreased compared to the prior year period primarily due to lower sales volume, unfavorable product mix and lower pricing. For the nine months ended September 30, 2026, net sales increased compared to the prior year period primarily driven by higher sales volume, partially offset by unfavorable product mix and lower pricing.</w:t>
      </w:r>
    </w:p>
    <w:p>
      <w:pPr>
        <w:spacing w:after="0" w:line="10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From a regional perspective, net sales for the three months ended September 30, 2026, decreased in the U.S. by $21.7 million, the Caribbean and Latin America (CALA) region by $6.0 million and Canada by $3.7 million, but increased in the Europe, Middle East and Africa (EMEA) region by $11.4 million and the Asia Pacific (APAC) region by $1.9 million. For the nine months ended September 30, 2026, net sales increased in the U.S. by $54.8 million, EMEA by $9.5 million and APAC by $3.5 million, but decreased in Canada by $15.1 million and CALA by $12.5 million.</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Net sales to customers located outside of the U.S. comprised 20.9% and 19.7% of total net sales for the three and nine months ended September 30, 2026, respectively, compared to 18.7% and 22.2% for the three and nine months ended September 30, 2025, respectively. Foreign exchange rate changes did not have a material impact on our net sales during the three or nine months ended September 30, 2026 compared to the prior year periods. For additional information on regional sales, see Note 6, Segment and Geographic Information, in the Notes to Unaudited Condensed Consolidated Financial Statements included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Gross profit, TSA income, SG&amp;A expense and R&amp;D expense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gridSpan w:val="3"/>
          </w:tcPr>
          <w:p>
            <w:pPr>
              <w:jc w:val="center"/>
              <w:ind w:right="186"/>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3"/>
          </w:tcPr>
          <w:p>
            <w:pPr>
              <w:jc w:val="center"/>
              <w:ind w:left="163"/>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5"/>
        </w:trPr>
        <w:tc>
          <w:tcPr>
            <w:tcW w:w="28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2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325"/>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center"/>
              <w:ind w:left="163"/>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5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0"/>
                <w:szCs w:val="10"/>
                <w:color w:val="auto"/>
              </w:rPr>
            </w:pPr>
          </w:p>
        </w:tc>
      </w:tr>
      <w:tr>
        <w:trPr>
          <w:trHeight w:val="88"/>
        </w:trPr>
        <w:tc>
          <w:tcPr>
            <w:tcW w:w="2880" w:type="dxa"/>
            <w:vAlign w:val="bottom"/>
          </w:tcPr>
          <w:p>
            <w:pPr>
              <w:spacing w:after="0"/>
              <w:rPr>
                <w:sz w:val="7"/>
                <w:szCs w:val="7"/>
                <w:color w:val="auto"/>
              </w:rPr>
            </w:pP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2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7"/>
                <w:szCs w:val="7"/>
                <w:color w:val="auto"/>
              </w:rPr>
            </w:pPr>
          </w:p>
        </w:tc>
        <w:tc>
          <w:tcPr>
            <w:tcW w:w="86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7"/>
              </w:rPr>
              <w:t>Change</w:t>
            </w:r>
          </w:p>
        </w:tc>
        <w:tc>
          <w:tcPr>
            <w:tcW w:w="2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243"/>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2026</w:t>
            </w:r>
          </w:p>
        </w:tc>
        <w:tc>
          <w:tcPr>
            <w:tcW w:w="2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241"/>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2025</w:t>
            </w: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7"/>
                <w:szCs w:val="7"/>
                <w:color w:val="auto"/>
              </w:rPr>
            </w:pPr>
          </w:p>
        </w:tc>
        <w:tc>
          <w:tcPr>
            <w:tcW w:w="86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7"/>
              </w:rPr>
              <w:t>Change</w:t>
            </w:r>
          </w:p>
        </w:tc>
        <w:tc>
          <w:tcPr>
            <w:tcW w:w="160" w:type="dxa"/>
            <w:vAlign w:val="bottom"/>
          </w:tcPr>
          <w:p>
            <w:pPr>
              <w:spacing w:after="0"/>
              <w:rPr>
                <w:sz w:val="7"/>
                <w:szCs w:val="7"/>
                <w:color w:val="auto"/>
              </w:rPr>
            </w:pPr>
          </w:p>
        </w:tc>
      </w:tr>
      <w:tr>
        <w:trPr>
          <w:trHeight w:val="88"/>
        </w:trPr>
        <w:tc>
          <w:tcPr>
            <w:tcW w:w="2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ind w:left="560"/>
              <w:spacing w:after="0" w:line="88" w:lineRule="exact"/>
              <w:rPr>
                <w:sz w:val="20"/>
                <w:szCs w:val="20"/>
                <w:color w:val="auto"/>
              </w:rPr>
            </w:pPr>
            <w:r>
              <w:rPr>
                <w:rFonts w:ascii="Times New Roman" w:cs="Times New Roman" w:eastAsia="Times New Roman" w:hAnsi="Times New Roman"/>
                <w:sz w:val="10"/>
                <w:szCs w:val="10"/>
                <w:b w:val="1"/>
                <w:bCs w:val="1"/>
                <w:color w:val="auto"/>
                <w:w w:val="85"/>
              </w:rPr>
              <w:t>(dollars</w:t>
            </w:r>
          </w:p>
        </w:tc>
        <w:tc>
          <w:tcPr>
            <w:tcW w:w="540" w:type="dxa"/>
            <w:vAlign w:val="bottom"/>
            <w:gridSpan w:val="2"/>
          </w:tcPr>
          <w:p>
            <w:pPr>
              <w:jc w:val="right"/>
              <w:ind w:right="40"/>
              <w:spacing w:after="0" w:line="88" w:lineRule="exact"/>
              <w:rPr>
                <w:sz w:val="20"/>
                <w:szCs w:val="20"/>
                <w:color w:val="auto"/>
              </w:rPr>
            </w:pPr>
            <w:r>
              <w:rPr>
                <w:rFonts w:ascii="Times New Roman" w:cs="Times New Roman" w:eastAsia="Times New Roman" w:hAnsi="Times New Roman"/>
                <w:sz w:val="10"/>
                <w:szCs w:val="10"/>
                <w:b w:val="1"/>
                <w:bCs w:val="1"/>
                <w:color w:val="auto"/>
                <w:w w:val="99"/>
              </w:rPr>
              <w:t>in millions)</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144"/>
        </w:trPr>
        <w:tc>
          <w:tcPr>
            <w:tcW w:w="28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500" w:type="dxa"/>
            <w:vAlign w:val="bottom"/>
            <w:shd w:val="clear" w:color="auto" w:fill="CCECFF"/>
          </w:tcPr>
          <w:p>
            <w:pPr>
              <w:jc w:val="right"/>
              <w:ind w:right="38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112.4</w:t>
            </w:r>
          </w:p>
        </w:tc>
        <w:tc>
          <w:tcPr>
            <w:tcW w:w="26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406"/>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w w:val="96"/>
              </w:rPr>
              <w:t>120.4</w:t>
            </w:r>
          </w:p>
        </w:tc>
        <w:tc>
          <w:tcPr>
            <w:tcW w:w="260" w:type="dxa"/>
            <w:vAlign w:val="bottom"/>
            <w:shd w:val="clear" w:color="auto" w:fill="CCECFF"/>
          </w:tcPr>
          <w:p>
            <w:pPr>
              <w:spacing w:after="0"/>
              <w:rPr>
                <w:sz w:val="12"/>
                <w:szCs w:val="12"/>
                <w:color w:val="auto"/>
              </w:rPr>
            </w:pPr>
          </w:p>
        </w:tc>
        <w:tc>
          <w:tcPr>
            <w:tcW w:w="140" w:type="dxa"/>
            <w:vAlign w:val="bottom"/>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(8.0)</w:t>
            </w:r>
          </w:p>
        </w:tc>
        <w:tc>
          <w:tcPr>
            <w:tcW w:w="1400" w:type="dxa"/>
            <w:vAlign w:val="bottom"/>
            <w:gridSpan w:val="3"/>
            <w:shd w:val="clear" w:color="auto" w:fill="CCECFF"/>
          </w:tcPr>
          <w:p>
            <w:pPr>
              <w:jc w:val="right"/>
              <w:ind w:right="220"/>
              <w:spacing w:after="0"/>
              <w:rPr>
                <w:sz w:val="20"/>
                <w:szCs w:val="20"/>
                <w:color w:val="auto"/>
              </w:rPr>
            </w:pPr>
            <w:r>
              <w:rPr>
                <w:rFonts w:ascii="Times New Roman" w:cs="Times New Roman" w:eastAsia="Times New Roman" w:hAnsi="Times New Roman"/>
                <w:sz w:val="12"/>
                <w:szCs w:val="12"/>
                <w:color w:val="auto"/>
              </w:rPr>
              <w:t>(6.6)%  $</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341.5</w:t>
            </w:r>
          </w:p>
        </w:tc>
        <w:tc>
          <w:tcPr>
            <w:tcW w:w="260" w:type="dxa"/>
            <w:vAlign w:val="bottom"/>
            <w:shd w:val="clear" w:color="auto" w:fill="CCECFF"/>
          </w:tcPr>
          <w:p>
            <w:pPr>
              <w:spacing w:after="0"/>
              <w:rPr>
                <w:sz w:val="12"/>
                <w:szCs w:val="12"/>
                <w:color w:val="auto"/>
              </w:rPr>
            </w:pPr>
          </w:p>
        </w:tc>
        <w:tc>
          <w:tcPr>
            <w:tcW w:w="300" w:type="dxa"/>
            <w:vAlign w:val="bottom"/>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370.3</w:t>
            </w:r>
          </w:p>
        </w:tc>
        <w:tc>
          <w:tcPr>
            <w:tcW w:w="260" w:type="dxa"/>
            <w:vAlign w:val="bottom"/>
            <w:shd w:val="clear" w:color="auto" w:fill="CCECFF"/>
          </w:tcPr>
          <w:p>
            <w:pPr>
              <w:spacing w:after="0"/>
              <w:rPr>
                <w:sz w:val="12"/>
                <w:szCs w:val="12"/>
                <w:color w:val="auto"/>
              </w:rPr>
            </w:pPr>
          </w:p>
        </w:tc>
        <w:tc>
          <w:tcPr>
            <w:tcW w:w="140" w:type="dxa"/>
            <w:vAlign w:val="bottom"/>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(28.8)</w:t>
            </w: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28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As a percent of sales</w:t>
            </w:r>
          </w:p>
        </w:tc>
        <w:tc>
          <w:tcPr>
            <w:tcW w:w="50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35.2%</w:t>
            </w:r>
          </w:p>
        </w:tc>
        <w:tc>
          <w:tcPr>
            <w:tcW w:w="54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35.6%</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36.4%</w:t>
            </w:r>
          </w:p>
        </w:tc>
        <w:tc>
          <w:tcPr>
            <w:tcW w:w="30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41.3%</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8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TSA income</w:t>
            </w:r>
          </w:p>
        </w:tc>
        <w:tc>
          <w:tcPr>
            <w:tcW w:w="500" w:type="dxa"/>
            <w:vAlign w:val="bottom"/>
            <w:shd w:val="clear" w:color="auto" w:fill="CCECFF"/>
          </w:tcPr>
          <w:p>
            <w:pPr>
              <w:spacing w:after="0"/>
              <w:rPr>
                <w:sz w:val="12"/>
                <w:szCs w:val="12"/>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2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(1.0)</w:t>
            </w:r>
          </w:p>
        </w:tc>
        <w:tc>
          <w:tcPr>
            <w:tcW w:w="1120" w:type="dxa"/>
            <w:vAlign w:val="bottom"/>
            <w:gridSpan w:val="2"/>
            <w:shd w:val="clear" w:color="auto" w:fill="CCECFF"/>
          </w:tcPr>
          <w:p>
            <w:pPr>
              <w:jc w:val="right"/>
              <w:ind w:right="172"/>
              <w:spacing w:after="0"/>
              <w:rPr>
                <w:sz w:val="20"/>
                <w:szCs w:val="20"/>
                <w:color w:val="auto"/>
              </w:rPr>
            </w:pPr>
            <w:r>
              <w:rPr>
                <w:rFonts w:ascii="Times New Roman" w:cs="Times New Roman" w:eastAsia="Times New Roman" w:hAnsi="Times New Roman"/>
                <w:sz w:val="12"/>
                <w:szCs w:val="12"/>
                <w:color w:val="auto"/>
              </w:rPr>
              <w:t>(11.6)</w:t>
            </w:r>
          </w:p>
        </w:tc>
        <w:tc>
          <w:tcPr>
            <w:tcW w:w="2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2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2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(18.4)</w:t>
            </w:r>
          </w:p>
        </w:tc>
        <w:tc>
          <w:tcPr>
            <w:tcW w:w="10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(66.7)</w:t>
            </w:r>
          </w:p>
        </w:tc>
      </w:tr>
      <w:tr>
        <w:trPr>
          <w:trHeight w:val="144"/>
        </w:trPr>
        <w:tc>
          <w:tcPr>
            <w:tcW w:w="28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As a percent of sales</w:t>
            </w:r>
          </w:p>
        </w:tc>
        <w:tc>
          <w:tcPr>
            <w:tcW w:w="50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2.4%</w:t>
            </w:r>
          </w:p>
        </w:tc>
        <w:tc>
          <w:tcPr>
            <w:tcW w:w="54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w:t>
            </w:r>
          </w:p>
        </w:tc>
        <w:tc>
          <w:tcPr>
            <w:tcW w:w="30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8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SG&amp;A expense</w:t>
            </w:r>
          </w:p>
        </w:tc>
        <w:tc>
          <w:tcPr>
            <w:tcW w:w="500" w:type="dxa"/>
            <w:vAlign w:val="bottom"/>
            <w:shd w:val="clear" w:color="auto" w:fill="CCECFF"/>
          </w:tcPr>
          <w:p>
            <w:pPr>
              <w:spacing w:after="0"/>
              <w:rPr>
                <w:sz w:val="12"/>
                <w:szCs w:val="12"/>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2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74.8</w:t>
            </w:r>
          </w:p>
        </w:tc>
        <w:tc>
          <w:tcPr>
            <w:tcW w:w="2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(26.2)</w:t>
            </w:r>
          </w:p>
        </w:tc>
        <w:tc>
          <w:tcPr>
            <w:tcW w:w="1120" w:type="dxa"/>
            <w:vAlign w:val="bottom"/>
            <w:gridSpan w:val="2"/>
            <w:shd w:val="clear" w:color="auto" w:fill="CCECFF"/>
          </w:tcPr>
          <w:p>
            <w:pPr>
              <w:jc w:val="right"/>
              <w:ind w:right="172"/>
              <w:spacing w:after="0"/>
              <w:rPr>
                <w:sz w:val="20"/>
                <w:szCs w:val="20"/>
                <w:color w:val="auto"/>
              </w:rPr>
            </w:pPr>
            <w:r>
              <w:rPr>
                <w:rFonts w:ascii="Times New Roman" w:cs="Times New Roman" w:eastAsia="Times New Roman" w:hAnsi="Times New Roman"/>
                <w:sz w:val="12"/>
                <w:szCs w:val="12"/>
                <w:color w:val="auto"/>
              </w:rPr>
              <w:t>(35.0)</w:t>
            </w:r>
          </w:p>
        </w:tc>
        <w:tc>
          <w:tcPr>
            <w:tcW w:w="2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168.3</w:t>
            </w:r>
          </w:p>
        </w:tc>
        <w:tc>
          <w:tcPr>
            <w:tcW w:w="2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222.0</w:t>
            </w:r>
          </w:p>
        </w:tc>
        <w:tc>
          <w:tcPr>
            <w:tcW w:w="2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(53.7)</w:t>
            </w:r>
          </w:p>
        </w:tc>
        <w:tc>
          <w:tcPr>
            <w:tcW w:w="10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(24.2)</w:t>
            </w:r>
          </w:p>
        </w:tc>
      </w:tr>
      <w:tr>
        <w:trPr>
          <w:trHeight w:val="144"/>
        </w:trPr>
        <w:tc>
          <w:tcPr>
            <w:tcW w:w="28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As a percent of sales</w:t>
            </w:r>
          </w:p>
        </w:tc>
        <w:tc>
          <w:tcPr>
            <w:tcW w:w="50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15.2%</w:t>
            </w:r>
          </w:p>
        </w:tc>
        <w:tc>
          <w:tcPr>
            <w:tcW w:w="54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17.9%</w:t>
            </w:r>
          </w:p>
        </w:tc>
        <w:tc>
          <w:tcPr>
            <w:tcW w:w="30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24.7%</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8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R&amp;D expense</w:t>
            </w:r>
          </w:p>
        </w:tc>
        <w:tc>
          <w:tcPr>
            <w:tcW w:w="500" w:type="dxa"/>
            <w:vAlign w:val="bottom"/>
            <w:shd w:val="clear" w:color="auto" w:fill="CCECFF"/>
          </w:tcPr>
          <w:p>
            <w:pPr>
              <w:spacing w:after="0"/>
              <w:rPr>
                <w:sz w:val="12"/>
                <w:szCs w:val="12"/>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2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42.6</w:t>
            </w:r>
          </w:p>
        </w:tc>
        <w:tc>
          <w:tcPr>
            <w:tcW w:w="2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(15.2)</w:t>
            </w:r>
          </w:p>
        </w:tc>
        <w:tc>
          <w:tcPr>
            <w:tcW w:w="1120" w:type="dxa"/>
            <w:vAlign w:val="bottom"/>
            <w:gridSpan w:val="2"/>
            <w:shd w:val="clear" w:color="auto" w:fill="CCECFF"/>
          </w:tcPr>
          <w:p>
            <w:pPr>
              <w:jc w:val="right"/>
              <w:ind w:right="172"/>
              <w:spacing w:after="0"/>
              <w:rPr>
                <w:sz w:val="20"/>
                <w:szCs w:val="20"/>
                <w:color w:val="auto"/>
              </w:rPr>
            </w:pPr>
            <w:r>
              <w:rPr>
                <w:rFonts w:ascii="Times New Roman" w:cs="Times New Roman" w:eastAsia="Times New Roman" w:hAnsi="Times New Roman"/>
                <w:sz w:val="12"/>
                <w:szCs w:val="12"/>
                <w:color w:val="auto"/>
              </w:rPr>
              <w:t>(35.7)</w:t>
            </w:r>
          </w:p>
        </w:tc>
        <w:tc>
          <w:tcPr>
            <w:tcW w:w="2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91.1</w:t>
            </w:r>
          </w:p>
        </w:tc>
        <w:tc>
          <w:tcPr>
            <w:tcW w:w="2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124.7</w:t>
            </w:r>
          </w:p>
        </w:tc>
        <w:tc>
          <w:tcPr>
            <w:tcW w:w="2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(33.6)</w:t>
            </w:r>
          </w:p>
        </w:tc>
        <w:tc>
          <w:tcPr>
            <w:tcW w:w="10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(26.9)</w:t>
            </w:r>
          </w:p>
        </w:tc>
      </w:tr>
      <w:tr>
        <w:trPr>
          <w:trHeight w:val="155"/>
        </w:trPr>
        <w:tc>
          <w:tcPr>
            <w:tcW w:w="28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As a percent of sales</w:t>
            </w:r>
          </w:p>
        </w:tc>
        <w:tc>
          <w:tcPr>
            <w:tcW w:w="5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8.6%</w:t>
            </w:r>
          </w:p>
        </w:tc>
        <w:tc>
          <w:tcPr>
            <w:tcW w:w="54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12.6%</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9.7%</w:t>
            </w:r>
          </w:p>
        </w:tc>
        <w:tc>
          <w:tcPr>
            <w:tcW w:w="3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13.9%</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Gross profit (net sales less cost of sales)</w:t>
      </w:r>
    </w:p>
    <w:p>
      <w:pPr>
        <w:spacing w:after="0" w:line="8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Gross profit decreased by $8.0 million and $28.8 million for the three and nine months ended September 30, 2026, respectively, compared to the prior year periods. For the three months ended September 30, 2026, the decrease was primarily due to lower sales volume, unfavorable product mix and lower pricing, partially offset by lower input costs. For the nine months ended September 30, 2026, the decrease was primarily driven by unfavorable product mix and lower pricing, partially offset by lower input costs and higher sales volume.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i w:val="1"/>
          <w:iCs w:val="1"/>
          <w:color w:val="auto"/>
        </w:rPr>
        <w:t>Transition service agreement income</w:t>
      </w:r>
    </w:p>
    <w:p>
      <w:pPr>
        <w:spacing w:after="0" w:line="8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TSA income relates to agreements we entered into with Belden and Amphenol in connection with the divestitures of the RUCKUS segment, CCS segment, OWN segment and DAS business unit. Under the TSAs, we provide and receive certain post-closing support on a transitional basis. The TSAs have varying terms for duration, depending on the services provided thereunder, and provide for options to extend. For additional information related to the TSAs, see Note 2, Divestitures, in the Notes to Unaudited Condensed Consolidated Financial Statements included herein.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Selling, general and administrative expense</w:t>
      </w:r>
    </w:p>
    <w:p>
      <w:pPr>
        <w:spacing w:after="0" w:line="8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(SG&amp;A) expense decreased by $26.2 million and $53.7 million for the three and nine months ended September 30, 2026, respectively, compared to the prior year periods. For the three and nine months ended September 30, 2026, the decrease was primarily due to decreased variable incentive compensation expense of $12.2 million and $20.3 million, respectively, and decreased legal expense of $7.1 million and $18.7 million, respectively, partially offset by higher transaction costs of $1.1 million and $3.3 million,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w:t>
      </w:r>
    </w:p>
    <w:p>
      <w:pPr>
        <w:spacing w:after="0" w:line="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Research and development (R&amp;D) expense for the three and nine months ended September 30, 2026 decreased by $15.2 million and $33.6 million, respectively, primarily due to lower variable incentive compensation, compared to the prior year periods. R&amp;D activities generally involve ensuring that our products are capable of meeting the evolving technological needs of our customers, bringing new products to market and modifying existing products to better serve our customers.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917" w:right="339" w:bottom="1440" w:gutter="0" w:footer="0" w:header="0"/>
        </w:sectPr>
      </w:pPr>
    </w:p>
    <w:bookmarkStart w:id="34" w:name="page35"/>
    <w:bookmarkEnd w:id="34"/>
    <w:p>
      <w:pPr>
        <w:ind w:left="8"/>
        <w:spacing w:after="0"/>
        <w:rPr>
          <w:sz w:val="20"/>
          <w:szCs w:val="20"/>
          <w:color w:val="auto"/>
        </w:rPr>
      </w:pPr>
      <w:r>
        <w:rPr>
          <w:rFonts w:ascii="Times New Roman" w:cs="Times New Roman" w:eastAsia="Times New Roman" w:hAnsi="Times New Roman"/>
          <w:sz w:val="12"/>
          <w:szCs w:val="12"/>
          <w:b w:val="1"/>
          <w:bCs w:val="1"/>
          <w:color w:val="auto"/>
        </w:rPr>
        <w:t>Aurora and consolidated results</w:t>
      </w:r>
    </w:p>
    <w:p>
      <w:pPr>
        <w:spacing w:after="0" w:line="117"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1300"/>
        <w:spacing w:after="0" w:line="215" w:lineRule="auto"/>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8" w:type="dxa"/>
        <w:tblCellMar>
          <w:top w:w="0" w:type="dxa"/>
          <w:left w:w="0" w:type="dxa"/>
          <w:bottom w:w="0" w:type="dxa"/>
          <w:right w:w="0" w:type="dxa"/>
        </w:tblCellMar>
      </w:tblPr>
      <w:tr>
        <w:trPr>
          <w:trHeight w:val="88"/>
        </w:trPr>
        <w:tc>
          <w:tcPr>
            <w:tcW w:w="4080" w:type="dxa"/>
            <w:vAlign w:val="bottom"/>
          </w:tcPr>
          <w:p>
            <w:pPr>
              <w:spacing w:after="0"/>
              <w:rPr>
                <w:sz w:val="7"/>
                <w:szCs w:val="7"/>
                <w:color w:val="auto"/>
              </w:rPr>
            </w:pPr>
          </w:p>
        </w:tc>
        <w:tc>
          <w:tcPr>
            <w:tcW w:w="600" w:type="dxa"/>
            <w:vAlign w:val="bottom"/>
            <w:tcBorders>
              <w:top w:val="single" w:sz="8" w:color="auto"/>
              <w:bottom w:val="single" w:sz="8" w:color="auto"/>
            </w:tcBorders>
          </w:tcPr>
          <w:p>
            <w:pPr>
              <w:spacing w:after="0"/>
              <w:rPr>
                <w:sz w:val="7"/>
                <w:szCs w:val="7"/>
                <w:color w:val="auto"/>
              </w:rPr>
            </w:pPr>
          </w:p>
        </w:tc>
        <w:tc>
          <w:tcPr>
            <w:tcW w:w="1120" w:type="dxa"/>
            <w:vAlign w:val="bottom"/>
            <w:tcBorders>
              <w:top w:val="single" w:sz="8" w:color="auto"/>
              <w:bottom w:val="single" w:sz="8" w:color="auto"/>
            </w:tcBorders>
            <w:gridSpan w:val="3"/>
          </w:tcPr>
          <w:p>
            <w:pPr>
              <w:jc w:val="right"/>
              <w:ind w:right="575"/>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1200" w:type="dxa"/>
            <w:vAlign w:val="bottom"/>
            <w:tcBorders>
              <w:top w:val="single" w:sz="8" w:color="auto"/>
              <w:bottom w:val="single" w:sz="8" w:color="auto"/>
            </w:tcBorders>
            <w:gridSpan w:val="3"/>
          </w:tcPr>
          <w:p>
            <w:pPr>
              <w:ind w:left="740"/>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660" w:type="dxa"/>
            <w:vAlign w:val="bottom"/>
            <w:tcBorders>
              <w:top w:val="single" w:sz="8" w:color="auto"/>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vMerge w:val="restart"/>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08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jc w:val="center"/>
              <w:ind w:left="215"/>
              <w:spacing w:after="0" w:line="72" w:lineRule="exact"/>
              <w:rPr>
                <w:sz w:val="20"/>
                <w:szCs w:val="20"/>
                <w:color w:val="auto"/>
              </w:rPr>
            </w:pPr>
            <w:r>
              <w:rPr>
                <w:rFonts w:ascii="Times New Roman" w:cs="Times New Roman" w:eastAsia="Times New Roman" w:hAnsi="Times New Roman"/>
                <w:sz w:val="8"/>
                <w:szCs w:val="8"/>
                <w:b w:val="1"/>
                <w:bCs w:val="1"/>
                <w:color w:val="auto"/>
              </w:rPr>
              <w:t>% of Net</w:t>
            </w: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vMerge w:val="restart"/>
          </w:tcPr>
          <w:p>
            <w:pPr>
              <w:spacing w:after="0"/>
              <w:rPr>
                <w:sz w:val="6"/>
                <w:szCs w:val="6"/>
                <w:color w:val="auto"/>
              </w:rPr>
            </w:pPr>
          </w:p>
        </w:tc>
        <w:tc>
          <w:tcPr>
            <w:tcW w:w="260" w:type="dxa"/>
            <w:vAlign w:val="bottom"/>
            <w:vMerge w:val="restart"/>
          </w:tcPr>
          <w:p>
            <w:pPr>
              <w:spacing w:after="0"/>
              <w:rPr>
                <w:sz w:val="6"/>
                <w:szCs w:val="6"/>
                <w:color w:val="auto"/>
              </w:rPr>
            </w:pPr>
          </w:p>
        </w:tc>
        <w:tc>
          <w:tcPr>
            <w:tcW w:w="660" w:type="dxa"/>
            <w:vAlign w:val="bottom"/>
          </w:tcPr>
          <w:p>
            <w:pPr>
              <w:jc w:val="right"/>
              <w:ind w:right="223"/>
              <w:spacing w:after="0" w:line="72" w:lineRule="exact"/>
              <w:rPr>
                <w:sz w:val="20"/>
                <w:szCs w:val="20"/>
                <w:color w:val="auto"/>
              </w:rPr>
            </w:pPr>
            <w:r>
              <w:rPr>
                <w:rFonts w:ascii="Times New Roman" w:cs="Times New Roman" w:eastAsia="Times New Roman" w:hAnsi="Times New Roman"/>
                <w:sz w:val="8"/>
                <w:szCs w:val="8"/>
                <w:b w:val="1"/>
                <w:bCs w:val="1"/>
                <w:color w:val="auto"/>
              </w:rPr>
              <w:t>% of Net</w:t>
            </w: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vMerge w:val="restart"/>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080" w:type="dxa"/>
            <w:vAlign w:val="bottom"/>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0"/>
                <w:szCs w:val="10"/>
                <w:b w:val="1"/>
                <w:bCs w:val="1"/>
                <w:color w:val="auto"/>
              </w:rPr>
              <w:t>Sales</w:t>
            </w:r>
          </w:p>
        </w:tc>
        <w:tc>
          <w:tcPr>
            <w:tcW w:w="3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Sales</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9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(dollars</w:t>
            </w:r>
          </w:p>
        </w:tc>
        <w:tc>
          <w:tcPr>
            <w:tcW w:w="48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w w:val="91"/>
              </w:rPr>
              <w:t>in millions)</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Net sales:</w:t>
            </w:r>
          </w:p>
        </w:tc>
        <w:tc>
          <w:tcPr>
            <w:tcW w:w="6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Aurora </w:t>
            </w:r>
            <w:r>
              <w:rPr>
                <w:rFonts w:ascii="Times New Roman" w:cs="Times New Roman" w:eastAsia="Times New Roman" w:hAnsi="Times New Roman"/>
                <w:sz w:val="16"/>
                <w:szCs w:val="16"/>
                <w:color w:val="auto"/>
                <w:vertAlign w:val="superscript"/>
              </w:rPr>
              <w:t>(1)</w:t>
            </w:r>
          </w:p>
        </w:tc>
        <w:tc>
          <w:tcPr>
            <w:tcW w:w="600" w:type="dxa"/>
            <w:vAlign w:val="bottom"/>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319.8</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100.0</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60" w:type="dxa"/>
            <w:vAlign w:val="bottom"/>
          </w:tcPr>
          <w:p>
            <w:pPr>
              <w:spacing w:after="0"/>
              <w:rPr>
                <w:sz w:val="12"/>
                <w:szCs w:val="12"/>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Corporate and other </w:t>
            </w:r>
            <w:r>
              <w:rPr>
                <w:rFonts w:ascii="Times New Roman" w:cs="Times New Roman" w:eastAsia="Times New Roman" w:hAnsi="Times New Roman"/>
                <w:sz w:val="16"/>
                <w:szCs w:val="16"/>
                <w:color w:val="auto"/>
                <w:vertAlign w:val="superscript"/>
              </w:rPr>
              <w:t>(2)</w:t>
            </w:r>
          </w:p>
        </w:tc>
        <w:tc>
          <w:tcPr>
            <w:tcW w:w="60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4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0" w:type="dxa"/>
            <w:vAlign w:val="bottom"/>
            <w:gridSpan w:val="3"/>
            <w:shd w:val="clear" w:color="auto" w:fill="CCEC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NM</w:t>
            </w: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NM</w:t>
            </w: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C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620" w:type="dxa"/>
            <w:vAlign w:val="bottom"/>
            <w:shd w:val="clear" w:color="auto" w:fill="CCECFF"/>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660" w:type="dxa"/>
            <w:vAlign w:val="bottom"/>
            <w:shd w:val="clear" w:color="auto" w:fill="CCECFF"/>
          </w:tcPr>
          <w:p>
            <w:pPr>
              <w:spacing w:after="0" w:line="20" w:lineRule="exact"/>
              <w:rPr>
                <w:sz w:val="1"/>
                <w:szCs w:val="1"/>
                <w:color w:val="auto"/>
              </w:rPr>
            </w:pPr>
          </w:p>
        </w:tc>
        <w:tc>
          <w:tcPr>
            <w:tcW w:w="60" w:type="dxa"/>
            <w:vAlign w:val="bottom"/>
            <w:shd w:val="clear" w:color="auto" w:fill="CCECFF"/>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40" w:type="dxa"/>
            <w:vAlign w:val="bottom"/>
            <w:shd w:val="clear" w:color="auto" w:fill="CCECFF"/>
          </w:tcPr>
          <w:p>
            <w:pPr>
              <w:spacing w:after="0" w:line="20" w:lineRule="exact"/>
              <w:rPr>
                <w:sz w:val="1"/>
                <w:szCs w:val="1"/>
                <w:color w:val="auto"/>
              </w:rPr>
            </w:pPr>
          </w:p>
        </w:tc>
        <w:tc>
          <w:tcPr>
            <w:tcW w:w="60" w:type="dxa"/>
            <w:vAlign w:val="bottom"/>
            <w:shd w:val="clear" w:color="auto" w:fill="CCECFF"/>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Consolidated net sales</w:t>
            </w:r>
          </w:p>
        </w:tc>
        <w:tc>
          <w:tcPr>
            <w:tcW w:w="600" w:type="dxa"/>
            <w:vAlign w:val="bottom"/>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319.7</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100.0</w:t>
            </w:r>
          </w:p>
        </w:tc>
        <w:tc>
          <w:tcPr>
            <w:tcW w:w="42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337.8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tcPr>
          <w:p>
            <w:pPr>
              <w:spacing w:after="0"/>
              <w:rPr>
                <w:sz w:val="12"/>
                <w:szCs w:val="12"/>
                <w:color w:val="auto"/>
              </w:rPr>
            </w:pPr>
          </w:p>
        </w:tc>
        <w:tc>
          <w:tcPr>
            <w:tcW w:w="36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(18.1)</w:t>
            </w:r>
          </w:p>
        </w:tc>
        <w:tc>
          <w:tcPr>
            <w:tcW w:w="10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(5.4)</w:t>
            </w:r>
          </w:p>
        </w:tc>
        <w:tc>
          <w:tcPr>
            <w:tcW w:w="34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auto"/>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Aurora </w:t>
            </w:r>
            <w:r>
              <w:rPr>
                <w:rFonts w:ascii="Times New Roman" w:cs="Times New Roman" w:eastAsia="Times New Roman" w:hAnsi="Times New Roman"/>
                <w:sz w:val="16"/>
                <w:szCs w:val="16"/>
                <w:color w:val="auto"/>
                <w:vertAlign w:val="superscript"/>
              </w:rPr>
              <w:t>(1)</w:t>
            </w:r>
          </w:p>
        </w:tc>
        <w:tc>
          <w:tcPr>
            <w:tcW w:w="600" w:type="dxa"/>
            <w:vAlign w:val="bottom"/>
            <w:shd w:val="clear" w:color="auto" w:fill="CCECFF"/>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420" w:type="dxa"/>
            <w:vAlign w:val="bottom"/>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2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60" w:type="dxa"/>
            <w:vAlign w:val="bottom"/>
            <w:shd w:val="clear" w:color="auto" w:fill="CCECFF"/>
          </w:tcPr>
          <w:p>
            <w:pPr>
              <w:spacing w:after="0"/>
              <w:rPr>
                <w:sz w:val="12"/>
                <w:szCs w:val="12"/>
                <w:color w:val="auto"/>
              </w:rPr>
            </w:pPr>
          </w:p>
        </w:tc>
        <w:tc>
          <w:tcPr>
            <w:tcW w:w="360" w:type="dxa"/>
            <w:vAlign w:val="bottom"/>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(2.5)</w:t>
            </w: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(9.8)</w:t>
            </w:r>
          </w:p>
        </w:tc>
        <w:tc>
          <w:tcPr>
            <w:tcW w:w="34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080" w:type="dxa"/>
            <w:vAlign w:val="bottom"/>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Corporate and other </w:t>
            </w:r>
            <w:r>
              <w:rPr>
                <w:rFonts w:ascii="Times New Roman" w:cs="Times New Roman" w:eastAsia="Times New Roman" w:hAnsi="Times New Roman"/>
                <w:sz w:val="16"/>
                <w:szCs w:val="16"/>
                <w:color w:val="auto"/>
                <w:vertAlign w:val="superscript"/>
              </w:rPr>
              <w:t>(3)</w:t>
            </w:r>
          </w:p>
        </w:tc>
        <w:tc>
          <w:tcPr>
            <w:tcW w:w="60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32"/>
              <w:spacing w:after="0"/>
              <w:rPr>
                <w:sz w:val="20"/>
                <w:szCs w:val="20"/>
                <w:color w:val="auto"/>
              </w:rPr>
            </w:pPr>
            <w:r>
              <w:rPr>
                <w:rFonts w:ascii="Times New Roman" w:cs="Times New Roman" w:eastAsia="Times New Roman" w:hAnsi="Times New Roman"/>
                <w:sz w:val="12"/>
                <w:szCs w:val="12"/>
                <w:color w:val="auto"/>
              </w:rPr>
              <w:t>(37.0)</w:t>
            </w:r>
          </w:p>
        </w:tc>
        <w:tc>
          <w:tcPr>
            <w:tcW w:w="2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NM</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22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(99.7)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8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Consolidated operating income (loss)</w:t>
            </w:r>
          </w:p>
        </w:tc>
        <w:tc>
          <w:tcPr>
            <w:tcW w:w="600" w:type="dxa"/>
            <w:vAlign w:val="bottom"/>
            <w:shd w:val="clear" w:color="auto" w:fill="CCECFF"/>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22.9</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w:t>
            </w:r>
          </w:p>
        </w:tc>
        <w:tc>
          <w:tcPr>
            <w:tcW w:w="420" w:type="dxa"/>
            <w:vAlign w:val="bottom"/>
            <w:shd w:val="clear" w:color="auto" w:fill="CCEC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CFF"/>
          </w:tcPr>
          <w:p>
            <w:pPr>
              <w:jc w:val="right"/>
              <w:ind w:right="132"/>
              <w:spacing w:after="0" w:line="133" w:lineRule="exact"/>
              <w:rPr>
                <w:sz w:val="20"/>
                <w:szCs w:val="20"/>
                <w:color w:val="auto"/>
              </w:rPr>
            </w:pPr>
            <w:r>
              <w:rPr>
                <w:rFonts w:ascii="Times New Roman" w:cs="Times New Roman" w:eastAsia="Times New Roman" w:hAnsi="Times New Roman"/>
                <w:sz w:val="12"/>
                <w:szCs w:val="12"/>
                <w:color w:val="auto"/>
              </w:rPr>
              <w:t>(11.5)</w:t>
            </w:r>
          </w:p>
        </w:tc>
        <w:tc>
          <w:tcPr>
            <w:tcW w:w="26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(3.4)</w:t>
            </w:r>
          </w:p>
        </w:tc>
        <w:tc>
          <w:tcPr>
            <w:tcW w:w="360" w:type="dxa"/>
            <w:vAlign w:val="bottom"/>
            <w:shd w:val="clear" w:color="auto" w:fill="CCEC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34.4</w:t>
            </w:r>
          </w:p>
        </w:tc>
        <w:tc>
          <w:tcPr>
            <w:tcW w:w="2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NM</w:t>
            </w: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Borders>
              <w:top w:val="single" w:sz="8" w:color="CCEC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CCECFF"/>
            </w:tcBorders>
          </w:tcPr>
          <w:p>
            <w:pPr>
              <w:spacing w:after="0"/>
              <w:rPr>
                <w:sz w:val="12"/>
                <w:szCs w:val="12"/>
                <w:color w:val="auto"/>
              </w:rPr>
            </w:pPr>
          </w:p>
        </w:tc>
        <w:tc>
          <w:tcPr>
            <w:tcW w:w="620" w:type="dxa"/>
            <w:vAlign w:val="bottom"/>
            <w:tcBorders>
              <w:top w:val="single" w:sz="8" w:color="CCECFF"/>
            </w:tcBorders>
          </w:tcPr>
          <w:p>
            <w:pPr>
              <w:spacing w:after="0"/>
              <w:rPr>
                <w:sz w:val="12"/>
                <w:szCs w:val="12"/>
                <w:color w:val="auto"/>
              </w:rPr>
            </w:pPr>
          </w:p>
        </w:tc>
        <w:tc>
          <w:tcPr>
            <w:tcW w:w="300" w:type="dxa"/>
            <w:vAlign w:val="bottom"/>
            <w:tcBorders>
              <w:top w:val="single" w:sz="8" w:color="CCECFF"/>
            </w:tcBorders>
          </w:tcPr>
          <w:p>
            <w:pPr>
              <w:spacing w:after="0"/>
              <w:rPr>
                <w:sz w:val="12"/>
                <w:szCs w:val="12"/>
                <w:color w:val="auto"/>
              </w:rPr>
            </w:pPr>
          </w:p>
        </w:tc>
        <w:tc>
          <w:tcPr>
            <w:tcW w:w="420" w:type="dxa"/>
            <w:vAlign w:val="bottom"/>
            <w:tcBorders>
              <w:top w:val="single" w:sz="8" w:color="CCEC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CECFF"/>
            </w:tcBorders>
          </w:tcPr>
          <w:p>
            <w:pPr>
              <w:spacing w:after="0"/>
              <w:rPr>
                <w:sz w:val="12"/>
                <w:szCs w:val="12"/>
                <w:color w:val="auto"/>
              </w:rPr>
            </w:pPr>
          </w:p>
        </w:tc>
        <w:tc>
          <w:tcPr>
            <w:tcW w:w="260" w:type="dxa"/>
            <w:vAlign w:val="bottom"/>
            <w:tcBorders>
              <w:top w:val="single" w:sz="8" w:color="CCECFF"/>
            </w:tcBorders>
          </w:tcPr>
          <w:p>
            <w:pPr>
              <w:spacing w:after="0"/>
              <w:rPr>
                <w:sz w:val="12"/>
                <w:szCs w:val="12"/>
                <w:color w:val="auto"/>
              </w:rPr>
            </w:pPr>
          </w:p>
        </w:tc>
        <w:tc>
          <w:tcPr>
            <w:tcW w:w="660" w:type="dxa"/>
            <w:vAlign w:val="bottom"/>
            <w:tcBorders>
              <w:top w:val="single" w:sz="8" w:color="CCECFF"/>
            </w:tcBorders>
          </w:tcPr>
          <w:p>
            <w:pPr>
              <w:spacing w:after="0"/>
              <w:rPr>
                <w:sz w:val="12"/>
                <w:szCs w:val="12"/>
                <w:color w:val="auto"/>
              </w:rPr>
            </w:pPr>
          </w:p>
        </w:tc>
        <w:tc>
          <w:tcPr>
            <w:tcW w:w="60" w:type="dxa"/>
            <w:vAlign w:val="bottom"/>
            <w:tcBorders>
              <w:top w:val="single" w:sz="8" w:color="CCECFF"/>
            </w:tcBorders>
          </w:tcPr>
          <w:p>
            <w:pPr>
              <w:spacing w:after="0"/>
              <w:rPr>
                <w:sz w:val="12"/>
                <w:szCs w:val="12"/>
                <w:color w:val="auto"/>
              </w:rPr>
            </w:pPr>
          </w:p>
        </w:tc>
        <w:tc>
          <w:tcPr>
            <w:tcW w:w="360" w:type="dxa"/>
            <w:vAlign w:val="bottom"/>
            <w:tcBorders>
              <w:top w:val="single" w:sz="8" w:color="CCEC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CFF"/>
            </w:tcBorders>
          </w:tcPr>
          <w:p>
            <w:pPr>
              <w:spacing w:after="0"/>
              <w:rPr>
                <w:sz w:val="12"/>
                <w:szCs w:val="12"/>
                <w:color w:val="auto"/>
              </w:rPr>
            </w:pPr>
          </w:p>
        </w:tc>
        <w:tc>
          <w:tcPr>
            <w:tcW w:w="940" w:type="dxa"/>
            <w:vAlign w:val="bottom"/>
            <w:tcBorders>
              <w:top w:val="single" w:sz="8" w:color="CCECFF"/>
            </w:tcBorders>
          </w:tcPr>
          <w:p>
            <w:pPr>
              <w:spacing w:after="0"/>
              <w:rPr>
                <w:sz w:val="12"/>
                <w:szCs w:val="12"/>
                <w:color w:val="auto"/>
              </w:rPr>
            </w:pPr>
          </w:p>
        </w:tc>
        <w:tc>
          <w:tcPr>
            <w:tcW w:w="60" w:type="dxa"/>
            <w:vAlign w:val="bottom"/>
            <w:tcBorders>
              <w:top w:val="single" w:sz="8" w:color="CCECFF"/>
            </w:tcBorders>
          </w:tcPr>
          <w:p>
            <w:pPr>
              <w:spacing w:after="0"/>
              <w:rPr>
                <w:sz w:val="12"/>
                <w:szCs w:val="12"/>
                <w:color w:val="auto"/>
              </w:rPr>
            </w:pPr>
          </w:p>
        </w:tc>
        <w:tc>
          <w:tcPr>
            <w:tcW w:w="340" w:type="dxa"/>
            <w:vAlign w:val="bottom"/>
            <w:tcBorders>
              <w:top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6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Aurora </w:t>
            </w:r>
            <w:r>
              <w:rPr>
                <w:rFonts w:ascii="Times New Roman" w:cs="Times New Roman" w:eastAsia="Times New Roman" w:hAnsi="Times New Roman"/>
                <w:sz w:val="16"/>
                <w:szCs w:val="16"/>
                <w:color w:val="auto"/>
                <w:vertAlign w:val="superscript"/>
              </w:rPr>
              <w:t>(1) (4)</w:t>
            </w:r>
          </w:p>
        </w:tc>
        <w:tc>
          <w:tcPr>
            <w:tcW w:w="600" w:type="dxa"/>
            <w:vAlign w:val="bottom"/>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60" w:type="dxa"/>
            <w:vAlign w:val="bottom"/>
          </w:tcPr>
          <w:p>
            <w:pPr>
              <w:spacing w:after="0"/>
              <w:rPr>
                <w:sz w:val="12"/>
                <w:szCs w:val="12"/>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tcPr>
          <w:p>
            <w:pPr>
              <w:spacing w:after="0"/>
              <w:rPr>
                <w:sz w:val="12"/>
                <w:szCs w:val="12"/>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Corporate and other </w:t>
            </w:r>
            <w:r>
              <w:rPr>
                <w:rFonts w:ascii="Times New Roman" w:cs="Times New Roman" w:eastAsia="Times New Roman" w:hAnsi="Times New Roman"/>
                <w:sz w:val="16"/>
                <w:szCs w:val="16"/>
                <w:color w:val="auto"/>
                <w:vertAlign w:val="superscript"/>
              </w:rPr>
              <w:t>(3)</w:t>
            </w:r>
          </w:p>
        </w:tc>
        <w:tc>
          <w:tcPr>
            <w:tcW w:w="60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(0.2)</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4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2"/>
                <w:szCs w:val="12"/>
                <w:color w:val="auto"/>
              </w:rPr>
              <w:t>(29.3)</w:t>
            </w:r>
          </w:p>
        </w:tc>
        <w:tc>
          <w:tcPr>
            <w:tcW w:w="26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NM</w:t>
            </w: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29.1</w:t>
            </w:r>
          </w:p>
        </w:tc>
        <w:tc>
          <w:tcPr>
            <w:tcW w:w="2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(99.3)</w:t>
            </w: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080" w:type="dxa"/>
            <w:vAlign w:val="bottom"/>
            <w:tcBorders>
              <w:top w:val="single" w:sz="8" w:color="CCECFF"/>
            </w:tcBorders>
          </w:tcPr>
          <w:p>
            <w:pPr>
              <w:spacing w:after="0" w:line="107" w:lineRule="exact"/>
              <w:rPr>
                <w:sz w:val="20"/>
                <w:szCs w:val="20"/>
                <w:color w:val="auto"/>
              </w:rPr>
            </w:pPr>
            <w:r>
              <w:rPr>
                <w:rFonts w:ascii="Times New Roman" w:cs="Times New Roman" w:eastAsia="Times New Roman" w:hAnsi="Times New Roman"/>
                <w:sz w:val="12"/>
                <w:szCs w:val="12"/>
                <w:color w:val="auto"/>
              </w:rPr>
              <w:t>Non-GAAP consolidated adjusted</w:t>
            </w:r>
          </w:p>
        </w:tc>
        <w:tc>
          <w:tcPr>
            <w:tcW w:w="600" w:type="dxa"/>
            <w:vAlign w:val="bottom"/>
            <w:tcBorders>
              <w:top w:val="single" w:sz="8" w:color="auto"/>
            </w:tcBorders>
            <w:vMerge w:val="restart"/>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220" w:type="dxa"/>
            <w:vAlign w:val="bottom"/>
            <w:tcBorders>
              <w:top w:val="single" w:sz="8" w:color="CCECFF"/>
            </w:tcBorders>
          </w:tcPr>
          <w:p>
            <w:pPr>
              <w:spacing w:after="0"/>
              <w:rPr>
                <w:sz w:val="9"/>
                <w:szCs w:val="9"/>
                <w:color w:val="auto"/>
              </w:rPr>
            </w:pPr>
          </w:p>
        </w:tc>
        <w:tc>
          <w:tcPr>
            <w:tcW w:w="620" w:type="dxa"/>
            <w:vAlign w:val="bottom"/>
            <w:tcBorders>
              <w:top w:val="single" w:sz="8" w:color="CCECFF"/>
            </w:tcBorders>
          </w:tcPr>
          <w:p>
            <w:pPr>
              <w:spacing w:after="0"/>
              <w:rPr>
                <w:sz w:val="9"/>
                <w:szCs w:val="9"/>
                <w:color w:val="auto"/>
              </w:rPr>
            </w:pPr>
          </w:p>
        </w:tc>
        <w:tc>
          <w:tcPr>
            <w:tcW w:w="300" w:type="dxa"/>
            <w:vAlign w:val="bottom"/>
            <w:tcBorders>
              <w:top w:val="single" w:sz="8" w:color="CCECFF"/>
            </w:tcBorders>
          </w:tcPr>
          <w:p>
            <w:pPr>
              <w:spacing w:after="0"/>
              <w:rPr>
                <w:sz w:val="9"/>
                <w:szCs w:val="9"/>
                <w:color w:val="auto"/>
              </w:rPr>
            </w:pPr>
          </w:p>
        </w:tc>
        <w:tc>
          <w:tcPr>
            <w:tcW w:w="420" w:type="dxa"/>
            <w:vAlign w:val="bottom"/>
            <w:tcBorders>
              <w:top w:val="single" w:sz="8" w:color="CCECFF"/>
            </w:tcBorders>
          </w:tcPr>
          <w:p>
            <w:pPr>
              <w:spacing w:after="0"/>
              <w:rPr>
                <w:sz w:val="9"/>
                <w:szCs w:val="9"/>
                <w:color w:val="auto"/>
              </w:rPr>
            </w:pPr>
          </w:p>
        </w:tc>
        <w:tc>
          <w:tcPr>
            <w:tcW w:w="1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220" w:type="dxa"/>
            <w:vAlign w:val="bottom"/>
            <w:tcBorders>
              <w:top w:val="single" w:sz="8" w:color="CCECFF"/>
            </w:tcBorders>
          </w:tcPr>
          <w:p>
            <w:pPr>
              <w:spacing w:after="0"/>
              <w:rPr>
                <w:sz w:val="9"/>
                <w:szCs w:val="9"/>
                <w:color w:val="auto"/>
              </w:rPr>
            </w:pPr>
          </w:p>
        </w:tc>
        <w:tc>
          <w:tcPr>
            <w:tcW w:w="260" w:type="dxa"/>
            <w:vAlign w:val="bottom"/>
            <w:tcBorders>
              <w:top w:val="single" w:sz="8" w:color="CCECFF"/>
            </w:tcBorders>
          </w:tcPr>
          <w:p>
            <w:pPr>
              <w:spacing w:after="0"/>
              <w:rPr>
                <w:sz w:val="9"/>
                <w:szCs w:val="9"/>
                <w:color w:val="auto"/>
              </w:rPr>
            </w:pPr>
          </w:p>
        </w:tc>
        <w:tc>
          <w:tcPr>
            <w:tcW w:w="660" w:type="dxa"/>
            <w:vAlign w:val="bottom"/>
            <w:tcBorders>
              <w:top w:val="single" w:sz="8" w:color="CCECFF"/>
            </w:tcBorders>
          </w:tcPr>
          <w:p>
            <w:pPr>
              <w:spacing w:after="0"/>
              <w:rPr>
                <w:sz w:val="9"/>
                <w:szCs w:val="9"/>
                <w:color w:val="auto"/>
              </w:rPr>
            </w:pPr>
          </w:p>
        </w:tc>
        <w:tc>
          <w:tcPr>
            <w:tcW w:w="60" w:type="dxa"/>
            <w:vAlign w:val="bottom"/>
            <w:tcBorders>
              <w:top w:val="single" w:sz="8" w:color="CCECFF"/>
            </w:tcBorders>
          </w:tcPr>
          <w:p>
            <w:pPr>
              <w:spacing w:after="0"/>
              <w:rPr>
                <w:sz w:val="9"/>
                <w:szCs w:val="9"/>
                <w:color w:val="auto"/>
              </w:rPr>
            </w:pPr>
          </w:p>
        </w:tc>
        <w:tc>
          <w:tcPr>
            <w:tcW w:w="360" w:type="dxa"/>
            <w:vAlign w:val="bottom"/>
            <w:tcBorders>
              <w:top w:val="single" w:sz="8" w:color="CCECFF"/>
            </w:tcBorders>
          </w:tcPr>
          <w:p>
            <w:pPr>
              <w:spacing w:after="0"/>
              <w:rPr>
                <w:sz w:val="9"/>
                <w:szCs w:val="9"/>
                <w:color w:val="auto"/>
              </w:rPr>
            </w:pPr>
          </w:p>
        </w:tc>
        <w:tc>
          <w:tcPr>
            <w:tcW w:w="14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220" w:type="dxa"/>
            <w:vAlign w:val="bottom"/>
            <w:tcBorders>
              <w:top w:val="single" w:sz="8" w:color="CCECFF"/>
            </w:tcBorders>
          </w:tcPr>
          <w:p>
            <w:pPr>
              <w:spacing w:after="0"/>
              <w:rPr>
                <w:sz w:val="9"/>
                <w:szCs w:val="9"/>
                <w:color w:val="auto"/>
              </w:rPr>
            </w:pPr>
          </w:p>
        </w:tc>
        <w:tc>
          <w:tcPr>
            <w:tcW w:w="940" w:type="dxa"/>
            <w:vAlign w:val="bottom"/>
            <w:tcBorders>
              <w:top w:val="single" w:sz="8" w:color="CCECFF"/>
            </w:tcBorders>
          </w:tcPr>
          <w:p>
            <w:pPr>
              <w:spacing w:after="0"/>
              <w:rPr>
                <w:sz w:val="9"/>
                <w:szCs w:val="9"/>
                <w:color w:val="auto"/>
              </w:rPr>
            </w:pPr>
          </w:p>
        </w:tc>
        <w:tc>
          <w:tcPr>
            <w:tcW w:w="60" w:type="dxa"/>
            <w:vAlign w:val="bottom"/>
            <w:tcBorders>
              <w:top w:val="single" w:sz="8" w:color="CCECFF"/>
            </w:tcBorders>
          </w:tcPr>
          <w:p>
            <w:pPr>
              <w:spacing w:after="0"/>
              <w:rPr>
                <w:sz w:val="9"/>
                <w:szCs w:val="9"/>
                <w:color w:val="auto"/>
              </w:rPr>
            </w:pPr>
          </w:p>
        </w:tc>
        <w:tc>
          <w:tcPr>
            <w:tcW w:w="340" w:type="dxa"/>
            <w:vAlign w:val="bottom"/>
            <w:tcBorders>
              <w:top w:val="single" w:sz="8" w:color="CCECFF"/>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80" w:type="dxa"/>
            <w:vAlign w:val="bottom"/>
          </w:tcPr>
          <w:p>
            <w:pPr>
              <w:ind w:left="140"/>
              <w:spacing w:after="0" w:line="143" w:lineRule="exact"/>
              <w:rPr>
                <w:sz w:val="20"/>
                <w:szCs w:val="20"/>
                <w:color w:val="auto"/>
              </w:rPr>
            </w:pPr>
            <w:r>
              <w:rPr>
                <w:rFonts w:ascii="Times New Roman" w:cs="Times New Roman" w:eastAsia="Times New Roman" w:hAnsi="Times New Roman"/>
                <w:sz w:val="12"/>
                <w:szCs w:val="12"/>
                <w:color w:val="auto"/>
              </w:rPr>
              <w:t xml:space="preserve">EBITDA </w:t>
            </w:r>
            <w:r>
              <w:rPr>
                <w:rFonts w:ascii="Times New Roman" w:cs="Times New Roman" w:eastAsia="Times New Roman" w:hAnsi="Times New Roman"/>
                <w:sz w:val="16"/>
                <w:szCs w:val="16"/>
                <w:color w:val="auto"/>
                <w:vertAlign w:val="superscript"/>
              </w:rPr>
              <w:t>(4)</w:t>
            </w:r>
          </w:p>
        </w:tc>
        <w:tc>
          <w:tcPr>
            <w:tcW w:w="6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60" w:type="dxa"/>
            <w:vAlign w:val="bottom"/>
          </w:tcPr>
          <w:p>
            <w:pPr>
              <w:spacing w:after="0"/>
              <w:rPr>
                <w:sz w:val="13"/>
                <w:szCs w:val="13"/>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128.2</w:t>
            </w:r>
          </w:p>
        </w:tc>
        <w:tc>
          <w:tcPr>
            <w:tcW w:w="60" w:type="dxa"/>
            <w:vAlign w:val="bottom"/>
          </w:tcPr>
          <w:p>
            <w:pPr>
              <w:spacing w:after="0"/>
              <w:rPr>
                <w:sz w:val="13"/>
                <w:szCs w:val="13"/>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-1148080</wp:posOffset>
            </wp:positionV>
            <wp:extent cx="685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-1148080</wp:posOffset>
            </wp:positionV>
            <wp:extent cx="6858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-1148080</wp:posOffset>
            </wp:positionV>
            <wp:extent cx="6858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-570865</wp:posOffset>
            </wp:positionV>
            <wp:extent cx="685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-559435</wp:posOffset>
            </wp:positionV>
            <wp:extent cx="685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-570865</wp:posOffset>
            </wp:positionV>
            <wp:extent cx="6858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-559435</wp:posOffset>
            </wp:positionV>
            <wp:extent cx="685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-570865</wp:posOffset>
            </wp:positionV>
            <wp:extent cx="685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-559435</wp:posOffset>
            </wp:positionV>
            <wp:extent cx="685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-187960</wp:posOffset>
            </wp:positionV>
            <wp:extent cx="685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-187960</wp:posOffset>
            </wp:positionV>
            <wp:extent cx="685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-187960</wp:posOffset>
            </wp:positionV>
            <wp:extent cx="685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NM – Not meaningful</w:t>
      </w:r>
    </w:p>
    <w:p>
      <w:pPr>
        <w:spacing w:after="0" w:line="74" w:lineRule="exact"/>
        <w:rPr>
          <w:sz w:val="20"/>
          <w:szCs w:val="20"/>
          <w:color w:val="auto"/>
        </w:rPr>
      </w:pPr>
    </w:p>
    <w:p>
      <w:pPr>
        <w:ind w:left="508" w:right="420" w:hanging="508"/>
        <w:spacing w:after="0" w:line="296" w:lineRule="auto"/>
        <w:tabs>
          <w:tab w:leader="none" w:pos="508"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results of Aurora, our reportable segment, which represent substantially all of our net sales and exclude general corporate costs that were previously allocated to the divested businesses because they were not directly attributable to the divested businesses.</w:t>
      </w:r>
    </w:p>
    <w:p>
      <w:pPr>
        <w:spacing w:after="0" w:line="29" w:lineRule="exact"/>
        <w:rPr>
          <w:rFonts w:ascii="Times New Roman" w:cs="Times New Roman" w:eastAsia="Times New Roman" w:hAnsi="Times New Roman"/>
          <w:sz w:val="11"/>
          <w:szCs w:val="11"/>
          <w:color w:val="auto"/>
        </w:rPr>
      </w:pPr>
    </w:p>
    <w:p>
      <w:pPr>
        <w:ind w:left="508" w:right="180" w:hanging="508"/>
        <w:spacing w:after="0" w:line="290" w:lineRule="auto"/>
        <w:tabs>
          <w:tab w:leader="none" w:pos="508"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certain revenues reflected within continuing operations related to products associated with businesses affected by prior divestiture transactions. Such amounts continue to be reported within continuing operations based on the terms of the underlying transactions.</w:t>
      </w:r>
    </w:p>
    <w:p>
      <w:pPr>
        <w:ind w:left="508" w:right="20" w:hanging="508"/>
        <w:spacing w:after="0" w:line="276" w:lineRule="auto"/>
        <w:tabs>
          <w:tab w:leader="none" w:pos="508"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reflects general corporate costs that were previously allocated to the divested RUCKUS and CCS segments. These indirect expenses have been classified as continuing operations because they were not directly attributable to the divested segments. The costs previously allocated to the CCS segment were reallocated to our remaining segments and partially offset by income under the Amphenol TSA beginning in the first quarter of 2026. Beginning in the third quarter of 2026, the costs previously allocated to the RUCKUS segment were reallocated to our remaining segment and partially offset by income under the Belden TSA.</w:t>
      </w:r>
    </w:p>
    <w:p>
      <w:pPr>
        <w:spacing w:after="0" w:line="4" w:lineRule="exact"/>
        <w:rPr>
          <w:rFonts w:ascii="Times New Roman" w:cs="Times New Roman" w:eastAsia="Times New Roman" w:hAnsi="Times New Roman"/>
          <w:sz w:val="11"/>
          <w:szCs w:val="11"/>
          <w:color w:val="auto"/>
        </w:rPr>
      </w:pPr>
    </w:p>
    <w:p>
      <w:pPr>
        <w:ind w:left="508" w:hanging="508"/>
        <w:spacing w:after="0"/>
        <w:tabs>
          <w:tab w:leader="none" w:pos="508"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“Reconciliation of Non-GAAP Measures” within this Management’s Discussion and Analysis of Financial Condition and Results of Operations.</w:t>
      </w:r>
    </w:p>
    <w:p>
      <w:pPr>
        <w:spacing w:after="0" w:line="3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17" w:right="299" w:bottom="1440" w:gutter="0" w:footer="0" w:header="0"/>
        </w:sectPr>
      </w:pPr>
    </w:p>
    <w:bookmarkStart w:id="35" w:name="page36"/>
    <w:bookmarkEnd w:id="35"/>
    <w:p>
      <w:pPr>
        <w:jc w:val="center"/>
        <w:ind w:left="1300"/>
        <w:spacing w:after="0"/>
        <w:rPr>
          <w:sz w:val="20"/>
          <w:szCs w:val="20"/>
          <w:color w:val="auto"/>
        </w:rPr>
      </w:pPr>
      <w:r>
        <w:rPr>
          <w:rFonts w:ascii="Times New Roman" w:cs="Times New Roman" w:eastAsia="Times New Roman" w:hAnsi="Times New Roman"/>
          <w:sz w:val="10"/>
          <w:szCs w:val="10"/>
          <w:b w:val="1"/>
          <w:bCs w:val="1"/>
          <w:color w:val="auto"/>
        </w:rPr>
        <w:t>Nine Months Ended</w:t>
      </w:r>
    </w:p>
    <w:p>
      <w:pPr>
        <w:jc w:val="center"/>
        <w:ind w:left="1300"/>
        <w:spacing w:after="0" w:line="215" w:lineRule="auto"/>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8" w:type="dxa"/>
        <w:tblCellMar>
          <w:top w:w="0" w:type="dxa"/>
          <w:left w:w="0" w:type="dxa"/>
          <w:bottom w:w="0" w:type="dxa"/>
          <w:right w:w="0" w:type="dxa"/>
        </w:tblCellMar>
      </w:tblPr>
      <w:tr>
        <w:trPr>
          <w:trHeight w:val="88"/>
        </w:trPr>
        <w:tc>
          <w:tcPr>
            <w:tcW w:w="4080" w:type="dxa"/>
            <w:vAlign w:val="bottom"/>
          </w:tcPr>
          <w:p>
            <w:pPr>
              <w:spacing w:after="0"/>
              <w:rPr>
                <w:sz w:val="7"/>
                <w:szCs w:val="7"/>
                <w:color w:val="auto"/>
              </w:rPr>
            </w:pPr>
          </w:p>
        </w:tc>
        <w:tc>
          <w:tcPr>
            <w:tcW w:w="600" w:type="dxa"/>
            <w:vAlign w:val="bottom"/>
            <w:tcBorders>
              <w:top w:val="single" w:sz="8" w:color="auto"/>
              <w:bottom w:val="single" w:sz="8" w:color="auto"/>
            </w:tcBorders>
          </w:tcPr>
          <w:p>
            <w:pPr>
              <w:spacing w:after="0"/>
              <w:rPr>
                <w:sz w:val="7"/>
                <w:szCs w:val="7"/>
                <w:color w:val="auto"/>
              </w:rPr>
            </w:pPr>
          </w:p>
        </w:tc>
        <w:tc>
          <w:tcPr>
            <w:tcW w:w="1120" w:type="dxa"/>
            <w:vAlign w:val="bottom"/>
            <w:tcBorders>
              <w:top w:val="single" w:sz="8" w:color="auto"/>
              <w:bottom w:val="single" w:sz="8" w:color="auto"/>
            </w:tcBorders>
            <w:gridSpan w:val="3"/>
          </w:tcPr>
          <w:p>
            <w:pPr>
              <w:jc w:val="right"/>
              <w:ind w:right="575"/>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1200" w:type="dxa"/>
            <w:vAlign w:val="bottom"/>
            <w:tcBorders>
              <w:top w:val="single" w:sz="8" w:color="auto"/>
              <w:bottom w:val="single" w:sz="8" w:color="auto"/>
            </w:tcBorders>
            <w:gridSpan w:val="3"/>
          </w:tcPr>
          <w:p>
            <w:pPr>
              <w:ind w:left="740"/>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660" w:type="dxa"/>
            <w:vAlign w:val="bottom"/>
            <w:tcBorders>
              <w:top w:val="single" w:sz="8" w:color="auto"/>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vMerge w:val="restart"/>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08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jc w:val="center"/>
              <w:ind w:left="215"/>
              <w:spacing w:after="0" w:line="72" w:lineRule="exact"/>
              <w:rPr>
                <w:sz w:val="20"/>
                <w:szCs w:val="20"/>
                <w:color w:val="auto"/>
              </w:rPr>
            </w:pPr>
            <w:r>
              <w:rPr>
                <w:rFonts w:ascii="Times New Roman" w:cs="Times New Roman" w:eastAsia="Times New Roman" w:hAnsi="Times New Roman"/>
                <w:sz w:val="8"/>
                <w:szCs w:val="8"/>
                <w:b w:val="1"/>
                <w:bCs w:val="1"/>
                <w:color w:val="auto"/>
              </w:rPr>
              <w:t>% of Net</w:t>
            </w: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vMerge w:val="restart"/>
          </w:tcPr>
          <w:p>
            <w:pPr>
              <w:spacing w:after="0"/>
              <w:rPr>
                <w:sz w:val="6"/>
                <w:szCs w:val="6"/>
                <w:color w:val="auto"/>
              </w:rPr>
            </w:pPr>
          </w:p>
        </w:tc>
        <w:tc>
          <w:tcPr>
            <w:tcW w:w="260" w:type="dxa"/>
            <w:vAlign w:val="bottom"/>
            <w:vMerge w:val="restart"/>
          </w:tcPr>
          <w:p>
            <w:pPr>
              <w:spacing w:after="0"/>
              <w:rPr>
                <w:sz w:val="6"/>
                <w:szCs w:val="6"/>
                <w:color w:val="auto"/>
              </w:rPr>
            </w:pPr>
          </w:p>
        </w:tc>
        <w:tc>
          <w:tcPr>
            <w:tcW w:w="660" w:type="dxa"/>
            <w:vAlign w:val="bottom"/>
          </w:tcPr>
          <w:p>
            <w:pPr>
              <w:jc w:val="right"/>
              <w:ind w:right="223"/>
              <w:spacing w:after="0" w:line="72" w:lineRule="exact"/>
              <w:rPr>
                <w:sz w:val="20"/>
                <w:szCs w:val="20"/>
                <w:color w:val="auto"/>
              </w:rPr>
            </w:pPr>
            <w:r>
              <w:rPr>
                <w:rFonts w:ascii="Times New Roman" w:cs="Times New Roman" w:eastAsia="Times New Roman" w:hAnsi="Times New Roman"/>
                <w:sz w:val="8"/>
                <w:szCs w:val="8"/>
                <w:b w:val="1"/>
                <w:bCs w:val="1"/>
                <w:color w:val="auto"/>
              </w:rPr>
              <w:t>% of Net</w:t>
            </w: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vMerge w:val="restart"/>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080" w:type="dxa"/>
            <w:vAlign w:val="bottom"/>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0"/>
                <w:szCs w:val="10"/>
                <w:b w:val="1"/>
                <w:bCs w:val="1"/>
                <w:color w:val="auto"/>
              </w:rPr>
              <w:t>Sales</w:t>
            </w:r>
          </w:p>
        </w:tc>
        <w:tc>
          <w:tcPr>
            <w:tcW w:w="3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6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Sales</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9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(dollars</w:t>
            </w:r>
          </w:p>
        </w:tc>
        <w:tc>
          <w:tcPr>
            <w:tcW w:w="48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w w:val="91"/>
              </w:rPr>
              <w:t>in millions)</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Net sales:</w:t>
            </w:r>
          </w:p>
        </w:tc>
        <w:tc>
          <w:tcPr>
            <w:tcW w:w="6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Aurora </w:t>
            </w:r>
            <w:r>
              <w:rPr>
                <w:rFonts w:ascii="Times New Roman" w:cs="Times New Roman" w:eastAsia="Times New Roman" w:hAnsi="Times New Roman"/>
                <w:sz w:val="16"/>
                <w:szCs w:val="16"/>
                <w:color w:val="auto"/>
                <w:vertAlign w:val="superscript"/>
              </w:rPr>
              <w:t>(1)</w:t>
            </w:r>
          </w:p>
        </w:tc>
        <w:tc>
          <w:tcPr>
            <w:tcW w:w="600" w:type="dxa"/>
            <w:vAlign w:val="bottom"/>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937.5</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100.0</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98.6</w:t>
            </w:r>
          </w:p>
        </w:tc>
        <w:tc>
          <w:tcPr>
            <w:tcW w:w="60" w:type="dxa"/>
            <w:vAlign w:val="bottom"/>
          </w:tcPr>
          <w:p>
            <w:pPr>
              <w:spacing w:after="0"/>
              <w:rPr>
                <w:sz w:val="12"/>
                <w:szCs w:val="12"/>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60" w:type="dxa"/>
            <w:vAlign w:val="bottom"/>
          </w:tcPr>
          <w:p>
            <w:pPr>
              <w:spacing w:after="0"/>
              <w:rPr>
                <w:sz w:val="12"/>
                <w:szCs w:val="12"/>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Corporate and other </w:t>
            </w:r>
            <w:r>
              <w:rPr>
                <w:rFonts w:ascii="Times New Roman" w:cs="Times New Roman" w:eastAsia="Times New Roman" w:hAnsi="Times New Roman"/>
                <w:sz w:val="16"/>
                <w:szCs w:val="16"/>
                <w:color w:val="auto"/>
                <w:vertAlign w:val="superscript"/>
              </w:rPr>
              <w:t>(2)</w:t>
            </w:r>
          </w:p>
        </w:tc>
        <w:tc>
          <w:tcPr>
            <w:tcW w:w="600" w:type="dxa"/>
            <w:vAlign w:val="bottom"/>
            <w:shd w:val="clear" w:color="auto" w:fill="CCECFF"/>
          </w:tcPr>
          <w:p>
            <w:pPr>
              <w:spacing w:after="0"/>
              <w:rPr>
                <w:sz w:val="12"/>
                <w:szCs w:val="12"/>
                <w:color w:val="auto"/>
              </w:rPr>
            </w:pP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4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(12.0)</w:t>
            </w: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(98.4)</w:t>
            </w: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80" w:type="dxa"/>
            <w:vAlign w:val="bottom"/>
            <w:tcBorders>
              <w:top w:val="single" w:sz="8" w:color="CCECFF"/>
            </w:tcBorders>
          </w:tcPr>
          <w:p>
            <w:pPr>
              <w:spacing w:after="0" w:line="133" w:lineRule="exact"/>
              <w:rPr>
                <w:sz w:val="20"/>
                <w:szCs w:val="20"/>
                <w:color w:val="auto"/>
              </w:rPr>
            </w:pPr>
            <w:r>
              <w:rPr>
                <w:rFonts w:ascii="Times New Roman" w:cs="Times New Roman" w:eastAsia="Times New Roman" w:hAnsi="Times New Roman"/>
                <w:sz w:val="12"/>
                <w:szCs w:val="12"/>
                <w:color w:val="auto"/>
              </w:rPr>
              <w:t>Consolidated net sales</w:t>
            </w:r>
          </w:p>
        </w:tc>
        <w:tc>
          <w:tcPr>
            <w:tcW w:w="600" w:type="dxa"/>
            <w:vAlign w:val="bottom"/>
            <w:tcBorders>
              <w:top w:val="single" w:sz="8" w:color="auto"/>
              <w:bottom w:val="single" w:sz="8" w:color="auto"/>
            </w:tcBorders>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937.7</w:t>
            </w:r>
          </w:p>
        </w:tc>
        <w:tc>
          <w:tcPr>
            <w:tcW w:w="220" w:type="dxa"/>
            <w:vAlign w:val="bottom"/>
            <w:tcBorders>
              <w:top w:val="single" w:sz="8" w:color="CCECFF"/>
            </w:tcBorders>
          </w:tcPr>
          <w:p>
            <w:pPr>
              <w:spacing w:after="0"/>
              <w:rPr>
                <w:sz w:val="12"/>
                <w:szCs w:val="12"/>
                <w:color w:val="auto"/>
              </w:rPr>
            </w:pPr>
          </w:p>
        </w:tc>
        <w:tc>
          <w:tcPr>
            <w:tcW w:w="620" w:type="dxa"/>
            <w:vAlign w:val="bottom"/>
            <w:tcBorders>
              <w:top w:val="single" w:sz="8" w:color="CCECFF"/>
            </w:tcBorders>
          </w:tcPr>
          <w:p>
            <w:pPr>
              <w:spacing w:after="0"/>
              <w:rPr>
                <w:sz w:val="12"/>
                <w:szCs w:val="12"/>
                <w:color w:val="auto"/>
              </w:rPr>
            </w:pPr>
          </w:p>
        </w:tc>
        <w:tc>
          <w:tcPr>
            <w:tcW w:w="300" w:type="dxa"/>
            <w:vAlign w:val="bottom"/>
            <w:tcBorders>
              <w:top w:val="single" w:sz="8" w:color="CCECFF"/>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100.0</w:t>
            </w:r>
          </w:p>
        </w:tc>
        <w:tc>
          <w:tcPr>
            <w:tcW w:w="420" w:type="dxa"/>
            <w:vAlign w:val="bottom"/>
            <w:tcBorders>
              <w:top w:val="single" w:sz="8" w:color="CCECFF"/>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897.5</w:t>
            </w:r>
          </w:p>
        </w:tc>
        <w:tc>
          <w:tcPr>
            <w:tcW w:w="220" w:type="dxa"/>
            <w:vAlign w:val="bottom"/>
            <w:tcBorders>
              <w:top w:val="single" w:sz="8" w:color="CCECFF"/>
            </w:tcBorders>
          </w:tcPr>
          <w:p>
            <w:pPr>
              <w:spacing w:after="0"/>
              <w:rPr>
                <w:sz w:val="12"/>
                <w:szCs w:val="12"/>
                <w:color w:val="auto"/>
              </w:rPr>
            </w:pPr>
          </w:p>
        </w:tc>
        <w:tc>
          <w:tcPr>
            <w:tcW w:w="260" w:type="dxa"/>
            <w:vAlign w:val="bottom"/>
            <w:tcBorders>
              <w:top w:val="single" w:sz="8" w:color="CCECFF"/>
            </w:tcBorders>
          </w:tcPr>
          <w:p>
            <w:pPr>
              <w:spacing w:after="0"/>
              <w:rPr>
                <w:sz w:val="12"/>
                <w:szCs w:val="12"/>
                <w:color w:val="auto"/>
              </w:rPr>
            </w:pPr>
          </w:p>
        </w:tc>
        <w:tc>
          <w:tcPr>
            <w:tcW w:w="660" w:type="dxa"/>
            <w:vAlign w:val="bottom"/>
            <w:tcBorders>
              <w:top w:val="single" w:sz="8" w:color="CCECFF"/>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tcBorders>
              <w:top w:val="single" w:sz="8" w:color="CCECFF"/>
            </w:tcBorders>
          </w:tcPr>
          <w:p>
            <w:pPr>
              <w:spacing w:after="0"/>
              <w:rPr>
                <w:sz w:val="12"/>
                <w:szCs w:val="12"/>
                <w:color w:val="auto"/>
              </w:rPr>
            </w:pPr>
          </w:p>
        </w:tc>
        <w:tc>
          <w:tcPr>
            <w:tcW w:w="360" w:type="dxa"/>
            <w:vAlign w:val="bottom"/>
            <w:tcBorders>
              <w:top w:val="single" w:sz="8" w:color="CCECFF"/>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40.2</w:t>
            </w:r>
          </w:p>
        </w:tc>
        <w:tc>
          <w:tcPr>
            <w:tcW w:w="220" w:type="dxa"/>
            <w:vAlign w:val="bottom"/>
            <w:tcBorders>
              <w:top w:val="single" w:sz="8" w:color="CCECFF"/>
            </w:tcBorders>
          </w:tcPr>
          <w:p>
            <w:pPr>
              <w:spacing w:after="0"/>
              <w:rPr>
                <w:sz w:val="12"/>
                <w:szCs w:val="12"/>
                <w:color w:val="auto"/>
              </w:rPr>
            </w:pPr>
          </w:p>
        </w:tc>
        <w:tc>
          <w:tcPr>
            <w:tcW w:w="940" w:type="dxa"/>
            <w:vAlign w:val="bottom"/>
            <w:tcBorders>
              <w:top w:val="single" w:sz="8" w:color="CCECFF"/>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4.5</w:t>
            </w:r>
          </w:p>
        </w:tc>
        <w:tc>
          <w:tcPr>
            <w:tcW w:w="60" w:type="dxa"/>
            <w:vAlign w:val="bottom"/>
            <w:tcBorders>
              <w:top w:val="single" w:sz="8" w:color="CCECFF"/>
            </w:tcBorders>
          </w:tcPr>
          <w:p>
            <w:pPr>
              <w:spacing w:after="0"/>
              <w:rPr>
                <w:sz w:val="12"/>
                <w:szCs w:val="12"/>
                <w:color w:val="auto"/>
              </w:rPr>
            </w:pPr>
          </w:p>
        </w:tc>
        <w:tc>
          <w:tcPr>
            <w:tcW w:w="340" w:type="dxa"/>
            <w:vAlign w:val="bottom"/>
            <w:tcBorders>
              <w:top w:val="single" w:sz="8" w:color="CCECFF"/>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Aurora </w:t>
            </w:r>
            <w:r>
              <w:rPr>
                <w:rFonts w:ascii="Times New Roman" w:cs="Times New Roman" w:eastAsia="Times New Roman" w:hAnsi="Times New Roman"/>
                <w:sz w:val="16"/>
                <w:szCs w:val="16"/>
                <w:color w:val="auto"/>
                <w:vertAlign w:val="superscript"/>
              </w:rPr>
              <w:t>(1)</w:t>
            </w:r>
          </w:p>
        </w:tc>
        <w:tc>
          <w:tcPr>
            <w:tcW w:w="600" w:type="dxa"/>
            <w:vAlign w:val="bottom"/>
            <w:shd w:val="clear" w:color="auto" w:fill="CCECFF"/>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420" w:type="dxa"/>
            <w:vAlign w:val="bottom"/>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2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60" w:type="dxa"/>
            <w:vAlign w:val="bottom"/>
            <w:shd w:val="clear" w:color="auto" w:fill="CCECFF"/>
          </w:tcPr>
          <w:p>
            <w:pPr>
              <w:spacing w:after="0"/>
              <w:rPr>
                <w:sz w:val="12"/>
                <w:szCs w:val="12"/>
                <w:color w:val="auto"/>
              </w:rPr>
            </w:pPr>
          </w:p>
        </w:tc>
        <w:tc>
          <w:tcPr>
            <w:tcW w:w="360" w:type="dxa"/>
            <w:vAlign w:val="bottom"/>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(28.2)</w:t>
            </w: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(38.5)</w:t>
            </w:r>
          </w:p>
        </w:tc>
        <w:tc>
          <w:tcPr>
            <w:tcW w:w="340" w:type="dxa"/>
            <w:vAlign w:val="bottom"/>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080" w:type="dxa"/>
            <w:vAlign w:val="bottom"/>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Corporate and other </w:t>
            </w:r>
            <w:r>
              <w:rPr>
                <w:rFonts w:ascii="Times New Roman" w:cs="Times New Roman" w:eastAsia="Times New Roman" w:hAnsi="Times New Roman"/>
                <w:sz w:val="16"/>
                <w:szCs w:val="16"/>
                <w:color w:val="auto"/>
                <w:vertAlign w:val="superscript"/>
              </w:rPr>
              <w:t>(3)</w:t>
            </w:r>
          </w:p>
        </w:tc>
        <w:tc>
          <w:tcPr>
            <w:tcW w:w="60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(30.6)</w:t>
            </w: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32"/>
              <w:spacing w:after="0"/>
              <w:rPr>
                <w:sz w:val="20"/>
                <w:szCs w:val="20"/>
                <w:color w:val="auto"/>
              </w:rPr>
            </w:pPr>
            <w:r>
              <w:rPr>
                <w:rFonts w:ascii="Times New Roman" w:cs="Times New Roman" w:eastAsia="Times New Roman" w:hAnsi="Times New Roman"/>
                <w:sz w:val="12"/>
                <w:szCs w:val="12"/>
                <w:color w:val="auto"/>
              </w:rPr>
              <w:t>(106.8)</w:t>
            </w:r>
          </w:p>
        </w:tc>
        <w:tc>
          <w:tcPr>
            <w:tcW w:w="2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NM</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22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(71.3)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8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Consolidated operating income (loss)</w:t>
            </w:r>
          </w:p>
        </w:tc>
        <w:tc>
          <w:tcPr>
            <w:tcW w:w="600" w:type="dxa"/>
            <w:vAlign w:val="bottom"/>
            <w:shd w:val="clear" w:color="auto" w:fill="CCECFF"/>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14.5</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420" w:type="dxa"/>
            <w:vAlign w:val="bottom"/>
            <w:shd w:val="clear" w:color="auto" w:fill="CCEC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CFF"/>
          </w:tcPr>
          <w:p>
            <w:pPr>
              <w:jc w:val="right"/>
              <w:ind w:right="132"/>
              <w:spacing w:after="0" w:line="133" w:lineRule="exact"/>
              <w:rPr>
                <w:sz w:val="20"/>
                <w:szCs w:val="20"/>
                <w:color w:val="auto"/>
              </w:rPr>
            </w:pPr>
            <w:r>
              <w:rPr>
                <w:rFonts w:ascii="Times New Roman" w:cs="Times New Roman" w:eastAsia="Times New Roman" w:hAnsi="Times New Roman"/>
                <w:sz w:val="12"/>
                <w:szCs w:val="12"/>
                <w:color w:val="auto"/>
              </w:rPr>
              <w:t>(33.5)</w:t>
            </w:r>
          </w:p>
        </w:tc>
        <w:tc>
          <w:tcPr>
            <w:tcW w:w="26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(3.7)</w:t>
            </w:r>
          </w:p>
        </w:tc>
        <w:tc>
          <w:tcPr>
            <w:tcW w:w="360" w:type="dxa"/>
            <w:vAlign w:val="bottom"/>
            <w:shd w:val="clear" w:color="auto" w:fill="CCEC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48.0</w:t>
            </w:r>
          </w:p>
        </w:tc>
        <w:tc>
          <w:tcPr>
            <w:tcW w:w="2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NM</w:t>
            </w: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Borders>
              <w:top w:val="single" w:sz="8" w:color="CCEC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CCECFF"/>
            </w:tcBorders>
          </w:tcPr>
          <w:p>
            <w:pPr>
              <w:spacing w:after="0"/>
              <w:rPr>
                <w:sz w:val="12"/>
                <w:szCs w:val="12"/>
                <w:color w:val="auto"/>
              </w:rPr>
            </w:pPr>
          </w:p>
        </w:tc>
        <w:tc>
          <w:tcPr>
            <w:tcW w:w="620" w:type="dxa"/>
            <w:vAlign w:val="bottom"/>
            <w:tcBorders>
              <w:top w:val="single" w:sz="8" w:color="CCECFF"/>
            </w:tcBorders>
          </w:tcPr>
          <w:p>
            <w:pPr>
              <w:spacing w:after="0"/>
              <w:rPr>
                <w:sz w:val="12"/>
                <w:szCs w:val="12"/>
                <w:color w:val="auto"/>
              </w:rPr>
            </w:pPr>
          </w:p>
        </w:tc>
        <w:tc>
          <w:tcPr>
            <w:tcW w:w="300" w:type="dxa"/>
            <w:vAlign w:val="bottom"/>
            <w:tcBorders>
              <w:top w:val="single" w:sz="8" w:color="CCECFF"/>
            </w:tcBorders>
          </w:tcPr>
          <w:p>
            <w:pPr>
              <w:spacing w:after="0"/>
              <w:rPr>
                <w:sz w:val="12"/>
                <w:szCs w:val="12"/>
                <w:color w:val="auto"/>
              </w:rPr>
            </w:pPr>
          </w:p>
        </w:tc>
        <w:tc>
          <w:tcPr>
            <w:tcW w:w="420" w:type="dxa"/>
            <w:vAlign w:val="bottom"/>
            <w:tcBorders>
              <w:top w:val="single" w:sz="8" w:color="CCEC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CECFF"/>
            </w:tcBorders>
          </w:tcPr>
          <w:p>
            <w:pPr>
              <w:spacing w:after="0"/>
              <w:rPr>
                <w:sz w:val="12"/>
                <w:szCs w:val="12"/>
                <w:color w:val="auto"/>
              </w:rPr>
            </w:pPr>
          </w:p>
        </w:tc>
        <w:tc>
          <w:tcPr>
            <w:tcW w:w="260" w:type="dxa"/>
            <w:vAlign w:val="bottom"/>
            <w:tcBorders>
              <w:top w:val="single" w:sz="8" w:color="CCECFF"/>
            </w:tcBorders>
          </w:tcPr>
          <w:p>
            <w:pPr>
              <w:spacing w:after="0"/>
              <w:rPr>
                <w:sz w:val="12"/>
                <w:szCs w:val="12"/>
                <w:color w:val="auto"/>
              </w:rPr>
            </w:pPr>
          </w:p>
        </w:tc>
        <w:tc>
          <w:tcPr>
            <w:tcW w:w="660" w:type="dxa"/>
            <w:vAlign w:val="bottom"/>
            <w:tcBorders>
              <w:top w:val="single" w:sz="8" w:color="CCECFF"/>
            </w:tcBorders>
          </w:tcPr>
          <w:p>
            <w:pPr>
              <w:spacing w:after="0"/>
              <w:rPr>
                <w:sz w:val="12"/>
                <w:szCs w:val="12"/>
                <w:color w:val="auto"/>
              </w:rPr>
            </w:pPr>
          </w:p>
        </w:tc>
        <w:tc>
          <w:tcPr>
            <w:tcW w:w="60" w:type="dxa"/>
            <w:vAlign w:val="bottom"/>
            <w:tcBorders>
              <w:top w:val="single" w:sz="8" w:color="CCECFF"/>
            </w:tcBorders>
          </w:tcPr>
          <w:p>
            <w:pPr>
              <w:spacing w:after="0"/>
              <w:rPr>
                <w:sz w:val="12"/>
                <w:szCs w:val="12"/>
                <w:color w:val="auto"/>
              </w:rPr>
            </w:pPr>
          </w:p>
        </w:tc>
        <w:tc>
          <w:tcPr>
            <w:tcW w:w="360" w:type="dxa"/>
            <w:vAlign w:val="bottom"/>
            <w:tcBorders>
              <w:top w:val="single" w:sz="8" w:color="CCEC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CFF"/>
            </w:tcBorders>
          </w:tcPr>
          <w:p>
            <w:pPr>
              <w:spacing w:after="0"/>
              <w:rPr>
                <w:sz w:val="12"/>
                <w:szCs w:val="12"/>
                <w:color w:val="auto"/>
              </w:rPr>
            </w:pPr>
          </w:p>
        </w:tc>
        <w:tc>
          <w:tcPr>
            <w:tcW w:w="940" w:type="dxa"/>
            <w:vAlign w:val="bottom"/>
            <w:tcBorders>
              <w:top w:val="single" w:sz="8" w:color="CCECFF"/>
            </w:tcBorders>
          </w:tcPr>
          <w:p>
            <w:pPr>
              <w:spacing w:after="0"/>
              <w:rPr>
                <w:sz w:val="12"/>
                <w:szCs w:val="12"/>
                <w:color w:val="auto"/>
              </w:rPr>
            </w:pPr>
          </w:p>
        </w:tc>
        <w:tc>
          <w:tcPr>
            <w:tcW w:w="60" w:type="dxa"/>
            <w:vAlign w:val="bottom"/>
            <w:tcBorders>
              <w:top w:val="single" w:sz="8" w:color="CCECFF"/>
            </w:tcBorders>
          </w:tcPr>
          <w:p>
            <w:pPr>
              <w:spacing w:after="0"/>
              <w:rPr>
                <w:sz w:val="12"/>
                <w:szCs w:val="12"/>
                <w:color w:val="auto"/>
              </w:rPr>
            </w:pPr>
          </w:p>
        </w:tc>
        <w:tc>
          <w:tcPr>
            <w:tcW w:w="340" w:type="dxa"/>
            <w:vAlign w:val="bottom"/>
            <w:tcBorders>
              <w:top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6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60"/>
              <w:spacing w:after="0" w:line="144" w:lineRule="exact"/>
              <w:rPr>
                <w:sz w:val="20"/>
                <w:szCs w:val="20"/>
                <w:color w:val="auto"/>
              </w:rPr>
            </w:pPr>
            <w:r>
              <w:rPr>
                <w:rFonts w:ascii="Times New Roman" w:cs="Times New Roman" w:eastAsia="Times New Roman" w:hAnsi="Times New Roman"/>
                <w:sz w:val="16"/>
                <w:szCs w:val="16"/>
                <w:color w:val="auto"/>
                <w:vertAlign w:val="subscript"/>
              </w:rPr>
              <w:t>Aurora</w:t>
            </w:r>
            <w:r>
              <w:rPr>
                <w:rFonts w:ascii="Times New Roman" w:cs="Times New Roman" w:eastAsia="Times New Roman" w:hAnsi="Times New Roman"/>
                <w:sz w:val="7"/>
                <w:szCs w:val="7"/>
                <w:color w:val="auto"/>
              </w:rPr>
              <w:t xml:space="preserve"> (1) (4)</w:t>
            </w:r>
          </w:p>
        </w:tc>
        <w:tc>
          <w:tcPr>
            <w:tcW w:w="600" w:type="dxa"/>
            <w:vAlign w:val="bottom"/>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152.7</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60" w:type="dxa"/>
            <w:vAlign w:val="bottom"/>
          </w:tcPr>
          <w:p>
            <w:pPr>
              <w:spacing w:after="0"/>
              <w:rPr>
                <w:sz w:val="12"/>
                <w:szCs w:val="12"/>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(11.5)</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080" w:type="dxa"/>
            <w:vAlign w:val="bottom"/>
            <w:shd w:val="clear" w:color="auto" w:fill="CCECFF"/>
          </w:tcPr>
          <w:p>
            <w:pPr>
              <w:ind w:left="60"/>
              <w:spacing w:after="0" w:line="144" w:lineRule="exact"/>
              <w:rPr>
                <w:sz w:val="20"/>
                <w:szCs w:val="20"/>
                <w:color w:val="auto"/>
              </w:rPr>
            </w:pPr>
            <w:r>
              <w:rPr>
                <w:rFonts w:ascii="Times New Roman" w:cs="Times New Roman" w:eastAsia="Times New Roman" w:hAnsi="Times New Roman"/>
                <w:sz w:val="12"/>
                <w:szCs w:val="12"/>
                <w:color w:val="auto"/>
              </w:rPr>
              <w:t xml:space="preserve">Corporate and other </w:t>
            </w:r>
            <w:r>
              <w:rPr>
                <w:rFonts w:ascii="Times New Roman" w:cs="Times New Roman" w:eastAsia="Times New Roman" w:hAnsi="Times New Roman"/>
                <w:sz w:val="16"/>
                <w:szCs w:val="16"/>
                <w:color w:val="auto"/>
                <w:vertAlign w:val="superscript"/>
              </w:rPr>
              <w:t>(3)</w:t>
            </w:r>
          </w:p>
        </w:tc>
        <w:tc>
          <w:tcPr>
            <w:tcW w:w="60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(19.1)</w:t>
            </w:r>
          </w:p>
        </w:tc>
        <w:tc>
          <w:tcPr>
            <w:tcW w:w="62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NM</w:t>
            </w:r>
          </w:p>
        </w:tc>
        <w:tc>
          <w:tcPr>
            <w:tcW w:w="4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2"/>
                <w:szCs w:val="12"/>
                <w:color w:val="auto"/>
              </w:rPr>
              <w:t>(76.6)</w:t>
            </w:r>
          </w:p>
        </w:tc>
        <w:tc>
          <w:tcPr>
            <w:tcW w:w="26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NM</w:t>
            </w: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22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(75.1)</w:t>
            </w:r>
          </w:p>
        </w:tc>
        <w:tc>
          <w:tcPr>
            <w:tcW w:w="3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080" w:type="dxa"/>
            <w:vAlign w:val="bottom"/>
            <w:tcBorders>
              <w:top w:val="single" w:sz="8" w:color="CCECFF"/>
            </w:tcBorders>
          </w:tcPr>
          <w:p>
            <w:pPr>
              <w:spacing w:after="0" w:line="107" w:lineRule="exact"/>
              <w:rPr>
                <w:sz w:val="20"/>
                <w:szCs w:val="20"/>
                <w:color w:val="auto"/>
              </w:rPr>
            </w:pPr>
            <w:r>
              <w:rPr>
                <w:rFonts w:ascii="Times New Roman" w:cs="Times New Roman" w:eastAsia="Times New Roman" w:hAnsi="Times New Roman"/>
                <w:sz w:val="12"/>
                <w:szCs w:val="12"/>
                <w:color w:val="auto"/>
              </w:rPr>
              <w:t>Non-GAAP consolidated adjusted</w:t>
            </w:r>
          </w:p>
        </w:tc>
        <w:tc>
          <w:tcPr>
            <w:tcW w:w="600" w:type="dxa"/>
            <w:vAlign w:val="bottom"/>
            <w:tcBorders>
              <w:top w:val="single" w:sz="8" w:color="auto"/>
            </w:tcBorders>
            <w:vMerge w:val="restart"/>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w w:val="96"/>
              </w:rPr>
              <w:t>133.6</w:t>
            </w:r>
          </w:p>
        </w:tc>
        <w:tc>
          <w:tcPr>
            <w:tcW w:w="220" w:type="dxa"/>
            <w:vAlign w:val="bottom"/>
            <w:tcBorders>
              <w:top w:val="single" w:sz="8" w:color="CCECFF"/>
            </w:tcBorders>
          </w:tcPr>
          <w:p>
            <w:pPr>
              <w:spacing w:after="0"/>
              <w:rPr>
                <w:sz w:val="9"/>
                <w:szCs w:val="9"/>
                <w:color w:val="auto"/>
              </w:rPr>
            </w:pPr>
          </w:p>
        </w:tc>
        <w:tc>
          <w:tcPr>
            <w:tcW w:w="620" w:type="dxa"/>
            <w:vAlign w:val="bottom"/>
            <w:tcBorders>
              <w:top w:val="single" w:sz="8" w:color="CCECFF"/>
            </w:tcBorders>
          </w:tcPr>
          <w:p>
            <w:pPr>
              <w:spacing w:after="0"/>
              <w:rPr>
                <w:sz w:val="9"/>
                <w:szCs w:val="9"/>
                <w:color w:val="auto"/>
              </w:rPr>
            </w:pPr>
          </w:p>
        </w:tc>
        <w:tc>
          <w:tcPr>
            <w:tcW w:w="300" w:type="dxa"/>
            <w:vAlign w:val="bottom"/>
            <w:tcBorders>
              <w:top w:val="single" w:sz="8" w:color="CCECFF"/>
            </w:tcBorders>
          </w:tcPr>
          <w:p>
            <w:pPr>
              <w:spacing w:after="0"/>
              <w:rPr>
                <w:sz w:val="9"/>
                <w:szCs w:val="9"/>
                <w:color w:val="auto"/>
              </w:rPr>
            </w:pPr>
          </w:p>
        </w:tc>
        <w:tc>
          <w:tcPr>
            <w:tcW w:w="420" w:type="dxa"/>
            <w:vAlign w:val="bottom"/>
            <w:tcBorders>
              <w:top w:val="single" w:sz="8" w:color="CCECFF"/>
            </w:tcBorders>
          </w:tcPr>
          <w:p>
            <w:pPr>
              <w:spacing w:after="0"/>
              <w:rPr>
                <w:sz w:val="9"/>
                <w:szCs w:val="9"/>
                <w:color w:val="auto"/>
              </w:rPr>
            </w:pPr>
          </w:p>
        </w:tc>
        <w:tc>
          <w:tcPr>
            <w:tcW w:w="1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220" w:type="dxa"/>
            <w:vAlign w:val="bottom"/>
            <w:tcBorders>
              <w:top w:val="single" w:sz="8" w:color="CCECFF"/>
            </w:tcBorders>
          </w:tcPr>
          <w:p>
            <w:pPr>
              <w:spacing w:after="0"/>
              <w:rPr>
                <w:sz w:val="9"/>
                <w:szCs w:val="9"/>
                <w:color w:val="auto"/>
              </w:rPr>
            </w:pPr>
          </w:p>
        </w:tc>
        <w:tc>
          <w:tcPr>
            <w:tcW w:w="260" w:type="dxa"/>
            <w:vAlign w:val="bottom"/>
            <w:tcBorders>
              <w:top w:val="single" w:sz="8" w:color="CCECFF"/>
            </w:tcBorders>
          </w:tcPr>
          <w:p>
            <w:pPr>
              <w:spacing w:after="0"/>
              <w:rPr>
                <w:sz w:val="9"/>
                <w:szCs w:val="9"/>
                <w:color w:val="auto"/>
              </w:rPr>
            </w:pPr>
          </w:p>
        </w:tc>
        <w:tc>
          <w:tcPr>
            <w:tcW w:w="660" w:type="dxa"/>
            <w:vAlign w:val="bottom"/>
            <w:tcBorders>
              <w:top w:val="single" w:sz="8" w:color="CCECFF"/>
            </w:tcBorders>
          </w:tcPr>
          <w:p>
            <w:pPr>
              <w:spacing w:after="0"/>
              <w:rPr>
                <w:sz w:val="9"/>
                <w:szCs w:val="9"/>
                <w:color w:val="auto"/>
              </w:rPr>
            </w:pPr>
          </w:p>
        </w:tc>
        <w:tc>
          <w:tcPr>
            <w:tcW w:w="60" w:type="dxa"/>
            <w:vAlign w:val="bottom"/>
            <w:tcBorders>
              <w:top w:val="single" w:sz="8" w:color="CCECFF"/>
            </w:tcBorders>
          </w:tcPr>
          <w:p>
            <w:pPr>
              <w:spacing w:after="0"/>
              <w:rPr>
                <w:sz w:val="9"/>
                <w:szCs w:val="9"/>
                <w:color w:val="auto"/>
              </w:rPr>
            </w:pPr>
          </w:p>
        </w:tc>
        <w:tc>
          <w:tcPr>
            <w:tcW w:w="360" w:type="dxa"/>
            <w:vAlign w:val="bottom"/>
            <w:tcBorders>
              <w:top w:val="single" w:sz="8" w:color="CCECFF"/>
            </w:tcBorders>
          </w:tcPr>
          <w:p>
            <w:pPr>
              <w:spacing w:after="0"/>
              <w:rPr>
                <w:sz w:val="9"/>
                <w:szCs w:val="9"/>
                <w:color w:val="auto"/>
              </w:rPr>
            </w:pPr>
          </w:p>
        </w:tc>
        <w:tc>
          <w:tcPr>
            <w:tcW w:w="14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220" w:type="dxa"/>
            <w:vAlign w:val="bottom"/>
            <w:tcBorders>
              <w:top w:val="single" w:sz="8" w:color="CCECFF"/>
            </w:tcBorders>
          </w:tcPr>
          <w:p>
            <w:pPr>
              <w:spacing w:after="0"/>
              <w:rPr>
                <w:sz w:val="9"/>
                <w:szCs w:val="9"/>
                <w:color w:val="auto"/>
              </w:rPr>
            </w:pPr>
          </w:p>
        </w:tc>
        <w:tc>
          <w:tcPr>
            <w:tcW w:w="940" w:type="dxa"/>
            <w:vAlign w:val="bottom"/>
            <w:tcBorders>
              <w:top w:val="single" w:sz="8" w:color="CCECFF"/>
            </w:tcBorders>
          </w:tcPr>
          <w:p>
            <w:pPr>
              <w:spacing w:after="0"/>
              <w:rPr>
                <w:sz w:val="9"/>
                <w:szCs w:val="9"/>
                <w:color w:val="auto"/>
              </w:rPr>
            </w:pPr>
          </w:p>
        </w:tc>
        <w:tc>
          <w:tcPr>
            <w:tcW w:w="60" w:type="dxa"/>
            <w:vAlign w:val="bottom"/>
            <w:tcBorders>
              <w:top w:val="single" w:sz="8" w:color="CCECFF"/>
            </w:tcBorders>
          </w:tcPr>
          <w:p>
            <w:pPr>
              <w:spacing w:after="0"/>
              <w:rPr>
                <w:sz w:val="9"/>
                <w:szCs w:val="9"/>
                <w:color w:val="auto"/>
              </w:rPr>
            </w:pPr>
          </w:p>
        </w:tc>
        <w:tc>
          <w:tcPr>
            <w:tcW w:w="340" w:type="dxa"/>
            <w:vAlign w:val="bottom"/>
            <w:tcBorders>
              <w:top w:val="single" w:sz="8" w:color="CCECFF"/>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80" w:type="dxa"/>
            <w:vAlign w:val="bottom"/>
          </w:tcPr>
          <w:p>
            <w:pPr>
              <w:ind w:left="80"/>
              <w:spacing w:after="0" w:line="143" w:lineRule="exact"/>
              <w:rPr>
                <w:sz w:val="20"/>
                <w:szCs w:val="20"/>
                <w:color w:val="auto"/>
              </w:rPr>
            </w:pPr>
            <w:r>
              <w:rPr>
                <w:rFonts w:ascii="Times New Roman" w:cs="Times New Roman" w:eastAsia="Times New Roman" w:hAnsi="Times New Roman"/>
                <w:sz w:val="12"/>
                <w:szCs w:val="12"/>
                <w:color w:val="auto"/>
              </w:rPr>
              <w:t xml:space="preserve">EBITDA </w:t>
            </w:r>
            <w:r>
              <w:rPr>
                <w:rFonts w:ascii="Times New Roman" w:cs="Times New Roman" w:eastAsia="Times New Roman" w:hAnsi="Times New Roman"/>
                <w:sz w:val="16"/>
                <w:szCs w:val="16"/>
                <w:color w:val="auto"/>
                <w:vertAlign w:val="superscript"/>
              </w:rPr>
              <w:t>(4)</w:t>
            </w:r>
          </w:p>
        </w:tc>
        <w:tc>
          <w:tcPr>
            <w:tcW w:w="6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60" w:type="dxa"/>
            <w:vAlign w:val="bottom"/>
          </w:tcPr>
          <w:p>
            <w:pPr>
              <w:spacing w:after="0"/>
              <w:rPr>
                <w:sz w:val="13"/>
                <w:szCs w:val="13"/>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60" w:type="dxa"/>
            <w:vAlign w:val="bottom"/>
          </w:tcPr>
          <w:p>
            <w:pPr>
              <w:spacing w:after="0"/>
              <w:rPr>
                <w:sz w:val="13"/>
                <w:szCs w:val="13"/>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-1148080</wp:posOffset>
            </wp:positionV>
            <wp:extent cx="6858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-1148080</wp:posOffset>
            </wp:positionV>
            <wp:extent cx="685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-1148080</wp:posOffset>
            </wp:positionV>
            <wp:extent cx="685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-570865</wp:posOffset>
            </wp:positionV>
            <wp:extent cx="685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-559435</wp:posOffset>
            </wp:positionV>
            <wp:extent cx="685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-570865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-559435</wp:posOffset>
            </wp:positionV>
            <wp:extent cx="6858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-570865</wp:posOffset>
            </wp:positionV>
            <wp:extent cx="6858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-559435</wp:posOffset>
            </wp:positionV>
            <wp:extent cx="6858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-187960</wp:posOffset>
            </wp:positionV>
            <wp:extent cx="685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-187960</wp:posOffset>
            </wp:positionV>
            <wp:extent cx="685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-187960</wp:posOffset>
            </wp:positionV>
            <wp:extent cx="685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NM – Not meaningful</w:t>
      </w:r>
    </w:p>
    <w:p>
      <w:pPr>
        <w:spacing w:after="0" w:line="74" w:lineRule="exact"/>
        <w:rPr>
          <w:sz w:val="20"/>
          <w:szCs w:val="20"/>
          <w:color w:val="auto"/>
        </w:rPr>
      </w:pPr>
    </w:p>
    <w:p>
      <w:pPr>
        <w:ind w:left="508" w:right="420" w:hanging="508"/>
        <w:spacing w:after="0" w:line="296" w:lineRule="auto"/>
        <w:tabs>
          <w:tab w:leader="none" w:pos="508"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results of Aurora, our reportable segment, which represent substantially all of our net sales and exclude general corporate costs that were previously allocated to the divested businesses because they were not directly attributable to the divested businesses.</w:t>
      </w:r>
    </w:p>
    <w:p>
      <w:pPr>
        <w:spacing w:after="0" w:line="29" w:lineRule="exact"/>
        <w:rPr>
          <w:rFonts w:ascii="Times New Roman" w:cs="Times New Roman" w:eastAsia="Times New Roman" w:hAnsi="Times New Roman"/>
          <w:sz w:val="11"/>
          <w:szCs w:val="11"/>
          <w:color w:val="auto"/>
        </w:rPr>
      </w:pPr>
    </w:p>
    <w:p>
      <w:pPr>
        <w:ind w:left="508" w:right="180" w:hanging="508"/>
        <w:spacing w:after="0" w:line="290" w:lineRule="auto"/>
        <w:tabs>
          <w:tab w:leader="none" w:pos="508"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certain revenues reflected within continuing operations related to products associated with businesses affected by prior divestiture transactions. Such amounts continue to be reported within continuing operations based on the terms of the underlying transactions.</w:t>
      </w:r>
    </w:p>
    <w:p>
      <w:pPr>
        <w:ind w:left="508" w:right="40" w:hanging="508"/>
        <w:spacing w:after="0" w:line="276" w:lineRule="auto"/>
        <w:tabs>
          <w:tab w:leader="none" w:pos="508"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reflects general corporate costs that were previously allocated to the divested businesses. Beginning in the first quarter of 2025, the costs previously allocated to the OWN segment and DAS business unit have been reallocated to our remaining segments and partially offset by income under the Amphenol TSA. The costs previously allocated to the CCS segment were reallocated to our remaining segments and partially offset by income under the Amphenol TSA beginning in the first quarter of 2026. Beginning in the third quarter of 2026, the costs previously allocated to the RUCKUS segment were reallocated to our remaining segment and partially offset by income under the Belden TSA.</w:t>
      </w:r>
    </w:p>
    <w:p>
      <w:pPr>
        <w:spacing w:after="0" w:line="4" w:lineRule="exact"/>
        <w:rPr>
          <w:rFonts w:ascii="Times New Roman" w:cs="Times New Roman" w:eastAsia="Times New Roman" w:hAnsi="Times New Roman"/>
          <w:sz w:val="11"/>
          <w:szCs w:val="11"/>
          <w:color w:val="auto"/>
        </w:rPr>
      </w:pPr>
    </w:p>
    <w:p>
      <w:pPr>
        <w:ind w:left="508" w:hanging="508"/>
        <w:spacing w:after="0"/>
        <w:tabs>
          <w:tab w:leader="none" w:pos="508"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“Reconciliation of Non-GAAP Measures” within this Management’s Discussion and Analysis of Financial Condition and Results of Operations.</w:t>
      </w:r>
    </w:p>
    <w:p>
      <w:pPr>
        <w:spacing w:after="0" w:line="2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Operating income and adjusted EBITDA</w:t>
      </w:r>
    </w:p>
    <w:p>
      <w:pPr>
        <w:spacing w:after="0" w:line="82"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For the three months ended September 30, 2026, Aurora operating income decreased and Aurora adjusted EBITDA increased compared to the prior year period. Aurora operating income and Aurora adjusted EBITDA were unfavorably impacted by lower sales volume, unfavorable product mix and lower pricing, but favorably impacted by lower SG&amp;A and R&amp;D expense and lower input costs. Aurora operating income was also unfavorably impacted by an increase in equity-based compensation expense of $4.5 million for the three months ended September 30, 2026 which is not reflected in adjusted EBITDA. See “Reconciliation of Segment Adjusted EBITDA” below.</w:t>
      </w:r>
    </w:p>
    <w:p>
      <w:pPr>
        <w:spacing w:after="0" w:line="119"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2"/>
          <w:szCs w:val="12"/>
          <w:color w:val="auto"/>
        </w:rPr>
        <w:t>For the nine months ended September 30, 2026, Aurora operating income and Aurora adjusted EBITDA decreased compared to the prior year period primarily due to unfavorable product mix and lower pricing, partially offset by higher sales volume, lower input costs and lower SG&amp;A and R&amp;D expense. Aurora operating income was also unfavorably impacted by increases in transaction, transformation and integration costs of $4.8 million, equity-based compensation of $4.8 million and restructuring costs of $3.1 million, partially offset by a decrease in amortization expense of $5.8 million. Transaction, transformation and integration costs, equity-based compensation, restructuring costs and amortization expense are not reflected in adjusted EBITDA. See “Reconciliation of Segment Adjusted EBITDA” below.</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95"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color w:val="auto"/>
        </w:rPr>
        <w:t>Amortization of purchased intangible assets and Restructuring costs, net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1520" w:type="dxa"/>
            <w:vAlign w:val="bottom"/>
            <w:gridSpan w:val="4"/>
          </w:tcPr>
          <w:p>
            <w:pPr>
              <w:jc w:val="center"/>
              <w:ind w:left="19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0" w:type="dxa"/>
            <w:vAlign w:val="bottom"/>
            <w:gridSpan w:val="3"/>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5"/>
        </w:trPr>
        <w:tc>
          <w:tcPr>
            <w:tcW w:w="29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2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3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0"/>
                <w:szCs w:val="10"/>
                <w:color w:val="auto"/>
              </w:rPr>
            </w:pPr>
          </w:p>
        </w:tc>
      </w:tr>
      <w:tr>
        <w:trPr>
          <w:trHeight w:val="88"/>
        </w:trPr>
        <w:tc>
          <w:tcPr>
            <w:tcW w:w="2920" w:type="dxa"/>
            <w:vAlign w:val="bottom"/>
          </w:tcPr>
          <w:p>
            <w:pPr>
              <w:spacing w:after="0"/>
              <w:rPr>
                <w:sz w:val="7"/>
                <w:szCs w:val="7"/>
                <w:color w:val="auto"/>
              </w:rPr>
            </w:pP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2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2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64"/>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7"/>
                <w:szCs w:val="7"/>
                <w:color w:val="auto"/>
              </w:rPr>
            </w:pPr>
          </w:p>
        </w:tc>
        <w:tc>
          <w:tcPr>
            <w:tcW w:w="820" w:type="dxa"/>
            <w:vAlign w:val="bottom"/>
            <w:tcBorders>
              <w:bottom w:val="single" w:sz="8" w:color="auto"/>
            </w:tcBorders>
          </w:tcPr>
          <w:p>
            <w:pPr>
              <w:jc w:val="right"/>
              <w:ind w:right="207"/>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300" w:type="dxa"/>
            <w:vAlign w:val="bottom"/>
          </w:tcPr>
          <w:p>
            <w:pPr>
              <w:spacing w:after="0"/>
              <w:rPr>
                <w:sz w:val="7"/>
                <w:szCs w:val="7"/>
                <w:color w:val="auto"/>
              </w:rPr>
            </w:pP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Borders>
              <w:bottom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164"/>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7"/>
                <w:szCs w:val="7"/>
                <w:color w:val="auto"/>
              </w:rPr>
            </w:pPr>
          </w:p>
        </w:tc>
        <w:tc>
          <w:tcPr>
            <w:tcW w:w="800" w:type="dxa"/>
            <w:vAlign w:val="bottom"/>
            <w:tcBorders>
              <w:bottom w:val="single" w:sz="8" w:color="auto"/>
            </w:tcBorders>
          </w:tcPr>
          <w:p>
            <w:pPr>
              <w:jc w:val="right"/>
              <w:ind w:right="186"/>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160" w:type="dxa"/>
            <w:vAlign w:val="bottom"/>
          </w:tcPr>
          <w:p>
            <w:pPr>
              <w:spacing w:after="0"/>
              <w:rPr>
                <w:sz w:val="7"/>
                <w:szCs w:val="7"/>
                <w:color w:val="auto"/>
              </w:rPr>
            </w:pPr>
          </w:p>
        </w:tc>
      </w:tr>
      <w:tr>
        <w:trPr>
          <w:trHeight w:val="88"/>
        </w:trPr>
        <w:tc>
          <w:tcPr>
            <w:tcW w:w="2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gridSpan w:val="3"/>
          </w:tcPr>
          <w:p>
            <w:pPr>
              <w:jc w:val="right"/>
              <w:ind w:right="129"/>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133"/>
        </w:trPr>
        <w:tc>
          <w:tcPr>
            <w:tcW w:w="292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Amortization of purchased</w:t>
            </w:r>
          </w:p>
        </w:tc>
        <w:tc>
          <w:tcPr>
            <w:tcW w:w="5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r>
      <w:tr>
        <w:trPr>
          <w:trHeight w:val="155"/>
        </w:trPr>
        <w:tc>
          <w:tcPr>
            <w:tcW w:w="2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2"/>
                <w:szCs w:val="12"/>
                <w:color w:val="auto"/>
              </w:rPr>
              <w:t>intangible assets</w:t>
            </w:r>
          </w:p>
        </w:tc>
        <w:tc>
          <w:tcPr>
            <w:tcW w:w="500" w:type="dxa"/>
            <w:vAlign w:val="bottom"/>
            <w:shd w:val="clear" w:color="auto" w:fill="CCECFF"/>
          </w:tcPr>
          <w:p>
            <w:pPr>
              <w:jc w:val="right"/>
              <w:ind w:right="39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760" w:type="dxa"/>
            <w:vAlign w:val="bottom"/>
            <w:gridSpan w:val="2"/>
            <w:shd w:val="clear" w:color="auto" w:fill="CCECFF"/>
          </w:tcPr>
          <w:p>
            <w:pPr>
              <w:jc w:val="right"/>
              <w:ind w:right="39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4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(2.6)</w:t>
            </w:r>
          </w:p>
        </w:tc>
        <w:tc>
          <w:tcPr>
            <w:tcW w:w="11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2"/>
                <w:szCs w:val="12"/>
                <w:color w:val="auto"/>
              </w:rPr>
              <w:t>(12.0)%</w:t>
            </w:r>
          </w:p>
        </w:tc>
        <w:tc>
          <w:tcPr>
            <w:tcW w:w="560" w:type="dxa"/>
            <w:vAlign w:val="bottom"/>
            <w:shd w:val="clear" w:color="auto" w:fill="CCECFF"/>
          </w:tcPr>
          <w:p>
            <w:pPr>
              <w:jc w:val="right"/>
              <w:ind w:right="44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900" w:type="dxa"/>
            <w:vAlign w:val="bottom"/>
            <w:gridSpan w:val="2"/>
            <w:shd w:val="clear" w:color="auto" w:fill="CCECFF"/>
          </w:tcPr>
          <w:p>
            <w:pPr>
              <w:jc w:val="right"/>
              <w:ind w:right="53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4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(7.2)</w:t>
            </w:r>
          </w:p>
        </w:tc>
        <w:tc>
          <w:tcPr>
            <w:tcW w:w="9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2"/>
                <w:szCs w:val="12"/>
                <w:color w:val="auto"/>
              </w:rPr>
              <w:t>(10.8)%</w:t>
            </w:r>
          </w:p>
        </w:tc>
      </w:tr>
      <w:tr>
        <w:trPr>
          <w:trHeight w:val="155"/>
        </w:trPr>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Restructuring costs, net</w:t>
            </w:r>
          </w:p>
        </w:tc>
        <w:tc>
          <w:tcPr>
            <w:tcW w:w="5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160" w:type="dxa"/>
            <w:vAlign w:val="bottom"/>
          </w:tcPr>
          <w:p>
            <w:pPr>
              <w:spacing w:after="0"/>
              <w:rPr>
                <w:sz w:val="13"/>
                <w:szCs w:val="13"/>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Amortization of purchased intangible assets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three and nine months ended September 30, 2026, amortization of purchased intangible assets was lower compared to the prior year periods because certain of our intangible assets became fully amortized.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Restructuring costs, net</w:t>
      </w:r>
    </w:p>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net restructuring costs recorded in the three and nine months ended September 30, 2026 were primarily related to our new restructuring plan to right-size our cost structure and align operations with our revised business scope. For the three and nine months ended September 30, 2026, our net restructuring costs were $2.1 million and $17.2 million, respectively, and we paid $5.2 million and $15.1 million, respectively, to settle restructuring liabilities. We expect to make cash payments of $2.9 million in the remainder of 2026 and $1.5 million during 2027 to settle our restructuring actions. Additional restructuring actions related to our restructuring efforts are expected to be identified, and the resulting charges and cash requirements could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income (expense), net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gridSpan w:val="3"/>
          </w:tcPr>
          <w:p>
            <w:pPr>
              <w:jc w:val="center"/>
              <w:ind w:right="209"/>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15"/>
        </w:trPr>
        <w:tc>
          <w:tcPr>
            <w:tcW w:w="28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center"/>
              <w:ind w:right="209"/>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2"/>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88"/>
        </w:trPr>
        <w:tc>
          <w:tcPr>
            <w:tcW w:w="2860" w:type="dxa"/>
            <w:vAlign w:val="bottom"/>
          </w:tcPr>
          <w:p>
            <w:pPr>
              <w:spacing w:after="0"/>
              <w:rPr>
                <w:sz w:val="7"/>
                <w:szCs w:val="7"/>
                <w:color w:val="auto"/>
              </w:rPr>
            </w:pPr>
          </w:p>
        </w:tc>
        <w:tc>
          <w:tcPr>
            <w:tcW w:w="5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bottom w:val="single" w:sz="8" w:color="auto"/>
            </w:tcBorders>
          </w:tcPr>
          <w:p>
            <w:pPr>
              <w:jc w:val="right"/>
              <w:ind w:right="9"/>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2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40" w:type="dxa"/>
            <w:vAlign w:val="bottom"/>
          </w:tcPr>
          <w:p>
            <w:pPr>
              <w:spacing w:after="0"/>
              <w:rPr>
                <w:sz w:val="7"/>
                <w:szCs w:val="7"/>
                <w:color w:val="auto"/>
              </w:rPr>
            </w:pPr>
          </w:p>
        </w:tc>
        <w:tc>
          <w:tcPr>
            <w:tcW w:w="86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7"/>
              </w:rPr>
              <w:t>Change</w:t>
            </w:r>
          </w:p>
        </w:tc>
        <w:tc>
          <w:tcPr>
            <w:tcW w:w="240" w:type="dxa"/>
            <w:vAlign w:val="bottom"/>
          </w:tcPr>
          <w:p>
            <w:pPr>
              <w:spacing w:after="0"/>
              <w:rPr>
                <w:sz w:val="7"/>
                <w:szCs w:val="7"/>
                <w:color w:val="auto"/>
              </w:rPr>
            </w:pP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264"/>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2025</w:t>
            </w: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04"/>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7"/>
                <w:szCs w:val="7"/>
                <w:color w:val="auto"/>
              </w:rPr>
            </w:pPr>
          </w:p>
        </w:tc>
        <w:tc>
          <w:tcPr>
            <w:tcW w:w="108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1"/>
              </w:rPr>
              <w:t>Change</w:t>
            </w:r>
          </w:p>
        </w:tc>
      </w:tr>
      <w:tr>
        <w:trPr>
          <w:trHeight w:val="88"/>
        </w:trPr>
        <w:tc>
          <w:tcPr>
            <w:tcW w:w="2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gridSpan w:val="3"/>
          </w:tcPr>
          <w:p>
            <w:pPr>
              <w:jc w:val="right"/>
              <w:ind w:right="89"/>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144"/>
        </w:trPr>
        <w:tc>
          <w:tcPr>
            <w:tcW w:w="286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Foreign currency loss</w:t>
            </w:r>
          </w:p>
        </w:tc>
        <w:tc>
          <w:tcPr>
            <w:tcW w:w="520" w:type="dxa"/>
            <w:vAlign w:val="bottom"/>
            <w:shd w:val="clear" w:color="auto" w:fill="CCECFF"/>
          </w:tcPr>
          <w:p>
            <w:pPr>
              <w:jc w:val="right"/>
              <w:ind w:right="40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2"/>
                <w:szCs w:val="12"/>
                <w:color w:val="auto"/>
              </w:rPr>
              <w:t>(0.4)</w:t>
            </w:r>
          </w:p>
        </w:tc>
        <w:tc>
          <w:tcPr>
            <w:tcW w:w="560" w:type="dxa"/>
            <w:vAlign w:val="bottom"/>
            <w:shd w:val="clear" w:color="auto" w:fill="CCECFF"/>
          </w:tcPr>
          <w:p>
            <w:pPr>
              <w:jc w:val="right"/>
              <w:ind w:right="44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(0.3)</w:t>
            </w:r>
          </w:p>
        </w:tc>
        <w:tc>
          <w:tcPr>
            <w:tcW w:w="160" w:type="dxa"/>
            <w:vAlign w:val="bottom"/>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2"/>
                <w:szCs w:val="12"/>
                <w:color w:val="auto"/>
              </w:rPr>
              <w:t>(0.1)</w:t>
            </w:r>
          </w:p>
        </w:tc>
        <w:tc>
          <w:tcPr>
            <w:tcW w:w="11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33.3%</w:t>
            </w:r>
          </w:p>
        </w:tc>
        <w:tc>
          <w:tcPr>
            <w:tcW w:w="500" w:type="dxa"/>
            <w:vAlign w:val="bottom"/>
            <w:shd w:val="clear" w:color="auto" w:fill="CCECFF"/>
          </w:tcPr>
          <w:p>
            <w:pPr>
              <w:jc w:val="right"/>
              <w:ind w:right="38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(5.1)</w:t>
            </w:r>
          </w:p>
        </w:tc>
        <w:tc>
          <w:tcPr>
            <w:tcW w:w="160" w:type="dxa"/>
            <w:vAlign w:val="bottom"/>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20" w:type="dxa"/>
            <w:vAlign w:val="bottom"/>
            <w:shd w:val="clear" w:color="auto" w:fill="CCECFF"/>
          </w:tcPr>
          <w:p>
            <w:pPr>
              <w:spacing w:after="0"/>
              <w:rPr>
                <w:sz w:val="12"/>
                <w:szCs w:val="12"/>
                <w:color w:val="auto"/>
              </w:rPr>
            </w:pPr>
          </w:p>
        </w:tc>
        <w:tc>
          <w:tcPr>
            <w:tcW w:w="1080" w:type="dxa"/>
            <w:vAlign w:val="bottom"/>
            <w:shd w:val="clear" w:color="auto" w:fill="CCECFF"/>
          </w:tcPr>
          <w:p>
            <w:pPr>
              <w:ind w:left="880"/>
              <w:spacing w:after="0"/>
              <w:rPr>
                <w:sz w:val="20"/>
                <w:szCs w:val="20"/>
                <w:color w:val="auto"/>
              </w:rPr>
            </w:pPr>
            <w:r>
              <w:rPr>
                <w:rFonts w:ascii="Times New Roman" w:cs="Times New Roman" w:eastAsia="Times New Roman" w:hAnsi="Times New Roman"/>
                <w:sz w:val="12"/>
                <w:szCs w:val="12"/>
                <w:color w:val="auto"/>
                <w:w w:val="92"/>
              </w:rPr>
              <w:t>NM</w:t>
            </w:r>
          </w:p>
        </w:tc>
      </w:tr>
      <w:tr>
        <w:trPr>
          <w:trHeight w:val="155"/>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5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(50.0)</w:t>
            </w:r>
          </w:p>
        </w:tc>
        <w:tc>
          <w:tcPr>
            <w:tcW w:w="5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20" w:type="dxa"/>
            <w:vAlign w:val="bottom"/>
          </w:tcPr>
          <w:p>
            <w:pPr>
              <w:spacing w:after="0"/>
              <w:rPr>
                <w:sz w:val="13"/>
                <w:szCs w:val="13"/>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2"/>
                <w:szCs w:val="12"/>
                <w:color w:val="auto"/>
                <w:w w:val="92"/>
              </w:rPr>
              <w:t>NM</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NM – Not meaningful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loss</w:t>
      </w:r>
    </w:p>
    <w:p>
      <w:pPr>
        <w:spacing w:after="0" w:line="82"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2"/>
          <w:szCs w:val="12"/>
          <w:color w:val="auto"/>
        </w:rPr>
        <w:t>Foreign currency loss includes the net foreign currency gains and losses resulting from the settlement of receivables and payables, foreign currency contracts and short-term intercompany advances in a currency other than the subsidiary’s functional currency. The change in foreign currency loss for the three and nine months ended September 30, 2026 compared to the prior year periods was primarily driven by certain unhedged currencies.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 (expense), net</w:t>
      </w:r>
    </w:p>
    <w:p>
      <w:pPr>
        <w:spacing w:after="0" w:line="8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Other income (expense), net for the nine months ended September 30, 2026 was favorably impacted by gains on certain financial assets. For the nine months ended September 30, 2025, other income (expense), net includes $1.1 million of debt issuance costs related to a debt refinancing transaction that occurred in the fourth quarter of 2024.</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7"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color w:val="auto"/>
        </w:rPr>
        <w:t>Interest expense, Interest income and Income taxes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gridSpan w:val="3"/>
          </w:tcPr>
          <w:p>
            <w:pPr>
              <w:jc w:val="center"/>
              <w:ind w:right="209"/>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5"/>
        </w:trPr>
        <w:tc>
          <w:tcPr>
            <w:tcW w:w="20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right="209"/>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3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right"/>
              <w:ind w:right="446"/>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6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ind w:right="385"/>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r>
      <w:tr>
        <w:trPr>
          <w:trHeight w:val="88"/>
        </w:trPr>
        <w:tc>
          <w:tcPr>
            <w:tcW w:w="2040" w:type="dxa"/>
            <w:vAlign w:val="bottom"/>
          </w:tcPr>
          <w:p>
            <w:pPr>
              <w:spacing w:after="0"/>
              <w:rPr>
                <w:sz w:val="7"/>
                <w:szCs w:val="7"/>
                <w:color w:val="auto"/>
              </w:rPr>
            </w:pP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bottom w:val="single" w:sz="8" w:color="auto"/>
            </w:tcBorders>
          </w:tcPr>
          <w:p>
            <w:pPr>
              <w:jc w:val="right"/>
              <w:ind w:right="9"/>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203"/>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7"/>
                <w:szCs w:val="7"/>
                <w:color w:val="auto"/>
              </w:rPr>
            </w:pPr>
          </w:p>
        </w:tc>
        <w:tc>
          <w:tcPr>
            <w:tcW w:w="108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7"/>
              </w:rPr>
              <w:t>Change</w:t>
            </w:r>
          </w:p>
        </w:tc>
        <w:tc>
          <w:tcPr>
            <w:tcW w:w="240" w:type="dxa"/>
            <w:vAlign w:val="bottom"/>
          </w:tcPr>
          <w:p>
            <w:pPr>
              <w:spacing w:after="0"/>
              <w:rPr>
                <w:sz w:val="7"/>
                <w:szCs w:val="7"/>
                <w:color w:val="auto"/>
              </w:rPr>
            </w:pPr>
          </w:p>
        </w:tc>
        <w:tc>
          <w:tcPr>
            <w:tcW w:w="5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303"/>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2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263"/>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7"/>
                <w:szCs w:val="7"/>
                <w:color w:val="auto"/>
              </w:rPr>
            </w:pPr>
          </w:p>
        </w:tc>
        <w:tc>
          <w:tcPr>
            <w:tcW w:w="98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7"/>
              </w:rPr>
              <w:t>Change</w:t>
            </w:r>
          </w:p>
        </w:tc>
        <w:tc>
          <w:tcPr>
            <w:tcW w:w="140" w:type="dxa"/>
            <w:vAlign w:val="bottom"/>
          </w:tcPr>
          <w:p>
            <w:pPr>
              <w:spacing w:after="0"/>
              <w:rPr>
                <w:sz w:val="7"/>
                <w:szCs w:val="7"/>
                <w:color w:val="auto"/>
              </w:rPr>
            </w:pPr>
          </w:p>
        </w:tc>
      </w:tr>
      <w:tr>
        <w:trPr>
          <w:trHeight w:val="88"/>
        </w:trPr>
        <w:tc>
          <w:tcPr>
            <w:tcW w:w="2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00" w:type="dxa"/>
            <w:vAlign w:val="bottom"/>
            <w:gridSpan w:val="3"/>
          </w:tcPr>
          <w:p>
            <w:pPr>
              <w:ind w:left="860"/>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44"/>
        </w:trPr>
        <w:tc>
          <w:tcPr>
            <w:tcW w:w="204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560" w:type="dxa"/>
            <w:vAlign w:val="bottom"/>
            <w:shd w:val="clear" w:color="auto" w:fill="CCECFF"/>
          </w:tcPr>
          <w:p>
            <w:pPr>
              <w:jc w:val="right"/>
              <w:ind w:right="44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(0.9)</w:t>
            </w:r>
          </w:p>
        </w:tc>
        <w:tc>
          <w:tcPr>
            <w:tcW w:w="600" w:type="dxa"/>
            <w:vAlign w:val="bottom"/>
            <w:shd w:val="clear" w:color="auto" w:fill="CCECFF"/>
          </w:tcPr>
          <w:p>
            <w:pPr>
              <w:jc w:val="right"/>
              <w:ind w:right="48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(0.9)</w:t>
            </w:r>
          </w:p>
        </w:tc>
        <w:tc>
          <w:tcPr>
            <w:tcW w:w="1320" w:type="dxa"/>
            <w:vAlign w:val="bottom"/>
            <w:gridSpan w:val="2"/>
            <w:shd w:val="clear" w:color="auto" w:fill="CCECFF"/>
          </w:tcPr>
          <w:p>
            <w:pPr>
              <w:ind w:left="880"/>
              <w:spacing w:after="0"/>
              <w:rPr>
                <w:sz w:val="20"/>
                <w:szCs w:val="20"/>
                <w:color w:val="auto"/>
              </w:rPr>
            </w:pPr>
            <w:r>
              <w:rPr>
                <w:rFonts w:ascii="Times New Roman" w:cs="Times New Roman" w:eastAsia="Times New Roman" w:hAnsi="Times New Roman"/>
                <w:sz w:val="12"/>
                <w:szCs w:val="12"/>
                <w:color w:val="auto"/>
              </w:rPr>
              <w:t>NM</w:t>
            </w:r>
          </w:p>
        </w:tc>
        <w:tc>
          <w:tcPr>
            <w:tcW w:w="580" w:type="dxa"/>
            <w:vAlign w:val="bottom"/>
            <w:shd w:val="clear" w:color="auto" w:fill="CCECFF"/>
          </w:tcPr>
          <w:p>
            <w:pPr>
              <w:jc w:val="right"/>
              <w:ind w:right="46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2"/>
                <w:szCs w:val="12"/>
                <w:color w:val="auto"/>
              </w:rPr>
              <w:t>(1.7)</w:t>
            </w:r>
          </w:p>
        </w:tc>
        <w:tc>
          <w:tcPr>
            <w:tcW w:w="320" w:type="dxa"/>
            <w:vAlign w:val="bottom"/>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(1.7)</w:t>
            </w:r>
          </w:p>
        </w:tc>
        <w:tc>
          <w:tcPr>
            <w:tcW w:w="1120" w:type="dxa"/>
            <w:vAlign w:val="bottom"/>
            <w:gridSpan w:val="2"/>
            <w:shd w:val="clear" w:color="auto" w:fill="CCECFF"/>
          </w:tcPr>
          <w:p>
            <w:pPr>
              <w:ind w:left="780"/>
              <w:spacing w:after="0"/>
              <w:rPr>
                <w:sz w:val="20"/>
                <w:szCs w:val="20"/>
                <w:color w:val="auto"/>
              </w:rPr>
            </w:pPr>
            <w:r>
              <w:rPr>
                <w:rFonts w:ascii="Times New Roman" w:cs="Times New Roman" w:eastAsia="Times New Roman" w:hAnsi="Times New Roman"/>
                <w:sz w:val="12"/>
                <w:szCs w:val="12"/>
                <w:color w:val="auto"/>
              </w:rPr>
              <w:t>NM</w:t>
            </w:r>
          </w:p>
        </w:tc>
      </w:tr>
      <w:tr>
        <w:trPr>
          <w:trHeight w:val="144"/>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5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2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230.8%</w:t>
            </w:r>
          </w:p>
        </w:tc>
        <w:tc>
          <w:tcPr>
            <w:tcW w:w="5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220" w:type="dxa"/>
            <w:vAlign w:val="bottom"/>
          </w:tcPr>
          <w:p>
            <w:pPr>
              <w:spacing w:after="0"/>
              <w:rPr>
                <w:sz w:val="12"/>
                <w:szCs w:val="1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243.0%</w:t>
            </w:r>
          </w:p>
        </w:tc>
      </w:tr>
      <w:tr>
        <w:trPr>
          <w:trHeight w:val="133"/>
        </w:trPr>
        <w:tc>
          <w:tcPr>
            <w:tcW w:w="204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2"/>
                <w:szCs w:val="12"/>
                <w:color w:val="auto"/>
              </w:rPr>
              <w:t>Income tax</w:t>
            </w:r>
          </w:p>
        </w:tc>
        <w:tc>
          <w:tcPr>
            <w:tcW w:w="56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r>
      <w:tr>
        <w:trPr>
          <w:trHeight w:val="155"/>
        </w:trPr>
        <w:tc>
          <w:tcPr>
            <w:tcW w:w="20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2"/>
                <w:szCs w:val="12"/>
                <w:color w:val="auto"/>
              </w:rPr>
              <w:t>(expense) benefit</w:t>
            </w:r>
          </w:p>
        </w:tc>
        <w:tc>
          <w:tcPr>
            <w:tcW w:w="560" w:type="dxa"/>
            <w:vAlign w:val="bottom"/>
            <w:shd w:val="clear" w:color="auto" w:fill="CCECFF"/>
          </w:tcPr>
          <w:p>
            <w:pPr>
              <w:spacing w:after="0"/>
              <w:rPr>
                <w:sz w:val="13"/>
                <w:szCs w:val="13"/>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2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5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(11.4)</w:t>
            </w:r>
          </w:p>
        </w:tc>
        <w:tc>
          <w:tcPr>
            <w:tcW w:w="1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220" w:type="dxa"/>
            <w:vAlign w:val="bottom"/>
            <w:shd w:val="clear" w:color="auto" w:fill="CCECFF"/>
          </w:tcPr>
          <w:p>
            <w:pPr>
              <w:spacing w:after="0"/>
              <w:rPr>
                <w:sz w:val="13"/>
                <w:szCs w:val="13"/>
                <w:color w:val="auto"/>
              </w:rPr>
            </w:pPr>
          </w:p>
        </w:tc>
        <w:tc>
          <w:tcPr>
            <w:tcW w:w="1320" w:type="dxa"/>
            <w:vAlign w:val="bottom"/>
            <w:gridSpan w:val="2"/>
            <w:shd w:val="clear" w:color="auto" w:fill="CCECFF"/>
          </w:tcPr>
          <w:p>
            <w:pPr>
              <w:ind w:left="880"/>
              <w:spacing w:after="0"/>
              <w:rPr>
                <w:sz w:val="20"/>
                <w:szCs w:val="20"/>
                <w:color w:val="auto"/>
              </w:rPr>
            </w:pPr>
            <w:r>
              <w:rPr>
                <w:rFonts w:ascii="Times New Roman" w:cs="Times New Roman" w:eastAsia="Times New Roman" w:hAnsi="Times New Roman"/>
                <w:sz w:val="12"/>
                <w:szCs w:val="12"/>
                <w:color w:val="auto"/>
              </w:rPr>
              <w:t>NM</w:t>
            </w:r>
          </w:p>
        </w:tc>
        <w:tc>
          <w:tcPr>
            <w:tcW w:w="580" w:type="dxa"/>
            <w:vAlign w:val="bottom"/>
            <w:shd w:val="clear" w:color="auto" w:fill="CCECFF"/>
          </w:tcPr>
          <w:p>
            <w:pPr>
              <w:spacing w:after="0"/>
              <w:rPr>
                <w:sz w:val="13"/>
                <w:szCs w:val="13"/>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2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347.8</w:t>
            </w:r>
          </w:p>
        </w:tc>
        <w:tc>
          <w:tcPr>
            <w:tcW w:w="2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(305.5)</w:t>
            </w:r>
          </w:p>
        </w:tc>
        <w:tc>
          <w:tcPr>
            <w:tcW w:w="1120" w:type="dxa"/>
            <w:vAlign w:val="bottom"/>
            <w:gridSpan w:val="2"/>
            <w:shd w:val="clear" w:color="auto" w:fill="CCECFF"/>
          </w:tcPr>
          <w:p>
            <w:pPr>
              <w:ind w:left="780"/>
              <w:spacing w:after="0"/>
              <w:rPr>
                <w:sz w:val="20"/>
                <w:szCs w:val="20"/>
                <w:color w:val="auto"/>
              </w:rPr>
            </w:pPr>
            <w:r>
              <w:rPr>
                <w:rFonts w:ascii="Times New Roman" w:cs="Times New Roman" w:eastAsia="Times New Roman" w:hAnsi="Times New Roman"/>
                <w:sz w:val="12"/>
                <w:szCs w:val="12"/>
                <w:color w:val="auto"/>
              </w:rPr>
              <w:t>NM</w:t>
            </w: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NM – Not meaningful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 and Interest income</w:t>
      </w:r>
    </w:p>
    <w:p>
      <w:pPr>
        <w:spacing w:after="0" w:line="54" w:lineRule="exact"/>
        <w:rPr>
          <w:sz w:val="20"/>
          <w:szCs w:val="20"/>
          <w:color w:val="auto"/>
        </w:rPr>
      </w:pPr>
    </w:p>
    <w:p>
      <w:pPr>
        <w:ind w:right="100"/>
        <w:spacing w:after="0" w:line="157" w:lineRule="exact"/>
        <w:rPr>
          <w:sz w:val="20"/>
          <w:szCs w:val="20"/>
          <w:color w:val="auto"/>
        </w:rPr>
      </w:pPr>
      <w:r>
        <w:rPr>
          <w:rFonts w:ascii="Times New Roman" w:cs="Times New Roman" w:eastAsia="Times New Roman" w:hAnsi="Times New Roman"/>
          <w:sz w:val="12"/>
          <w:szCs w:val="12"/>
          <w:color w:val="auto"/>
        </w:rPr>
        <w:t>Upon completion of the sale of the CCS segment on January 9, 2026, we repaid our outstanding third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party debt. Accordingly, the related interest expense was reported within discontinued operations. For the three and nine months ended September 30, 2026, interest expense consisted of the amortization of capitalized debt issuance costs associated with the senior secured asset-based revolving credit facility (Revolving Credit Facility), which was entered into on April 7,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increase in interest income compared to the prior year periods was primarily driven by interest earned on the net proceeds related to the sales of the RUCKUS and CCS segments.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(expense) benefit</w:t>
      </w:r>
    </w:p>
    <w:p>
      <w:pPr>
        <w:spacing w:after="0" w:line="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For the three and nine months ended September 30, 2026, we recognized an income tax benefit of $20.0 million on pretax income of $34.7 million and an income tax benefit of $42.3 million on pretax income of $55.1 million, respectively. Our income taxes were less than the statutory rate of 21.0% for the three and nine months ended September 30, 2026, primarily due to $24.2 million and $24.7 million, respectively, of tax benefit associated with the release of certain uncertain tax positions. Additionally, we recognized $3.7 million and $24.8 million of tax benefit, associated with our equity compensation plan for each of the three and nine months ended September 30, 2026, respectively. Offsetting these benefits for the three and nine months ended September 30, 2026, were the unfavorable impacts of U.S. anti-deferral provisions. Certain income tax years will expire under the relevant statute of limitations during the fourth quarter of 2026. As a result, we expect to release a portion of our reserve for uncertain tax positions during the fourth quarter of 2026.</w:t>
      </w:r>
    </w:p>
    <w:p>
      <w:pPr>
        <w:spacing w:after="0" w:line="125"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For the three and nine months ended September 30, 2025, we recognized income tax expense of $11.4 million on a pretax loss of $7.5 million and an income tax benefit of $347.8 million on a pretax loss of $28.3 million, respectively. Our income taxes for the three and nine months ended September 30, 2025, were favorably impacted by the tax benefit related to federal tax credits, as well as $361.1 million associated with a tax planning strategy for the nine months ended September 30, 2025. Offsetting these benefits for the three and nine months ended September 30, 2025, were the unfavorable impacts of U.S. anti-deferral provisions.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7"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certain key measures of our liquidity and capital resources (in millions, except percentage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1220" w:type="dxa"/>
            <w:vAlign w:val="bottom"/>
          </w:tcPr>
          <w:p>
            <w:pPr>
              <w:jc w:val="center"/>
              <w:ind w:left="37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center"/>
              <w:ind w:left="332"/>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363"/>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0"/>
                <w:szCs w:val="10"/>
                <w:color w:val="auto"/>
              </w:rPr>
            </w:pPr>
          </w:p>
        </w:tc>
        <w:tc>
          <w:tcPr>
            <w:tcW w:w="960" w:type="dxa"/>
            <w:vAlign w:val="bottom"/>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15"/>
        </w:trPr>
        <w:tc>
          <w:tcPr>
            <w:tcW w:w="5220" w:type="dxa"/>
            <w:vAlign w:val="bottom"/>
          </w:tcPr>
          <w:p>
            <w:pPr>
              <w:spacing w:after="0"/>
              <w:rPr>
                <w:sz w:val="10"/>
                <w:szCs w:val="10"/>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0"/>
                <w:szCs w:val="10"/>
                <w:b w:val="1"/>
                <w:bCs w:val="1"/>
                <w:color w:val="auto"/>
              </w:rPr>
              <w:t>2026</w:t>
            </w:r>
          </w:p>
        </w:tc>
        <w:tc>
          <w:tcPr>
            <w:tcW w:w="460" w:type="dxa"/>
            <w:vAlign w:val="bottom"/>
          </w:tcPr>
          <w:p>
            <w:pPr>
              <w:spacing w:after="0"/>
              <w:rPr>
                <w:sz w:val="10"/>
                <w:szCs w:val="10"/>
                <w:color w:val="auto"/>
              </w:rPr>
            </w:pPr>
          </w:p>
        </w:tc>
        <w:tc>
          <w:tcPr>
            <w:tcW w:w="1280" w:type="dxa"/>
            <w:vAlign w:val="bottom"/>
            <w:gridSpan w:val="2"/>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80" w:type="dxa"/>
            <w:vAlign w:val="bottom"/>
          </w:tcPr>
          <w:p>
            <w:pPr>
              <w:spacing w:after="0"/>
              <w:rPr>
                <w:sz w:val="10"/>
                <w:szCs w:val="10"/>
                <w:color w:val="auto"/>
              </w:rPr>
            </w:pPr>
          </w:p>
        </w:tc>
      </w:tr>
      <w:tr>
        <w:trPr>
          <w:trHeight w:val="88"/>
        </w:trPr>
        <w:tc>
          <w:tcPr>
            <w:tcW w:w="5220" w:type="dxa"/>
            <w:vAlign w:val="bottom"/>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tcBorders>
              <w:top w:val="single" w:sz="8" w:color="auto"/>
            </w:tcBorders>
            <w:gridSpan w:val="2"/>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2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144"/>
        </w:trPr>
        <w:tc>
          <w:tcPr>
            <w:tcW w:w="522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Cash and cash equivalents </w:t>
            </w:r>
            <w:r>
              <w:rPr>
                <w:rFonts w:ascii="Times New Roman" w:cs="Times New Roman" w:eastAsia="Times New Roman" w:hAnsi="Times New Roman"/>
                <w:sz w:val="16"/>
                <w:szCs w:val="16"/>
                <w:color w:val="auto"/>
                <w:vertAlign w:val="superscript"/>
              </w:rPr>
              <w:t>(1)</w:t>
            </w:r>
          </w:p>
        </w:tc>
        <w:tc>
          <w:tcPr>
            <w:tcW w:w="1220" w:type="dxa"/>
            <w:vAlign w:val="bottom"/>
            <w:shd w:val="clear" w:color="auto" w:fill="CCECFF"/>
          </w:tcPr>
          <w:p>
            <w:pPr>
              <w:jc w:val="right"/>
              <w:ind w:right="111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683.1</w:t>
            </w:r>
          </w:p>
        </w:tc>
        <w:tc>
          <w:tcPr>
            <w:tcW w:w="1280" w:type="dxa"/>
            <w:vAlign w:val="bottom"/>
            <w:gridSpan w:val="2"/>
            <w:shd w:val="clear" w:color="auto" w:fill="CCECFF"/>
          </w:tcPr>
          <w:p>
            <w:pPr>
              <w:jc w:val="right"/>
              <w:ind w:right="91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922.8</w:t>
            </w:r>
          </w:p>
        </w:tc>
        <w:tc>
          <w:tcPr>
            <w:tcW w:w="260" w:type="dxa"/>
            <w:vAlign w:val="bottom"/>
            <w:shd w:val="clear" w:color="auto" w:fill="CCECFF"/>
          </w:tcPr>
          <w:p>
            <w:pPr>
              <w:spacing w:after="0"/>
              <w:rPr>
                <w:sz w:val="12"/>
                <w:szCs w:val="12"/>
                <w:color w:val="auto"/>
              </w:rPr>
            </w:pPr>
          </w:p>
        </w:tc>
        <w:tc>
          <w:tcPr>
            <w:tcW w:w="18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(239.7)</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2"/>
                <w:szCs w:val="12"/>
                <w:color w:val="auto"/>
              </w:rPr>
              <w:t>(26.0)</w:t>
            </w:r>
          </w:p>
        </w:tc>
        <w:tc>
          <w:tcPr>
            <w:tcW w:w="280" w:type="dxa"/>
            <w:vAlign w:val="bottom"/>
            <w:shd w:val="clear" w:color="auto" w:fill="CCEC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r>
      <w:tr>
        <w:trPr>
          <w:trHeight w:val="118"/>
        </w:trPr>
        <w:tc>
          <w:tcPr>
            <w:tcW w:w="52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Working capital, net of assets and liabilities held for</w:t>
            </w: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70"/>
        </w:trPr>
        <w:tc>
          <w:tcPr>
            <w:tcW w:w="5220" w:type="dxa"/>
            <w:vAlign w:val="bottom"/>
          </w:tcPr>
          <w:p>
            <w:pPr>
              <w:ind w:left="80"/>
              <w:spacing w:after="0" w:line="170" w:lineRule="exact"/>
              <w:rPr>
                <w:sz w:val="20"/>
                <w:szCs w:val="20"/>
                <w:color w:val="auto"/>
              </w:rPr>
            </w:pPr>
            <w:r>
              <w:rPr>
                <w:rFonts w:ascii="Times New Roman" w:cs="Times New Roman" w:eastAsia="Times New Roman" w:hAnsi="Times New Roman"/>
                <w:sz w:val="12"/>
                <w:szCs w:val="12"/>
                <w:color w:val="auto"/>
              </w:rPr>
              <w:t xml:space="preserve">sale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2"/>
                <w:szCs w:val="12"/>
                <w:color w:val="auto"/>
              </w:rPr>
              <w:t xml:space="preserve"> and excluding cash and cash equivalents</w:t>
            </w: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382.6</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292.6</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4"/>
        </w:trPr>
        <w:tc>
          <w:tcPr>
            <w:tcW w:w="522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Availability under Revolving Credit Facility </w:t>
            </w:r>
            <w:r>
              <w:rPr>
                <w:rFonts w:ascii="Times New Roman" w:cs="Times New Roman" w:eastAsia="Times New Roman" w:hAnsi="Times New Roman"/>
                <w:sz w:val="16"/>
                <w:szCs w:val="16"/>
                <w:color w:val="auto"/>
                <w:vertAlign w:val="superscript"/>
              </w:rPr>
              <w:t>(3)</w:t>
            </w:r>
          </w:p>
        </w:tc>
        <w:tc>
          <w:tcPr>
            <w:tcW w:w="12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158.9</w:t>
            </w:r>
          </w:p>
        </w:tc>
        <w:tc>
          <w:tcPr>
            <w:tcW w:w="2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584.5</w:t>
            </w:r>
          </w:p>
        </w:tc>
        <w:tc>
          <w:tcPr>
            <w:tcW w:w="2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(425.6)</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2"/>
                <w:szCs w:val="12"/>
                <w:color w:val="auto"/>
              </w:rPr>
              <w:t>(72.8)</w:t>
            </w:r>
          </w:p>
        </w:tc>
        <w:tc>
          <w:tcPr>
            <w:tcW w:w="280" w:type="dxa"/>
            <w:vAlign w:val="bottom"/>
            <w:shd w:val="clear" w:color="auto" w:fill="CCECFF"/>
          </w:tcPr>
          <w:p>
            <w:pPr>
              <w:spacing w:after="0"/>
              <w:rPr>
                <w:sz w:val="12"/>
                <w:szCs w:val="12"/>
                <w:color w:val="auto"/>
              </w:rPr>
            </w:pPr>
          </w:p>
        </w:tc>
      </w:tr>
      <w:tr>
        <w:trPr>
          <w:trHeight w:val="144"/>
        </w:trPr>
        <w:tc>
          <w:tcPr>
            <w:tcW w:w="52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Long-term debt </w:t>
            </w:r>
            <w:r>
              <w:rPr>
                <w:rFonts w:ascii="Times New Roman" w:cs="Times New Roman" w:eastAsia="Times New Roman" w:hAnsi="Times New Roman"/>
                <w:sz w:val="16"/>
                <w:szCs w:val="16"/>
                <w:color w:val="auto"/>
                <w:vertAlign w:val="superscript"/>
              </w:rPr>
              <w:t>(3)</w:t>
            </w:r>
          </w:p>
        </w:tc>
        <w:tc>
          <w:tcPr>
            <w:tcW w:w="1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7,260.2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(7,260.2)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280" w:type="dxa"/>
            <w:vAlign w:val="bottom"/>
          </w:tcPr>
          <w:p>
            <w:pPr>
              <w:spacing w:after="0"/>
              <w:rPr>
                <w:sz w:val="12"/>
                <w:szCs w:val="12"/>
                <w:color w:val="auto"/>
              </w:rPr>
            </w:pPr>
          </w:p>
        </w:tc>
      </w:tr>
      <w:tr>
        <w:trPr>
          <w:trHeight w:val="144"/>
        </w:trPr>
        <w:tc>
          <w:tcPr>
            <w:tcW w:w="522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Total capitalization </w:t>
            </w:r>
            <w:r>
              <w:rPr>
                <w:rFonts w:ascii="Times New Roman" w:cs="Times New Roman" w:eastAsia="Times New Roman" w:hAnsi="Times New Roman"/>
                <w:sz w:val="16"/>
                <w:szCs w:val="16"/>
                <w:color w:val="auto"/>
                <w:vertAlign w:val="superscript"/>
              </w:rPr>
              <w:t>(4)</w:t>
            </w:r>
          </w:p>
        </w:tc>
        <w:tc>
          <w:tcPr>
            <w:tcW w:w="12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2,233.6</w:t>
            </w:r>
          </w:p>
        </w:tc>
        <w:tc>
          <w:tcPr>
            <w:tcW w:w="2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7,534.8</w:t>
            </w:r>
          </w:p>
        </w:tc>
        <w:tc>
          <w:tcPr>
            <w:tcW w:w="2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(5,301.2)</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2"/>
                <w:szCs w:val="12"/>
                <w:color w:val="auto"/>
              </w:rPr>
              <w:t>(70.4)</w:t>
            </w:r>
          </w:p>
        </w:tc>
        <w:tc>
          <w:tcPr>
            <w:tcW w:w="280" w:type="dxa"/>
            <w:vAlign w:val="bottom"/>
            <w:shd w:val="clear" w:color="auto" w:fill="CCECFF"/>
          </w:tcPr>
          <w:p>
            <w:pPr>
              <w:spacing w:after="0"/>
              <w:rPr>
                <w:sz w:val="12"/>
                <w:szCs w:val="12"/>
                <w:color w:val="auto"/>
              </w:rPr>
            </w:pPr>
          </w:p>
        </w:tc>
      </w:tr>
      <w:tr>
        <w:trPr>
          <w:trHeight w:val="155"/>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as a percentage of total capitalization</w:t>
            </w:r>
          </w:p>
        </w:tc>
        <w:tc>
          <w:tcPr>
            <w:tcW w:w="1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96.4%</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r>
    </w:tbl>
    <w:p>
      <w:pPr>
        <w:spacing w:after="0" w:line="110" w:lineRule="exact"/>
        <w:rPr>
          <w:sz w:val="20"/>
          <w:szCs w:val="20"/>
          <w:color w:val="auto"/>
        </w:rPr>
      </w:pPr>
    </w:p>
    <w:p>
      <w:pPr>
        <w:ind w:left="500" w:hanging="462"/>
        <w:spacing w:after="0"/>
        <w:tabs>
          <w:tab w:leader="none" w:pos="5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cash and cash equivalents in assets held for sale of $309.2 million as of December 31, 2025.</w:t>
      </w:r>
    </w:p>
    <w:p>
      <w:pPr>
        <w:spacing w:after="0" w:line="44" w:lineRule="exact"/>
        <w:rPr>
          <w:rFonts w:ascii="Times New Roman" w:cs="Times New Roman" w:eastAsia="Times New Roman" w:hAnsi="Times New Roman"/>
          <w:sz w:val="11"/>
          <w:szCs w:val="11"/>
          <w:color w:val="auto"/>
        </w:rPr>
      </w:pPr>
    </w:p>
    <w:p>
      <w:pPr>
        <w:ind w:left="500" w:right="100" w:hanging="462"/>
        <w:spacing w:after="0" w:line="290" w:lineRule="auto"/>
        <w:tabs>
          <w:tab w:leader="none" w:pos="5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Working capital is net of assets and liabilities held for sale and consists of current assets of $1,420.5 million less current liabilities of $354.8 million as of September 30, 2026 and current assets of $1,171.6 million less current liabilities of $468.1 million as of December 31, 2025.</w:t>
      </w:r>
    </w:p>
    <w:p>
      <w:pPr>
        <w:ind w:left="500" w:right="240" w:hanging="462"/>
        <w:spacing w:after="0" w:line="290" w:lineRule="auto"/>
        <w:tabs>
          <w:tab w:leader="none" w:pos="5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connection with the sale of the CCS segment on January 9, 2026, on the closing date, we repaid in full all outstanding indebtedness using a portion of the proceeds from the transaction and terminated all outstanding commitments under the prior revolving credit agreement dated as of April 4, 2019. We entered into a new Revolving Credit Facility on April 7, 2026.</w:t>
      </w:r>
    </w:p>
    <w:p>
      <w:pPr>
        <w:ind w:left="500" w:hanging="462"/>
        <w:spacing w:after="0"/>
        <w:tabs>
          <w:tab w:leader="none" w:pos="5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capitalization includes stockholders’ equity (deficit) for both periods presented, and also includes long-term debt and Series A Convertible Preferred Stock (Convertible Preferred Stock) as of December 31, 2025.</w:t>
      </w:r>
    </w:p>
    <w:p>
      <w:pPr>
        <w:spacing w:after="0" w:line="15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2"/>
          <w:szCs w:val="12"/>
          <w:color w:val="auto"/>
        </w:rPr>
        <w:t>Our principal sources of liquidity on a short-term basis are cash and cash equivalents and cash flows provided by operations. On a long-term basis, our potential sources of liquidity also include raising capital through the issuance of equity and/or debt. On April 7, 2026, we entered into a revolving credit agreement providing for a Revolving Credit Facility available to the Company and certain of our U.S. subsidiaries designated as co-borrowers therein, in an aggregate principal amount of up to $300.0 million, subject to borrowing base availability. Effective July 1, 2026, in connection with the sale of the RUCKUS segment, the aggregate commitments under the Revolving Credit Facility were reduced from $300.0 million to $246.9 million, subject to applicable borrowing base limitations. For further discussion of the Revolving Credit Facility, see Note 5, Financing, in the Notes to Unaudited Condensed Consolidated Financial Statements included herein.</w:t>
      </w:r>
    </w:p>
    <w:p>
      <w:pPr>
        <w:spacing w:after="0" w:line="12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primary uses of liquidity include special distributions, working capital requirements, capital expenditures, business separation transaction costs, transformation costs, restructuring costs, litigation settlements, income tax payments, other contractual obligations and periodic repurchases of our outstanding common stock.</w:t>
      </w:r>
    </w:p>
    <w:p>
      <w:pPr>
        <w:spacing w:after="0" w:line="11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2"/>
          <w:szCs w:val="12"/>
          <w:color w:val="auto"/>
        </w:rPr>
        <w:t>We currently believe that our existing cash, cash equivalents and cash flows from operations will be sufficient to meet our presently anticipated future cash needs. However, we may be required to obtain financing in the future to address our liquidity needs, and, subject to market conditions, we may from time to time seek to amend, refinance, restructure, exchange or repurchase our outstanding indebtedness and/or raise equity or other financing. Any debt we incur in the future may have terms (including cash interest rate, financial covenants and covenants limiting our operating flexibility or ability to obtain financings) that are not favorable to us, and any such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or any future amendment, refinancing, restructuring, exchange or repurchases could have a material and adverse effect on our results of operations, cash flows, financial condition and liquidity.</w:t>
      </w:r>
    </w:p>
    <w:p>
      <w:pPr>
        <w:spacing w:after="0" w:line="125"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We may experience volatility in cash flows between periods due to, among other reasons, variability in the timing of vendor payments and customer receipts. We may, from time to time, seek to obtain alternative sources of financing, by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3" w:right="299" w:bottom="1440" w:gutter="0" w:footer="0" w:header="0"/>
        </w:sectPr>
      </w:pPr>
    </w:p>
    <w:bookmarkStart w:id="39" w:name="page40"/>
    <w:bookmarkEnd w:id="39"/>
    <w:p>
      <w:pPr>
        <w:spacing w:after="0" w:line="260" w:lineRule="auto"/>
        <w:rPr>
          <w:sz w:val="20"/>
          <w:szCs w:val="20"/>
          <w:color w:val="auto"/>
        </w:rPr>
      </w:pPr>
      <w:r>
        <w:rPr>
          <w:rFonts w:ascii="Times New Roman" w:cs="Times New Roman" w:eastAsia="Times New Roman" w:hAnsi="Times New Roman"/>
          <w:sz w:val="12"/>
          <w:szCs w:val="12"/>
          <w:color w:val="auto"/>
        </w:rPr>
        <w:t>Cash and cash equivalents decreased by $239.7 million during the nine months ended September 30, 2026 as described under the Cash Flow Overview section below. During the nine months ended September 30, 2026, we paid special cash distributions totaling $3,435.2 million, funded primarily from proceeds received from the sales of the RUCKUS and CCS segments. The distributions included distributions paid on outstanding common shares as well as dividend equivalents associated with certain equity awards that were vested during the period and contributed to the decrease in cash and cash equivalents and stockholders’ equity during the period. As of September 30, 2026, approximately 5% of our cash and cash equivalents were held outside the U.S.</w:t>
      </w:r>
    </w:p>
    <w:p>
      <w:pPr>
        <w:spacing w:after="0" w:line="122"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2"/>
          <w:szCs w:val="12"/>
          <w:color w:val="auto"/>
        </w:rPr>
        <w:t>Working capital, net of assets and liabilities held for sale and excluding cash and cash equivalents, increased during the nine months ended September 30, 2026 compared to the fourth quarter of 2025 primarily due to increases in inventory balances and prepaid expenses and a decrease in accrued and other liabilities. The net decrease in total capitalization during the nine months ended September 30, 2026 is primarily driven by the repayment of debt in connection with the sale of the CCS segment, partially offset by net income reflected for the period.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4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color w:val="auto"/>
        </w:rPr>
        <w:t>Cash Flow Overview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tcPr>
          <w:p>
            <w:pPr>
              <w:jc w:val="center"/>
              <w:ind w:left="386"/>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6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center"/>
              <w:ind w:left="386"/>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3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62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jc w:val="right"/>
              <w:ind w:right="320"/>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60" w:type="dxa"/>
            <w:vAlign w:val="bottom"/>
          </w:tcPr>
          <w:p>
            <w:pPr>
              <w:spacing w:after="0"/>
              <w:rPr>
                <w:sz w:val="7"/>
                <w:szCs w:val="7"/>
                <w:color w:val="auto"/>
              </w:rPr>
            </w:pPr>
          </w:p>
        </w:tc>
        <w:tc>
          <w:tcPr>
            <w:tcW w:w="920" w:type="dxa"/>
            <w:vAlign w:val="bottom"/>
            <w:tcBorders>
              <w:bottom w:val="single" w:sz="8" w:color="auto"/>
            </w:tcBorders>
          </w:tcPr>
          <w:p>
            <w:pPr>
              <w:jc w:val="right"/>
              <w:ind w:right="242"/>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80" w:type="dxa"/>
            <w:vAlign w:val="bottom"/>
            <w:gridSpan w:val="2"/>
          </w:tcPr>
          <w:p>
            <w:pPr>
              <w:spacing w:after="0"/>
              <w:rPr>
                <w:sz w:val="7"/>
                <w:szCs w:val="7"/>
                <w:color w:val="auto"/>
              </w:rPr>
            </w:pPr>
          </w:p>
        </w:tc>
      </w:tr>
      <w:tr>
        <w:trPr>
          <w:trHeight w:val="88"/>
        </w:trPr>
        <w:tc>
          <w:tcPr>
            <w:tcW w:w="6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91"/>
              </w:rPr>
              <w:t>(dollars</w:t>
            </w:r>
          </w:p>
        </w:tc>
        <w:tc>
          <w:tcPr>
            <w:tcW w:w="500" w:type="dxa"/>
            <w:vAlign w:val="bottom"/>
            <w:gridSpan w:val="3"/>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w w:val="87"/>
              </w:rPr>
              <w:t>in millions)</w:t>
            </w: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4"/>
        </w:trPr>
        <w:tc>
          <w:tcPr>
            <w:tcW w:w="62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Net cash generated by (used in) operating activities</w:t>
            </w:r>
          </w:p>
        </w:tc>
        <w:tc>
          <w:tcPr>
            <w:tcW w:w="240" w:type="dxa"/>
            <w:vAlign w:val="bottom"/>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2"/>
                <w:szCs w:val="12"/>
                <w:color w:val="auto"/>
              </w:rPr>
              <w:t>(356.9)</w:t>
            </w:r>
          </w:p>
        </w:tc>
        <w:tc>
          <w:tcPr>
            <w:tcW w:w="320" w:type="dxa"/>
            <w:vAlign w:val="bottom"/>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120" w:type="dxa"/>
            <w:vAlign w:val="bottom"/>
            <w:shd w:val="clear" w:color="auto" w:fill="CCECFF"/>
          </w:tcPr>
          <w:p>
            <w:pPr>
              <w:spacing w:after="0"/>
              <w:rPr>
                <w:sz w:val="12"/>
                <w:szCs w:val="12"/>
                <w:color w:val="auto"/>
              </w:rPr>
            </w:pPr>
          </w:p>
        </w:tc>
        <w:tc>
          <w:tcPr>
            <w:tcW w:w="3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shd w:val="clear" w:color="auto" w:fill="CCECFF"/>
          </w:tcPr>
          <w:p>
            <w:pPr>
              <w:jc w:val="right"/>
              <w:ind w:right="196"/>
              <w:spacing w:after="0"/>
              <w:rPr>
                <w:sz w:val="20"/>
                <w:szCs w:val="20"/>
                <w:color w:val="auto"/>
              </w:rPr>
            </w:pPr>
            <w:r>
              <w:rPr>
                <w:rFonts w:ascii="Times New Roman" w:cs="Times New Roman" w:eastAsia="Times New Roman" w:hAnsi="Times New Roman"/>
                <w:sz w:val="12"/>
                <w:szCs w:val="12"/>
                <w:color w:val="auto"/>
              </w:rPr>
              <w:t>(398.5)</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(957.9)%</w:t>
            </w:r>
          </w:p>
        </w:tc>
        <w:tc>
          <w:tcPr>
            <w:tcW w:w="120" w:type="dxa"/>
            <w:vAlign w:val="bottom"/>
          </w:tcPr>
          <w:p>
            <w:pPr>
              <w:spacing w:after="0"/>
              <w:rPr>
                <w:sz w:val="12"/>
                <w:szCs w:val="12"/>
                <w:color w:val="auto"/>
              </w:rPr>
            </w:pPr>
          </w:p>
        </w:tc>
      </w:tr>
      <w:tr>
        <w:trPr>
          <w:trHeight w:val="144"/>
        </w:trPr>
        <w:tc>
          <w:tcPr>
            <w:tcW w:w="6200" w:type="dxa"/>
            <w:vAlign w:val="bottom"/>
          </w:tcPr>
          <w:p>
            <w:pPr>
              <w:spacing w:after="0"/>
              <w:rPr>
                <w:sz w:val="20"/>
                <w:szCs w:val="20"/>
                <w:color w:val="auto"/>
              </w:rPr>
            </w:pPr>
            <w:r>
              <w:rPr>
                <w:rFonts w:ascii="Times New Roman" w:cs="Times New Roman" w:eastAsia="Times New Roman" w:hAnsi="Times New Roman"/>
                <w:sz w:val="12"/>
                <w:szCs w:val="12"/>
                <w:color w:val="auto"/>
              </w:rPr>
              <w:t>Net cash generated by investing activities</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12,407.3</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2,007.4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10,399.9</w:t>
            </w: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20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24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2"/>
                <w:szCs w:val="12"/>
                <w:color w:val="auto"/>
              </w:rPr>
              <w:t>(12,292.5)</w:t>
            </w:r>
          </w:p>
        </w:tc>
        <w:tc>
          <w:tcPr>
            <w:tcW w:w="320" w:type="dxa"/>
            <w:vAlign w:val="bottom"/>
            <w:shd w:val="clear" w:color="auto" w:fill="CCECFF"/>
          </w:tcPr>
          <w:p>
            <w:pPr>
              <w:spacing w:after="0"/>
              <w:rPr>
                <w:sz w:val="12"/>
                <w:szCs w:val="12"/>
                <w:color w:val="auto"/>
              </w:rPr>
            </w:pPr>
          </w:p>
        </w:tc>
        <w:tc>
          <w:tcPr>
            <w:tcW w:w="820" w:type="dxa"/>
            <w:vAlign w:val="bottom"/>
            <w:gridSpan w:val="3"/>
            <w:shd w:val="clear" w:color="auto" w:fill="CCECFF"/>
          </w:tcPr>
          <w:p>
            <w:pPr>
              <w:jc w:val="right"/>
              <w:ind w:right="32"/>
              <w:spacing w:after="0"/>
              <w:rPr>
                <w:sz w:val="20"/>
                <w:szCs w:val="20"/>
                <w:color w:val="auto"/>
              </w:rPr>
            </w:pPr>
            <w:r>
              <w:rPr>
                <w:rFonts w:ascii="Times New Roman" w:cs="Times New Roman" w:eastAsia="Times New Roman" w:hAnsi="Times New Roman"/>
                <w:sz w:val="12"/>
                <w:szCs w:val="12"/>
                <w:color w:val="auto"/>
              </w:rPr>
              <w:t>(2,015.9)</w:t>
            </w: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40" w:type="dxa"/>
            <w:vAlign w:val="bottom"/>
            <w:gridSpan w:val="3"/>
            <w:shd w:val="clear" w:color="auto" w:fill="CCECFF"/>
          </w:tcPr>
          <w:p>
            <w:pPr>
              <w:jc w:val="right"/>
              <w:ind w:right="196"/>
              <w:spacing w:after="0"/>
              <w:rPr>
                <w:sz w:val="20"/>
                <w:szCs w:val="20"/>
                <w:color w:val="auto"/>
              </w:rPr>
            </w:pPr>
            <w:r>
              <w:rPr>
                <w:rFonts w:ascii="Times New Roman" w:cs="Times New Roman" w:eastAsia="Times New Roman" w:hAnsi="Times New Roman"/>
                <w:sz w:val="12"/>
                <w:szCs w:val="12"/>
                <w:color w:val="auto"/>
              </w:rPr>
              <w:t>(10,276.6)</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509.8%</w:t>
            </w:r>
          </w:p>
        </w:tc>
        <w:tc>
          <w:tcPr>
            <w:tcW w:w="120" w:type="dxa"/>
            <w:vAlign w:val="bottom"/>
          </w:tcPr>
          <w:p>
            <w:pPr>
              <w:spacing w:after="0"/>
              <w:rPr>
                <w:sz w:val="12"/>
                <w:szCs w:val="12"/>
                <w:color w:val="auto"/>
              </w:rPr>
            </w:pPr>
          </w:p>
        </w:tc>
      </w:tr>
      <w:tr>
        <w:trPr>
          <w:trHeight w:val="360"/>
        </w:trPr>
        <w:tc>
          <w:tcPr>
            <w:tcW w:w="62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8"/>
        </w:trPr>
        <w:tc>
          <w:tcPr>
            <w:tcW w:w="6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3"/>
          </w:tcPr>
          <w:p>
            <w:pPr>
              <w:jc w:val="center"/>
              <w:ind w:left="163"/>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5"/>
        </w:trPr>
        <w:tc>
          <w:tcPr>
            <w:tcW w:w="6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center"/>
              <w:ind w:left="163"/>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6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jc w:val="right"/>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4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36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88"/>
        </w:trPr>
        <w:tc>
          <w:tcPr>
            <w:tcW w:w="6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3"/>
          </w:tcPr>
          <w:p>
            <w:pPr>
              <w:jc w:val="center"/>
              <w:ind w:left="163"/>
              <w:spacing w:after="0" w:line="88" w:lineRule="exact"/>
              <w:rPr>
                <w:sz w:val="20"/>
                <w:szCs w:val="20"/>
                <w:color w:val="auto"/>
              </w:rPr>
            </w:pPr>
            <w:r>
              <w:rPr>
                <w:rFonts w:ascii="Times New Roman" w:cs="Times New Roman" w:eastAsia="Times New Roman" w:hAnsi="Times New Roman"/>
                <w:sz w:val="10"/>
                <w:szCs w:val="10"/>
                <w:b w:val="1"/>
                <w:bCs w:val="1"/>
                <w:color w:val="auto"/>
                <w:w w:val="97"/>
              </w:rPr>
              <w:t>(in millions)</w:t>
            </w: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4"/>
        </w:trPr>
        <w:tc>
          <w:tcPr>
            <w:tcW w:w="62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Net income</w:t>
            </w:r>
          </w:p>
        </w:tc>
        <w:tc>
          <w:tcPr>
            <w:tcW w:w="2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5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6,833.7</w:t>
            </w:r>
          </w:p>
        </w:tc>
        <w:tc>
          <w:tcPr>
            <w:tcW w:w="320" w:type="dxa"/>
            <w:vAlign w:val="bottom"/>
            <w:tcBorders>
              <w:right w:val="single" w:sz="8" w:color="CCECFF"/>
            </w:tcBorders>
            <w:shd w:val="clear" w:color="auto" w:fill="CCECFF"/>
          </w:tcPr>
          <w:p>
            <w:pPr>
              <w:spacing w:after="0"/>
              <w:rPr>
                <w:sz w:val="12"/>
                <w:szCs w:val="12"/>
                <w:color w:val="auto"/>
              </w:rPr>
            </w:pPr>
          </w:p>
        </w:tc>
        <w:tc>
          <w:tcPr>
            <w:tcW w:w="260" w:type="dxa"/>
            <w:vAlign w:val="bottom"/>
            <w:shd w:val="clear" w:color="auto" w:fill="CCECFF"/>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924.2</w:t>
            </w:r>
          </w:p>
        </w:tc>
        <w:tc>
          <w:tcPr>
            <w:tcW w:w="120" w:type="dxa"/>
            <w:vAlign w:val="bottom"/>
            <w:shd w:val="clear" w:color="auto" w:fill="CCECFF"/>
          </w:tcPr>
          <w:p>
            <w:pPr>
              <w:spacing w:after="0"/>
              <w:rPr>
                <w:sz w:val="12"/>
                <w:szCs w:val="12"/>
                <w:color w:val="auto"/>
              </w:rPr>
            </w:pPr>
          </w:p>
        </w:tc>
      </w:tr>
      <w:tr>
        <w:trPr>
          <w:trHeight w:val="144"/>
        </w:trPr>
        <w:tc>
          <w:tcPr>
            <w:tcW w:w="6200" w:type="dxa"/>
            <w:vAlign w:val="bottom"/>
          </w:tcPr>
          <w:p>
            <w:pPr>
              <w:spacing w:after="0"/>
              <w:rPr>
                <w:sz w:val="20"/>
                <w:szCs w:val="20"/>
                <w:color w:val="auto"/>
              </w:rPr>
            </w:pPr>
            <w:r>
              <w:rPr>
                <w:rFonts w:ascii="Times New Roman" w:cs="Times New Roman" w:eastAsia="Times New Roman" w:hAnsi="Times New Roman"/>
                <w:sz w:val="12"/>
                <w:szCs w:val="12"/>
                <w:color w:val="auto"/>
              </w:rPr>
              <w:t>Adjustments to reconcile net income to net cash generated by (used in) operating activities: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20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84.7</w:t>
            </w:r>
          </w:p>
        </w:tc>
        <w:tc>
          <w:tcPr>
            <w:tcW w:w="320" w:type="dxa"/>
            <w:vAlign w:val="bottom"/>
            <w:tcBorders>
              <w:right w:val="single" w:sz="8" w:color="CCECFF"/>
            </w:tcBorders>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227.9</w:t>
            </w:r>
          </w:p>
        </w:tc>
        <w:tc>
          <w:tcPr>
            <w:tcW w:w="120" w:type="dxa"/>
            <w:vAlign w:val="bottom"/>
            <w:shd w:val="clear" w:color="auto" w:fill="CCECFF"/>
          </w:tcPr>
          <w:p>
            <w:pPr>
              <w:spacing w:after="0"/>
              <w:rPr>
                <w:sz w:val="12"/>
                <w:szCs w:val="12"/>
                <w:color w:val="auto"/>
              </w:rPr>
            </w:pPr>
          </w:p>
        </w:tc>
      </w:tr>
      <w:tr>
        <w:trPr>
          <w:trHeight w:val="144"/>
        </w:trPr>
        <w:tc>
          <w:tcPr>
            <w:tcW w:w="62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Equity-based compensation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20" w:type="dxa"/>
            <w:vAlign w:val="bottom"/>
          </w:tcPr>
          <w:p>
            <w:pPr>
              <w:spacing w:after="0"/>
              <w:rPr>
                <w:sz w:val="12"/>
                <w:szCs w:val="12"/>
                <w:color w:val="auto"/>
              </w:rPr>
            </w:pPr>
          </w:p>
        </w:tc>
      </w:tr>
      <w:tr>
        <w:trPr>
          <w:trHeight w:val="144"/>
        </w:trPr>
        <w:tc>
          <w:tcPr>
            <w:tcW w:w="620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2"/>
                <w:szCs w:val="12"/>
                <w:color w:val="auto"/>
              </w:rPr>
              <w:t>Deferred income taxes</w:t>
            </w:r>
          </w:p>
        </w:tc>
        <w:tc>
          <w:tcPr>
            <w:tcW w:w="2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1,390.8</w:t>
            </w:r>
          </w:p>
        </w:tc>
        <w:tc>
          <w:tcPr>
            <w:tcW w:w="320" w:type="dxa"/>
            <w:vAlign w:val="bottom"/>
            <w:tcBorders>
              <w:right w:val="single" w:sz="8" w:color="CCECFF"/>
            </w:tcBorders>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120" w:type="dxa"/>
            <w:vAlign w:val="bottom"/>
            <w:shd w:val="clear" w:color="auto" w:fill="CCECFF"/>
          </w:tcPr>
          <w:p>
            <w:pPr>
              <w:spacing w:after="0"/>
              <w:rPr>
                <w:sz w:val="12"/>
                <w:szCs w:val="12"/>
                <w:color w:val="auto"/>
              </w:rPr>
            </w:pPr>
          </w:p>
        </w:tc>
      </w:tr>
      <w:tr>
        <w:trPr>
          <w:trHeight w:val="144"/>
        </w:trPr>
        <w:tc>
          <w:tcPr>
            <w:tcW w:w="62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Gain on disposal of discontinued operations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(8,265.7)</w:t>
            </w:r>
          </w:p>
        </w:tc>
        <w:tc>
          <w:tcPr>
            <w:tcW w:w="260" w:type="dxa"/>
            <w:vAlign w:val="bottom"/>
          </w:tcPr>
          <w:p>
            <w:pPr>
              <w:spacing w:after="0"/>
              <w:rPr>
                <w:sz w:val="12"/>
                <w:szCs w:val="12"/>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(869.0)</w:t>
            </w:r>
          </w:p>
        </w:tc>
      </w:tr>
      <w:tr>
        <w:trPr>
          <w:trHeight w:val="144"/>
        </w:trPr>
        <w:tc>
          <w:tcPr>
            <w:tcW w:w="620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2"/>
                <w:szCs w:val="12"/>
                <w:color w:val="auto"/>
              </w:rPr>
              <w:t>Noncash write-off of unamortized debt issuance costs and original issue discount</w:t>
            </w:r>
          </w:p>
        </w:tc>
        <w:tc>
          <w:tcPr>
            <w:tcW w:w="2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101.8</w:t>
            </w:r>
          </w:p>
        </w:tc>
        <w:tc>
          <w:tcPr>
            <w:tcW w:w="320" w:type="dxa"/>
            <w:vAlign w:val="bottom"/>
            <w:tcBorders>
              <w:right w:val="single" w:sz="8" w:color="CCECFF"/>
            </w:tcBorders>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2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2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2"/>
                <w:szCs w:val="12"/>
                <w:color w:val="auto"/>
              </w:rPr>
              <w:t>Accounts receivable</w:t>
            </w:r>
          </w:p>
        </w:tc>
        <w:tc>
          <w:tcPr>
            <w:tcW w:w="2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80" w:type="dxa"/>
            <w:vAlign w:val="bottom"/>
            <w:tcBorders>
              <w:right w:val="single" w:sz="8" w:color="CCECFF"/>
            </w:tcBorders>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2"/>
                <w:szCs w:val="12"/>
                <w:color w:val="auto"/>
              </w:rPr>
              <w:t>(45.0)</w:t>
            </w:r>
          </w:p>
        </w:tc>
        <w:tc>
          <w:tcPr>
            <w:tcW w:w="260" w:type="dxa"/>
            <w:vAlign w:val="bottom"/>
            <w:shd w:val="clear" w:color="auto" w:fill="CCECFF"/>
          </w:tcPr>
          <w:p>
            <w:pPr>
              <w:spacing w:after="0"/>
              <w:rPr>
                <w:sz w:val="12"/>
                <w:szCs w:val="12"/>
                <w:color w:val="auto"/>
              </w:rPr>
            </w:pPr>
          </w:p>
        </w:tc>
        <w:tc>
          <w:tcPr>
            <w:tcW w:w="120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(347.3)</w:t>
            </w:r>
          </w:p>
        </w:tc>
      </w:tr>
      <w:tr>
        <w:trPr>
          <w:trHeight w:val="144"/>
        </w:trPr>
        <w:tc>
          <w:tcPr>
            <w:tcW w:w="62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Inventories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(159.9)</w:t>
            </w:r>
          </w:p>
        </w:tc>
        <w:tc>
          <w:tcPr>
            <w:tcW w:w="260" w:type="dxa"/>
            <w:vAlign w:val="bottom"/>
          </w:tcPr>
          <w:p>
            <w:pPr>
              <w:spacing w:after="0"/>
              <w:rPr>
                <w:sz w:val="12"/>
                <w:szCs w:val="12"/>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(67.5)</w:t>
            </w:r>
          </w:p>
        </w:tc>
      </w:tr>
      <w:tr>
        <w:trPr>
          <w:trHeight w:val="144"/>
        </w:trPr>
        <w:tc>
          <w:tcPr>
            <w:tcW w:w="6200" w:type="dxa"/>
            <w:vAlign w:val="bottom"/>
            <w:shd w:val="clear" w:color="auto" w:fill="CCECFF"/>
          </w:tcPr>
          <w:p>
            <w:pPr>
              <w:ind w:left="440"/>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2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80" w:type="dxa"/>
            <w:vAlign w:val="bottom"/>
            <w:tcBorders>
              <w:right w:val="single" w:sz="8" w:color="CCECFF"/>
            </w:tcBorders>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2"/>
                <w:szCs w:val="12"/>
                <w:color w:val="auto"/>
              </w:rPr>
              <w:t>(42.8)</w:t>
            </w:r>
          </w:p>
        </w:tc>
        <w:tc>
          <w:tcPr>
            <w:tcW w:w="260" w:type="dxa"/>
            <w:vAlign w:val="bottom"/>
            <w:shd w:val="clear" w:color="auto" w:fill="CCECFF"/>
          </w:tcPr>
          <w:p>
            <w:pPr>
              <w:spacing w:after="0"/>
              <w:rPr>
                <w:sz w:val="12"/>
                <w:szCs w:val="12"/>
                <w:color w:val="auto"/>
              </w:rPr>
            </w:pPr>
          </w:p>
        </w:tc>
        <w:tc>
          <w:tcPr>
            <w:tcW w:w="120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(148.9)</w:t>
            </w:r>
          </w:p>
        </w:tc>
      </w:tr>
      <w:tr>
        <w:trPr>
          <w:trHeight w:val="144"/>
        </w:trPr>
        <w:tc>
          <w:tcPr>
            <w:tcW w:w="62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Accounts payable and other liabilities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(292.1)</w:t>
            </w:r>
          </w:p>
        </w:tc>
        <w:tc>
          <w:tcPr>
            <w:tcW w:w="26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208.2</w:t>
            </w:r>
          </w:p>
        </w:tc>
        <w:tc>
          <w:tcPr>
            <w:tcW w:w="120" w:type="dxa"/>
            <w:vAlign w:val="bottom"/>
          </w:tcPr>
          <w:p>
            <w:pPr>
              <w:spacing w:after="0"/>
              <w:rPr>
                <w:sz w:val="12"/>
                <w:szCs w:val="12"/>
                <w:color w:val="auto"/>
              </w:rPr>
            </w:pPr>
          </w:p>
        </w:tc>
      </w:tr>
      <w:tr>
        <w:trPr>
          <w:trHeight w:val="144"/>
        </w:trPr>
        <w:tc>
          <w:tcPr>
            <w:tcW w:w="6200" w:type="dxa"/>
            <w:vAlign w:val="bottom"/>
            <w:tcBorders>
              <w:bottom w:val="single" w:sz="8" w:color="CCECFF"/>
            </w:tcBorders>
            <w:shd w:val="clear" w:color="auto" w:fill="CCECFF"/>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320" w:type="dxa"/>
            <w:vAlign w:val="bottom"/>
            <w:tcBorders>
              <w:bottom w:val="single" w:sz="8" w:color="CCECFF"/>
              <w:right w:val="single" w:sz="8" w:color="CCECFF"/>
            </w:tcBorders>
            <w:shd w:val="clear" w:color="auto" w:fill="CCECFF"/>
          </w:tcPr>
          <w:p>
            <w:pPr>
              <w:spacing w:after="0"/>
              <w:rPr>
                <w:sz w:val="12"/>
                <w:szCs w:val="12"/>
                <w:color w:val="auto"/>
              </w:rPr>
            </w:pPr>
          </w:p>
        </w:tc>
        <w:tc>
          <w:tcPr>
            <w:tcW w:w="260" w:type="dxa"/>
            <w:vAlign w:val="bottom"/>
            <w:tcBorders>
              <w:bottom w:val="single" w:sz="8" w:color="auto"/>
            </w:tcBorders>
            <w:shd w:val="clear" w:color="auto" w:fill="CCECFF"/>
          </w:tcPr>
          <w:p>
            <w:pPr>
              <w:spacing w:after="0"/>
              <w:rPr>
                <w:sz w:val="12"/>
                <w:szCs w:val="12"/>
                <w:color w:val="auto"/>
              </w:rPr>
            </w:pPr>
          </w:p>
        </w:tc>
        <w:tc>
          <w:tcPr>
            <w:tcW w:w="108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33"/>
        </w:trPr>
        <w:tc>
          <w:tcPr>
            <w:tcW w:w="62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cash generated by (used in) operating activities</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tcPr>
          <w:p>
            <w:pPr>
              <w:jc w:val="right"/>
              <w:ind w:right="25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(356.9)</w:t>
            </w: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41.6</w:t>
            </w:r>
          </w:p>
        </w:tc>
        <w:tc>
          <w:tcPr>
            <w:tcW w:w="120" w:type="dxa"/>
            <w:vAlign w:val="bottom"/>
          </w:tcPr>
          <w:p>
            <w:pPr>
              <w:spacing w:after="0"/>
              <w:rPr>
                <w:sz w:val="11"/>
                <w:szCs w:val="11"/>
                <w:color w:val="auto"/>
              </w:rPr>
            </w:pPr>
          </w:p>
        </w:tc>
      </w:tr>
      <w:tr>
        <w:trPr>
          <w:trHeight w:val="27"/>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6041390</wp:posOffset>
            </wp:positionH>
            <wp:positionV relativeFrom="paragraph">
              <wp:posOffset>-113665</wp:posOffset>
            </wp:positionV>
            <wp:extent cx="7429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-113665</wp:posOffset>
            </wp:positionV>
            <wp:extent cx="6858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During the nine months ended September 30, 2026, the increase in net cash used in operating activities compared to the prior year period was primarily driven by a higher use of cash from working capital and higher variable incentive compensation payments, partially offset by lower cash interest and cash taxes paid in the current year period compared to the prior year period.</w:t>
      </w:r>
    </w:p>
    <w:p>
      <w:pPr>
        <w:sectPr>
          <w:pgSz w:w="11900" w:h="16838" w:orient="portrait"/>
          <w:cols w:equalWidth="0" w:num="1">
            <w:col w:w="11300"/>
          </w:cols>
          <w:pgMar w:left="300" w:top="917" w:right="29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Additions to property, plant and equipment</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Proceeds from sale of property, plant and equipment</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Net proceeds from divestitures</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cash generated by investing activities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Nine Months Ended</w:t>
      </w:r>
    </w:p>
    <w:p>
      <w:pPr>
        <w:spacing w:after="0" w:line="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September 30,</w:t>
      </w:r>
    </w:p>
    <w:tbl>
      <w:tblPr>
        <w:tblLayout w:type="fixed"/>
        <w:tblInd w:w="0" w:type="dxa"/>
        <w:tblCellMar>
          <w:top w:w="0" w:type="dxa"/>
          <w:left w:w="0" w:type="dxa"/>
          <w:bottom w:w="0" w:type="dxa"/>
          <w:right w:w="0" w:type="dxa"/>
        </w:tblCellMar>
      </w:tblPr>
      <w:tr>
        <w:trPr>
          <w:trHeight w:val="88"/>
        </w:trPr>
        <w:tc>
          <w:tcPr>
            <w:tcW w:w="300" w:type="dxa"/>
            <w:vAlign w:val="bottom"/>
            <w:tcBorders>
              <w:top w:val="single" w:sz="8" w:color="auto"/>
              <w:bottom w:val="single" w:sz="8" w:color="auto"/>
            </w:tcBorders>
          </w:tcPr>
          <w:p>
            <w:pPr>
              <w:spacing w:after="0"/>
              <w:rPr>
                <w:sz w:val="7"/>
                <w:szCs w:val="7"/>
                <w:color w:val="auto"/>
              </w:rPr>
            </w:pPr>
          </w:p>
        </w:tc>
        <w:tc>
          <w:tcPr>
            <w:tcW w:w="1020" w:type="dxa"/>
            <w:vAlign w:val="bottom"/>
            <w:tcBorders>
              <w:top w:val="single" w:sz="8" w:color="auto"/>
              <w:bottom w:val="single" w:sz="8" w:color="auto"/>
            </w:tcBorders>
          </w:tcPr>
          <w:p>
            <w:pPr>
              <w:jc w:val="right"/>
              <w:ind w:right="524"/>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00" w:type="dxa"/>
            <w:vAlign w:val="bottom"/>
            <w:tcBorders>
              <w:top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spacing w:after="0"/>
              <w:rPr>
                <w:sz w:val="7"/>
                <w:szCs w:val="7"/>
                <w:color w:val="auto"/>
              </w:rPr>
            </w:pPr>
          </w:p>
        </w:tc>
        <w:tc>
          <w:tcPr>
            <w:tcW w:w="1020" w:type="dxa"/>
            <w:vAlign w:val="bottom"/>
            <w:tcBorders>
              <w:top w:val="single" w:sz="8" w:color="auto"/>
              <w:bottom w:val="single" w:sz="8" w:color="auto"/>
            </w:tcBorders>
          </w:tcPr>
          <w:p>
            <w:pPr>
              <w:jc w:val="right"/>
              <w:ind w:right="52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Pr>
          <w:p>
            <w:pPr>
              <w:spacing w:after="0"/>
              <w:rPr>
                <w:sz w:val="7"/>
                <w:szCs w:val="7"/>
                <w:color w:val="auto"/>
              </w:rPr>
            </w:pPr>
          </w:p>
        </w:tc>
      </w:tr>
      <w:tr>
        <w:trPr>
          <w:trHeight w:val="77"/>
        </w:trPr>
        <w:tc>
          <w:tcPr>
            <w:tcW w:w="300" w:type="dxa"/>
            <w:vAlign w:val="bottom"/>
          </w:tcPr>
          <w:p>
            <w:pPr>
              <w:spacing w:after="0"/>
              <w:rPr>
                <w:sz w:val="6"/>
                <w:szCs w:val="6"/>
                <w:color w:val="auto"/>
              </w:rPr>
            </w:pPr>
          </w:p>
        </w:tc>
        <w:tc>
          <w:tcPr>
            <w:tcW w:w="1660" w:type="dxa"/>
            <w:vAlign w:val="bottom"/>
            <w:gridSpan w:val="3"/>
          </w:tcPr>
          <w:p>
            <w:pPr>
              <w:jc w:val="right"/>
              <w:ind w:right="166"/>
              <w:spacing w:after="0" w:line="78" w:lineRule="exact"/>
              <w:rPr>
                <w:sz w:val="20"/>
                <w:szCs w:val="20"/>
                <w:color w:val="auto"/>
              </w:rPr>
            </w:pPr>
            <w:r>
              <w:rPr>
                <w:rFonts w:ascii="Times New Roman" w:cs="Times New Roman" w:eastAsia="Times New Roman" w:hAnsi="Times New Roman"/>
                <w:sz w:val="8"/>
                <w:szCs w:val="8"/>
                <w:b w:val="1"/>
                <w:bCs w:val="1"/>
                <w:color w:val="auto"/>
              </w:rPr>
              <w:t>(in millions)</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44"/>
        </w:trPr>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(4.4)</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(44.5)</w:t>
            </w:r>
          </w:p>
        </w:tc>
      </w:tr>
      <w:tr>
        <w:trPr>
          <w:trHeight w:val="144"/>
        </w:trPr>
        <w:tc>
          <w:tcPr>
            <w:tcW w:w="300" w:type="dxa"/>
            <w:vAlign w:val="bottom"/>
          </w:tcPr>
          <w:p>
            <w:pPr>
              <w:spacing w:after="0"/>
              <w:rPr>
                <w:sz w:val="12"/>
                <w:szCs w:val="12"/>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4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12,409.8</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2,041.9</w:t>
            </w:r>
          </w:p>
        </w:tc>
        <w:tc>
          <w:tcPr>
            <w:tcW w:w="40" w:type="dxa"/>
            <w:vAlign w:val="bottom"/>
          </w:tcPr>
          <w:p>
            <w:pPr>
              <w:spacing w:after="0"/>
              <w:rPr>
                <w:sz w:val="12"/>
                <w:szCs w:val="12"/>
                <w:color w:val="auto"/>
              </w:rPr>
            </w:pPr>
          </w:p>
        </w:tc>
      </w:tr>
      <w:tr>
        <w:trPr>
          <w:trHeight w:val="155"/>
        </w:trPr>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12,407.3</w:t>
            </w:r>
          </w:p>
        </w:tc>
        <w:tc>
          <w:tcPr>
            <w:tcW w:w="3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2,007.4</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-5211445</wp:posOffset>
            </wp:positionH>
            <wp:positionV relativeFrom="paragraph">
              <wp:posOffset>-479425</wp:posOffset>
            </wp:positionV>
            <wp:extent cx="7178040" cy="914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-5211445</wp:posOffset>
            </wp:positionH>
            <wp:positionV relativeFrom="paragraph">
              <wp:posOffset>-296545</wp:posOffset>
            </wp:positionV>
            <wp:extent cx="7178040" cy="914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-5211445</wp:posOffset>
            </wp:positionH>
            <wp:positionV relativeFrom="paragraph">
              <wp:posOffset>-107950</wp:posOffset>
            </wp:positionV>
            <wp:extent cx="7178040" cy="1085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7480" w:space="720"/>
            <w:col w:w="3100"/>
          </w:cols>
          <w:pgMar w:left="300" w:top="917" w:right="299" w:bottom="1440" w:gutter="0" w:footer="0" w:header="0"/>
          <w:type w:val="continuous"/>
        </w:sectPr>
      </w:pPr>
    </w:p>
    <w:p>
      <w:pPr>
        <w:ind w:right="260"/>
        <w:spacing w:after="0" w:line="260" w:lineRule="auto"/>
        <w:rPr>
          <w:sz w:val="20"/>
          <w:szCs w:val="20"/>
          <w:color w:val="auto"/>
        </w:rPr>
      </w:pPr>
      <w:r>
        <w:rPr>
          <w:rFonts w:ascii="Times New Roman" w:cs="Times New Roman" w:eastAsia="Times New Roman" w:hAnsi="Times New Roman"/>
          <w:sz w:val="12"/>
          <w:szCs w:val="12"/>
          <w:color w:val="auto"/>
        </w:rPr>
        <w:t>During the nine months ended September 30, 2026, the increase in cash generated by investing activities compared to the prior year period was primarily driven by $10,540.2 million of net proceeds related to the sale of the CCS segment to Amphenol and $1,869.6 million of net proceeds related to the sale of the RUCKUS segment to Belden in the current year period compared to net proceeds of $2,034.5 million related to the sale of the OWN segment and DAS business unit and $7.4 million related to the sale of the OneCell business to Amphenol in the prior year period. The net cash generated by investing activities also benefited from favorable impacts due to decreased capital expenditures of $40.1 million compared to the prior year period.</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7" w:right="299" w:bottom="1440" w:gutter="0" w:footer="0" w:header="0"/>
          <w:type w:val="continuous"/>
        </w:sectPr>
      </w:pPr>
    </w:p>
    <w:bookmarkStart w:id="41" w:name="page42"/>
    <w:bookmarkEnd w:id="41"/>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49"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40" w:type="dxa"/>
            <w:vAlign w:val="bottom"/>
            <w:gridSpan w:val="3"/>
          </w:tcPr>
          <w:p>
            <w:pPr>
              <w:jc w:val="center"/>
              <w:ind w:left="83"/>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82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center"/>
              <w:ind w:left="83"/>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8200" w:type="dxa"/>
            <w:vAlign w:val="bottom"/>
          </w:tcPr>
          <w:p>
            <w:pPr>
              <w:spacing w:after="0"/>
              <w:rPr>
                <w:sz w:val="7"/>
                <w:szCs w:val="7"/>
                <w:color w:val="auto"/>
              </w:rPr>
            </w:pPr>
          </w:p>
        </w:tc>
        <w:tc>
          <w:tcPr>
            <w:tcW w:w="800" w:type="dxa"/>
            <w:vAlign w:val="bottom"/>
            <w:tcBorders>
              <w:bottom w:val="single" w:sz="8" w:color="auto"/>
            </w:tcBorders>
          </w:tcPr>
          <w:p>
            <w:pPr>
              <w:jc w:val="right"/>
              <w:ind w:right="8"/>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5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jc w:val="right"/>
              <w:ind w:right="521"/>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88"/>
        </w:trPr>
        <w:tc>
          <w:tcPr>
            <w:tcW w:w="8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40" w:type="dxa"/>
            <w:vAlign w:val="bottom"/>
            <w:gridSpan w:val="3"/>
          </w:tcPr>
          <w:p>
            <w:pPr>
              <w:jc w:val="center"/>
              <w:ind w:left="83"/>
              <w:spacing w:after="0" w:line="88" w:lineRule="exact"/>
              <w:rPr>
                <w:sz w:val="20"/>
                <w:szCs w:val="20"/>
                <w:color w:val="auto"/>
              </w:rPr>
            </w:pPr>
            <w:r>
              <w:rPr>
                <w:rFonts w:ascii="Times New Roman" w:cs="Times New Roman" w:eastAsia="Times New Roman" w:hAnsi="Times New Roman"/>
                <w:sz w:val="10"/>
                <w:szCs w:val="10"/>
                <w:b w:val="1"/>
                <w:bCs w:val="1"/>
                <w:color w:val="auto"/>
                <w:w w:val="97"/>
              </w:rPr>
              <w:t>(in millions)</w:t>
            </w: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4"/>
        </w:trPr>
        <w:tc>
          <w:tcPr>
            <w:tcW w:w="82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Long-term debt repaid</w:t>
            </w:r>
          </w:p>
        </w:tc>
        <w:tc>
          <w:tcPr>
            <w:tcW w:w="800" w:type="dxa"/>
            <w:vAlign w:val="bottom"/>
            <w:shd w:val="clear" w:color="auto" w:fill="CCECFF"/>
          </w:tcPr>
          <w:p>
            <w:pPr>
              <w:jc w:val="right"/>
              <w:ind w:right="68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(7,370.8)</w:t>
            </w:r>
          </w:p>
        </w:tc>
        <w:tc>
          <w:tcPr>
            <w:tcW w:w="420" w:type="dxa"/>
            <w:vAlign w:val="bottom"/>
            <w:shd w:val="clear" w:color="auto" w:fill="CCEC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(2,049.0)</w:t>
            </w:r>
          </w:p>
        </w:tc>
      </w:tr>
      <w:tr>
        <w:trPr>
          <w:trHeight w:val="144"/>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Long-term debt proceeds</w:t>
            </w:r>
          </w:p>
        </w:tc>
        <w:tc>
          <w:tcPr>
            <w:tcW w:w="80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Pr>
          <w:p>
            <w:pPr>
              <w:spacing w:after="0"/>
              <w:rPr>
                <w:sz w:val="12"/>
                <w:szCs w:val="12"/>
                <w:color w:val="auto"/>
              </w:rPr>
            </w:pPr>
          </w:p>
        </w:tc>
      </w:tr>
      <w:tr>
        <w:trPr>
          <w:trHeight w:val="144"/>
        </w:trPr>
        <w:tc>
          <w:tcPr>
            <w:tcW w:w="82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Debt issuance costs</w:t>
            </w:r>
          </w:p>
        </w:tc>
        <w:tc>
          <w:tcPr>
            <w:tcW w:w="8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(3.3)</w:t>
            </w:r>
          </w:p>
        </w:tc>
        <w:tc>
          <w:tcPr>
            <w:tcW w:w="42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2"/>
                <w:szCs w:val="12"/>
                <w:color w:val="auto"/>
              </w:rPr>
              <w:t>(5.7)</w:t>
            </w:r>
          </w:p>
        </w:tc>
      </w:tr>
      <w:tr>
        <w:trPr>
          <w:trHeight w:val="144"/>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Redemption of Series A convertible preferred stock</w:t>
            </w:r>
          </w:p>
        </w:tc>
        <w:tc>
          <w:tcPr>
            <w:tcW w:w="80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(1,278.7)</w:t>
            </w:r>
          </w:p>
        </w:tc>
        <w:tc>
          <w:tcPr>
            <w:tcW w:w="42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2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Special distributions paid to common stockholders</w:t>
            </w:r>
          </w:p>
        </w:tc>
        <w:tc>
          <w:tcPr>
            <w:tcW w:w="8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(3,435.2)</w:t>
            </w:r>
          </w:p>
        </w:tc>
        <w:tc>
          <w:tcPr>
            <w:tcW w:w="42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Dividends paid on Series A convertible preferred stock</w:t>
            </w:r>
          </w:p>
        </w:tc>
        <w:tc>
          <w:tcPr>
            <w:tcW w:w="80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(1.7)</w:t>
            </w:r>
          </w:p>
        </w:tc>
        <w:tc>
          <w:tcPr>
            <w:tcW w:w="42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8200" w:type="dxa"/>
            <w:vAlign w:val="bottom"/>
            <w:shd w:val="clear" w:color="auto" w:fill="CCECFF"/>
          </w:tcPr>
          <w:p>
            <w:pPr>
              <w:ind w:left="140"/>
              <w:spacing w:after="0" w:line="133" w:lineRule="exact"/>
              <w:rPr>
                <w:sz w:val="20"/>
                <w:szCs w:val="20"/>
                <w:color w:val="auto"/>
              </w:rPr>
            </w:pPr>
            <w:r>
              <w:rPr>
                <w:rFonts w:ascii="Times New Roman" w:cs="Times New Roman" w:eastAsia="Times New Roman" w:hAnsi="Times New Roman"/>
                <w:sz w:val="12"/>
                <w:szCs w:val="12"/>
                <w:color w:val="auto"/>
              </w:rPr>
              <w:t>Proceeds from the issuance of common shares under</w:t>
            </w:r>
          </w:p>
        </w:tc>
        <w:tc>
          <w:tcPr>
            <w:tcW w:w="80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55"/>
        </w:trPr>
        <w:tc>
          <w:tcPr>
            <w:tcW w:w="82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2"/>
                <w:szCs w:val="12"/>
                <w:color w:val="auto"/>
              </w:rPr>
              <w:t>equity-based compensation plans</w:t>
            </w:r>
          </w:p>
        </w:tc>
        <w:tc>
          <w:tcPr>
            <w:tcW w:w="80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30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Tax withholding payments for vested equity-based compensation awards</w:t>
            </w:r>
          </w:p>
        </w:tc>
        <w:tc>
          <w:tcPr>
            <w:tcW w:w="80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(47.7)</w:t>
            </w:r>
          </w:p>
        </w:tc>
        <w:tc>
          <w:tcPr>
            <w:tcW w:w="42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82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80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2"/>
                <w:szCs w:val="12"/>
                <w:color w:val="auto"/>
              </w:rPr>
              <w:t>(157.0)</w:t>
            </w:r>
          </w:p>
        </w:tc>
        <w:tc>
          <w:tcPr>
            <w:tcW w:w="42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8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82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800" w:type="dxa"/>
            <w:vAlign w:val="bottom"/>
          </w:tcPr>
          <w:p>
            <w:pPr>
              <w:jc w:val="right"/>
              <w:ind w:right="68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(12,292.5)</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(2,015.9)</w:t>
            </w:r>
          </w:p>
        </w:tc>
      </w:tr>
      <w:tr>
        <w:trPr>
          <w:trHeight w:val="27"/>
        </w:trPr>
        <w:tc>
          <w:tcPr>
            <w:tcW w:w="8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33" w:lineRule="exact"/>
        <w:rPr>
          <w:sz w:val="20"/>
          <w:szCs w:val="20"/>
          <w:color w:val="auto"/>
        </w:rPr>
      </w:pPr>
    </w:p>
    <w:p>
      <w:pPr>
        <w:jc w:val="both"/>
        <w:ind w:left="8" w:right="20"/>
        <w:spacing w:after="0" w:line="283" w:lineRule="auto"/>
        <w:rPr>
          <w:sz w:val="20"/>
          <w:szCs w:val="20"/>
          <w:color w:val="auto"/>
        </w:rPr>
      </w:pPr>
      <w:r>
        <w:rPr>
          <w:rFonts w:ascii="Times New Roman" w:cs="Times New Roman" w:eastAsia="Times New Roman" w:hAnsi="Times New Roman"/>
          <w:sz w:val="11"/>
          <w:szCs w:val="11"/>
          <w:color w:val="auto"/>
        </w:rPr>
        <w:t>During the nine months ended September 30, 2026, in connection with sale of the CCS segment, we repaid in full all outstanding indebtedness using a portion of the proceeds from the transaction which included repayment of our then-existing 2029 Term Loan in an aggregate outstanding principal amount of $3,150 million and the redemption of all outstanding Notes including (1) $1,000.0 million in outstanding aggregate principal amount of the 2031 Secured Notes,</w:t>
      </w:r>
    </w:p>
    <w:p>
      <w:pPr>
        <w:spacing w:after="0" w:line="1" w:lineRule="exact"/>
        <w:rPr>
          <w:sz w:val="20"/>
          <w:szCs w:val="20"/>
          <w:color w:val="auto"/>
        </w:rPr>
      </w:pPr>
    </w:p>
    <w:p>
      <w:pPr>
        <w:jc w:val="both"/>
        <w:ind w:left="8" w:right="80" w:hanging="8"/>
        <w:spacing w:after="0" w:line="255" w:lineRule="auto"/>
        <w:tabs>
          <w:tab w:leader="none" w:pos="17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$951.0 million in outstanding aggregate principal amount of the 2029 Secured Notes, (3) $641.6 million in outstanding aggregate principal amount of the 2028 Notes, (4) $866.9 million in outstanding aggregate principal amount of the 8.25% 2027 Notes and (5) $750.0 million in outstanding aggregate principal amount of the 5.00% 2027 Notes. We also recorded a loss of $11.3 million on the extinguishment of debt for the nine months ended September 30, 2026. In addition, on the closing date, we paid $1,278.7 million of cash to redeem 100% of the Convertible Preferred Stock.</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During the nine months ended September 30, 2025, we repurchased $299.0 million in aggregate principal amount of our 2029 Secured Notes and repurchased in full the $1,500.0 million outstanding amount of our 2026 Secured Notes.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also borrowed $50.0 million and repaid $250.0 million of outstanding borrowings under our Prior Revolving Credit Facility during the nine months ended September 30, 2025.</w:t>
      </w:r>
    </w:p>
    <w:p>
      <w:pPr>
        <w:spacing w:after="0" w:line="139" w:lineRule="exact"/>
        <w:rPr>
          <w:sz w:val="20"/>
          <w:szCs w:val="20"/>
          <w:color w:val="auto"/>
        </w:rPr>
      </w:pPr>
    </w:p>
    <w:p>
      <w:pPr>
        <w:ind w:left="8" w:right="500"/>
        <w:spacing w:after="0" w:line="279" w:lineRule="auto"/>
        <w:rPr>
          <w:sz w:val="20"/>
          <w:szCs w:val="20"/>
          <w:color w:val="auto"/>
        </w:rPr>
      </w:pPr>
      <w:r>
        <w:rPr>
          <w:rFonts w:ascii="Times New Roman" w:cs="Times New Roman" w:eastAsia="Times New Roman" w:hAnsi="Times New Roman"/>
          <w:sz w:val="12"/>
          <w:szCs w:val="12"/>
          <w:color w:val="auto"/>
        </w:rPr>
        <w:t>During the nine months ended September 30, 2026, we paid approximately $3.3 million of upfront fees and expenses in connection with the new Revolving Credit Facility. In connection with the debt refinancing completed in December 2024, we paid $5.7 million of debt issuance costs during the nine months ended September 30, 2025.</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During the nine months ended September 30, 2026, we paid special cash distributions of $3,435.2 million, which were funded from proceeds generated from the sales of the RUCKUS and CCS segments.</w:t>
      </w:r>
    </w:p>
    <w:p>
      <w:pPr>
        <w:spacing w:after="0" w:line="150" w:lineRule="exact"/>
        <w:rPr>
          <w:sz w:val="20"/>
          <w:szCs w:val="20"/>
          <w:color w:val="auto"/>
        </w:rPr>
      </w:pPr>
    </w:p>
    <w:p>
      <w:pPr>
        <w:ind w:left="8" w:right="180"/>
        <w:spacing w:after="0" w:line="327" w:lineRule="auto"/>
        <w:rPr>
          <w:sz w:val="20"/>
          <w:szCs w:val="20"/>
          <w:color w:val="auto"/>
        </w:rPr>
      </w:pPr>
      <w:r>
        <w:rPr>
          <w:rFonts w:ascii="Times New Roman" w:cs="Times New Roman" w:eastAsia="Times New Roman" w:hAnsi="Times New Roman"/>
          <w:sz w:val="11"/>
          <w:szCs w:val="11"/>
          <w:color w:val="auto"/>
        </w:rPr>
        <w:t>During the nine months ended September 30, 2026, we received proceeds of $1.9 million related to the exercise of stock options. In addition, during the nine months ended September 30, 2026, employees surrendered shares of our common stock to satisfy their tax withholding requirements on vested restricted stock units (RSUs) and performance share units (PSUs), which reduced cash flows by $47.7 million compared to $11.2 million in the prior year period.</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17" w:right="299" w:bottom="1440" w:gutter="0" w:footer="0" w:header="0"/>
        </w:sectPr>
      </w:pPr>
    </w:p>
    <w:bookmarkStart w:id="42" w:name="page43"/>
    <w:bookmarkEnd w:id="42"/>
    <w:p>
      <w:pPr>
        <w:ind w:left="8"/>
        <w:spacing w:after="0"/>
        <w:rPr>
          <w:sz w:val="20"/>
          <w:szCs w:val="20"/>
          <w:color w:val="auto"/>
        </w:rPr>
      </w:pPr>
      <w:r>
        <w:rPr>
          <w:rFonts w:ascii="Times New Roman" w:cs="Times New Roman" w:eastAsia="Times New Roman" w:hAnsi="Times New Roman"/>
          <w:sz w:val="12"/>
          <w:szCs w:val="12"/>
          <w:b w:val="1"/>
          <w:bCs w:val="1"/>
          <w:color w:val="auto"/>
        </w:rPr>
        <w:t>Reconciliation of Non-GAAP Measures</w:t>
      </w:r>
    </w:p>
    <w:p>
      <w:pPr>
        <w:spacing w:after="0" w:line="82"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recurring business. We also use certain of these financial measures for business planning purposes and in measuring our performance relative to that of our competitors.</w:t>
      </w:r>
    </w:p>
    <w:p>
      <w:pPr>
        <w:spacing w:after="0" w:line="119"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spacing w:after="0" w:line="119"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We also believe presenting these non-GAAP results for the twelve months ended September 30, 2026 provides an additional tool for assessing our recent performance. Such amounts are unaudited and are derived by subtracting the data for the nine months ended September 30, 2025 from the data for the year ended December 31, 2025 and then adding the data for the nine months ended September 30, 2026.</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Consolidated</w:t>
      </w:r>
    </w:p>
    <w:tbl>
      <w:tblPr>
        <w:tblLayout w:type="fixed"/>
        <w:tblInd w:w="8" w:type="dxa"/>
        <w:tblCellMar>
          <w:top w:w="0" w:type="dxa"/>
          <w:left w:w="0" w:type="dxa"/>
          <w:bottom w:w="0" w:type="dxa"/>
          <w:right w:w="0" w:type="dxa"/>
        </w:tblCellMar>
      </w:tblPr>
      <w:tr>
        <w:trPr>
          <w:trHeight w:val="103"/>
        </w:trPr>
        <w:tc>
          <w:tcPr>
            <w:tcW w:w="4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gridSpan w:val="3"/>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5"/>
              </w:rPr>
              <w:t>Three Months</w:t>
            </w: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3"/>
          </w:tcPr>
          <w:p>
            <w:pPr>
              <w:jc w:val="center"/>
              <w:ind w:left="385"/>
              <w:spacing w:after="0" w:line="104" w:lineRule="exact"/>
              <w:rPr>
                <w:sz w:val="20"/>
                <w:szCs w:val="20"/>
                <w:color w:val="auto"/>
              </w:rPr>
            </w:pPr>
            <w:r>
              <w:rPr>
                <w:rFonts w:ascii="Times New Roman" w:cs="Times New Roman" w:eastAsia="Times New Roman" w:hAnsi="Times New Roman"/>
                <w:sz w:val="10"/>
                <w:szCs w:val="10"/>
                <w:b w:val="1"/>
                <w:bCs w:val="1"/>
                <w:color w:val="auto"/>
                <w:w w:val="97"/>
              </w:rPr>
              <w:t>Nine Months</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tcPr>
          <w:p>
            <w:pPr>
              <w:jc w:val="center"/>
              <w:ind w:right="420"/>
              <w:spacing w:after="0" w:line="104" w:lineRule="exact"/>
              <w:rPr>
                <w:sz w:val="20"/>
                <w:szCs w:val="20"/>
                <w:color w:val="auto"/>
              </w:rPr>
            </w:pPr>
            <w:r>
              <w:rPr>
                <w:rFonts w:ascii="Times New Roman" w:cs="Times New Roman" w:eastAsia="Times New Roman" w:hAnsi="Times New Roman"/>
                <w:sz w:val="10"/>
                <w:szCs w:val="10"/>
                <w:b w:val="1"/>
                <w:bCs w:val="1"/>
                <w:color w:val="auto"/>
              </w:rPr>
              <w:t>Year</w:t>
            </w:r>
          </w:p>
        </w:tc>
        <w:tc>
          <w:tcPr>
            <w:tcW w:w="140" w:type="dxa"/>
            <w:vAlign w:val="bottom"/>
          </w:tcPr>
          <w:p>
            <w:pPr>
              <w:spacing w:after="0"/>
              <w:rPr>
                <w:sz w:val="8"/>
                <w:szCs w:val="8"/>
                <w:color w:val="auto"/>
              </w:rPr>
            </w:pPr>
          </w:p>
        </w:tc>
        <w:tc>
          <w:tcPr>
            <w:tcW w:w="106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w w:val="97"/>
              </w:rPr>
              <w:t>Twelve Months</w:t>
            </w:r>
          </w:p>
        </w:tc>
      </w:tr>
      <w:tr>
        <w:trPr>
          <w:trHeight w:val="99"/>
        </w:trPr>
        <w:tc>
          <w:tcPr>
            <w:tcW w:w="4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gridSpan w:val="2"/>
          </w:tcPr>
          <w:p>
            <w:pPr>
              <w:jc w:val="center"/>
              <w:ind w:left="165"/>
              <w:spacing w:after="0" w:line="99" w:lineRule="exact"/>
              <w:rPr>
                <w:sz w:val="20"/>
                <w:szCs w:val="20"/>
                <w:color w:val="auto"/>
              </w:rPr>
            </w:pPr>
            <w:r>
              <w:rPr>
                <w:rFonts w:ascii="Times New Roman" w:cs="Times New Roman" w:eastAsia="Times New Roman" w:hAnsi="Times New Roman"/>
                <w:sz w:val="10"/>
                <w:szCs w:val="10"/>
                <w:b w:val="1"/>
                <w:bCs w:val="1"/>
                <w:color w:val="auto"/>
                <w:w w:val="93"/>
              </w:rPr>
              <w:t>Ended</w:t>
            </w: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gridSpan w:val="2"/>
          </w:tcPr>
          <w:p>
            <w:pPr>
              <w:jc w:val="center"/>
              <w:ind w:right="108"/>
              <w:spacing w:after="0" w:line="99" w:lineRule="exact"/>
              <w:rPr>
                <w:sz w:val="20"/>
                <w:szCs w:val="20"/>
                <w:color w:val="auto"/>
              </w:rPr>
            </w:pPr>
            <w:r>
              <w:rPr>
                <w:rFonts w:ascii="Times New Roman" w:cs="Times New Roman" w:eastAsia="Times New Roman" w:hAnsi="Times New Roman"/>
                <w:sz w:val="10"/>
                <w:szCs w:val="10"/>
                <w:b w:val="1"/>
                <w:bCs w:val="1"/>
                <w:color w:val="auto"/>
                <w:w w:val="93"/>
              </w:rPr>
              <w:t>Ended</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3"/>
              </w:rPr>
              <w:t>Ended</w:t>
            </w:r>
          </w:p>
        </w:tc>
        <w:tc>
          <w:tcPr>
            <w:tcW w:w="140" w:type="dxa"/>
            <w:vAlign w:val="bottom"/>
          </w:tcPr>
          <w:p>
            <w:pPr>
              <w:spacing w:after="0"/>
              <w:rPr>
                <w:sz w:val="8"/>
                <w:szCs w:val="8"/>
                <w:color w:val="auto"/>
              </w:rPr>
            </w:pPr>
          </w:p>
        </w:tc>
        <w:tc>
          <w:tcPr>
            <w:tcW w:w="106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rPr>
              <w:t>Ended</w:t>
            </w:r>
          </w:p>
        </w:tc>
      </w:tr>
      <w:tr>
        <w:trPr>
          <w:trHeight w:val="115"/>
        </w:trPr>
        <w:tc>
          <w:tcPr>
            <w:tcW w:w="45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5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center"/>
              <w:ind w:left="385"/>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40" w:type="dxa"/>
            <w:vAlign w:val="bottom"/>
          </w:tcPr>
          <w:p>
            <w:pPr>
              <w:spacing w:after="0"/>
              <w:rPr>
                <w:sz w:val="10"/>
                <w:szCs w:val="1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r>
      <w:tr>
        <w:trPr>
          <w:trHeight w:val="88"/>
        </w:trPr>
        <w:tc>
          <w:tcPr>
            <w:tcW w:w="4580" w:type="dxa"/>
            <w:vAlign w:val="bottom"/>
          </w:tcPr>
          <w:p>
            <w:pPr>
              <w:spacing w:after="0"/>
              <w:rPr>
                <w:sz w:val="7"/>
                <w:szCs w:val="7"/>
                <w:color w:val="auto"/>
              </w:rPr>
            </w:pPr>
          </w:p>
        </w:tc>
        <w:tc>
          <w:tcPr>
            <w:tcW w:w="4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2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204"/>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2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45"/>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2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04"/>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center"/>
              <w:ind w:right="125"/>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2025</w:t>
            </w: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jc w:val="center"/>
              <w:ind w:right="85"/>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2026</w:t>
            </w:r>
          </w:p>
        </w:tc>
        <w:tc>
          <w:tcPr>
            <w:tcW w:w="120" w:type="dxa"/>
            <w:vAlign w:val="bottom"/>
          </w:tcPr>
          <w:p>
            <w:pPr>
              <w:spacing w:after="0"/>
              <w:rPr>
                <w:sz w:val="7"/>
                <w:szCs w:val="7"/>
                <w:color w:val="auto"/>
              </w:rPr>
            </w:pPr>
          </w:p>
        </w:tc>
      </w:tr>
      <w:tr>
        <w:trPr>
          <w:trHeight w:val="88"/>
        </w:trPr>
        <w:tc>
          <w:tcPr>
            <w:tcW w:w="4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gridSpan w:val="2"/>
          </w:tcPr>
          <w:p>
            <w:pPr>
              <w:jc w:val="right"/>
              <w:ind w:right="304"/>
              <w:spacing w:after="0" w:line="88" w:lineRule="exact"/>
              <w:rPr>
                <w:sz w:val="20"/>
                <w:szCs w:val="20"/>
                <w:color w:val="auto"/>
              </w:rPr>
            </w:pPr>
            <w:r>
              <w:rPr>
                <w:rFonts w:ascii="Times New Roman" w:cs="Times New Roman" w:eastAsia="Times New Roman" w:hAnsi="Times New Roman"/>
                <w:sz w:val="10"/>
                <w:szCs w:val="10"/>
                <w:b w:val="1"/>
                <w:bCs w:val="1"/>
                <w:color w:val="auto"/>
              </w:rPr>
              <w:t>(in millions)</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35"/>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Income (loss) from continuing operations</w:t>
            </w:r>
          </w:p>
        </w:tc>
        <w:tc>
          <w:tcPr>
            <w:tcW w:w="480" w:type="dxa"/>
            <w:vAlign w:val="bottom"/>
            <w:shd w:val="clear" w:color="auto" w:fill="CCEC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260" w:type="dxa"/>
            <w:vAlign w:val="bottom"/>
            <w:shd w:val="clear" w:color="auto" w:fill="CCECFF"/>
          </w:tcPr>
          <w:p>
            <w:pPr>
              <w:spacing w:after="0"/>
              <w:rPr>
                <w:sz w:val="11"/>
                <w:szCs w:val="11"/>
                <w:color w:val="auto"/>
              </w:rPr>
            </w:pPr>
          </w:p>
        </w:tc>
        <w:tc>
          <w:tcPr>
            <w:tcW w:w="180" w:type="dxa"/>
            <w:vAlign w:val="bottom"/>
            <w:shd w:val="clear" w:color="auto" w:fill="CCEC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(18.9)</w:t>
            </w:r>
          </w:p>
        </w:tc>
        <w:tc>
          <w:tcPr>
            <w:tcW w:w="180" w:type="dxa"/>
            <w:vAlign w:val="bottom"/>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97.4</w:t>
            </w:r>
          </w:p>
        </w:tc>
        <w:tc>
          <w:tcPr>
            <w:tcW w:w="540" w:type="dxa"/>
            <w:vAlign w:val="bottom"/>
            <w:tcBorders>
              <w:left w:val="single" w:sz="8" w:color="CCECFF"/>
            </w:tcBorders>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319.5</w:t>
            </w:r>
          </w:p>
        </w:tc>
        <w:tc>
          <w:tcPr>
            <w:tcW w:w="120" w:type="dxa"/>
            <w:vAlign w:val="bottom"/>
            <w:shd w:val="clear" w:color="auto" w:fill="CCECFF"/>
          </w:tcPr>
          <w:p>
            <w:pPr>
              <w:spacing w:after="0"/>
              <w:rPr>
                <w:sz w:val="11"/>
                <w:szCs w:val="11"/>
                <w:color w:val="auto"/>
              </w:rPr>
            </w:pPr>
          </w:p>
        </w:tc>
        <w:tc>
          <w:tcPr>
            <w:tcW w:w="3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266.2</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120" w:type="dxa"/>
            <w:vAlign w:val="bottom"/>
            <w:shd w:val="clear" w:color="auto" w:fill="CCECFF"/>
          </w:tcPr>
          <w:p>
            <w:pPr>
              <w:spacing w:after="0"/>
              <w:rPr>
                <w:sz w:val="11"/>
                <w:szCs w:val="11"/>
                <w:color w:val="auto"/>
              </w:rPr>
            </w:pPr>
          </w:p>
        </w:tc>
      </w:tr>
      <w:tr>
        <w:trPr>
          <w:trHeight w:val="135"/>
        </w:trPr>
        <w:tc>
          <w:tcPr>
            <w:tcW w:w="4580" w:type="dxa"/>
            <w:vAlign w:val="bottom"/>
          </w:tcPr>
          <w:p>
            <w:pPr>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4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7"/>
              </w:rPr>
              <w:t>(20.0)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(347.8)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(300.6)</w:t>
            </w:r>
          </w:p>
        </w:tc>
        <w:tc>
          <w:tcPr>
            <w:tcW w:w="1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20" w:type="dxa"/>
            <w:vAlign w:val="bottom"/>
          </w:tcPr>
          <w:p>
            <w:pPr>
              <w:spacing w:after="0"/>
              <w:rPr>
                <w:sz w:val="11"/>
                <w:szCs w:val="11"/>
                <w:color w:val="auto"/>
              </w:rPr>
            </w:pPr>
          </w:p>
        </w:tc>
      </w:tr>
      <w:tr>
        <w:trPr>
          <w:trHeight w:val="135"/>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Interest income</w:t>
            </w:r>
          </w:p>
        </w:tc>
        <w:tc>
          <w:tcPr>
            <w:tcW w:w="4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7"/>
              </w:rPr>
              <w:t>(12.9)</w:t>
            </w:r>
          </w:p>
        </w:tc>
        <w:tc>
          <w:tcPr>
            <w:tcW w:w="1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(3.9)</w:t>
            </w: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240" w:type="dxa"/>
            <w:vAlign w:val="bottom"/>
            <w:tcBorders>
              <w:left w:val="single" w:sz="8" w:color="CCECFF"/>
            </w:tcBorders>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(11.4)</w:t>
            </w: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2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1"/>
                <w:szCs w:val="11"/>
                <w:color w:val="auto"/>
              </w:rPr>
              <w:t>(16.7)</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(44.4)</w:t>
            </w:r>
          </w:p>
        </w:tc>
      </w:tr>
      <w:tr>
        <w:trPr>
          <w:trHeight w:val="135"/>
        </w:trPr>
        <w:tc>
          <w:tcPr>
            <w:tcW w:w="4580" w:type="dxa"/>
            <w:vAlign w:val="bottom"/>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4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11"/>
                <w:szCs w:val="11"/>
                <w:color w:val="auto"/>
              </w:rPr>
            </w:pPr>
          </w:p>
        </w:tc>
      </w:tr>
      <w:tr>
        <w:trPr>
          <w:trHeight w:val="135"/>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Other (income) expense, net</w:t>
            </w:r>
          </w:p>
        </w:tc>
        <w:tc>
          <w:tcPr>
            <w:tcW w:w="480" w:type="dxa"/>
            <w:vAlign w:val="bottom"/>
            <w:shd w:val="clear" w:color="auto" w:fill="CCECFF"/>
          </w:tcPr>
          <w:p>
            <w:pPr>
              <w:spacing w:after="0"/>
              <w:rPr>
                <w:sz w:val="11"/>
                <w:szCs w:val="11"/>
                <w:color w:val="auto"/>
              </w:rPr>
            </w:pPr>
          </w:p>
        </w:tc>
        <w:tc>
          <w:tcPr>
            <w:tcW w:w="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2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(0.1)</w:t>
            </w: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240" w:type="dxa"/>
            <w:vAlign w:val="bottom"/>
            <w:tcBorders>
              <w:left w:val="single" w:sz="8" w:color="CCECFF"/>
            </w:tcBorders>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(1.7)</w:t>
            </w:r>
          </w:p>
        </w:tc>
      </w:tr>
      <w:tr>
        <w:trPr>
          <w:trHeight w:val="20"/>
        </w:trPr>
        <w:tc>
          <w:tcPr>
            <w:tcW w:w="4580" w:type="dxa"/>
            <w:vAlign w:val="bottom"/>
            <w:shd w:val="clear" w:color="auto" w:fill="CCEC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CCECFF"/>
            </w:tcBorders>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124"/>
        </w:trPr>
        <w:tc>
          <w:tcPr>
            <w:tcW w:w="458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Operating income (loss)</w:t>
            </w:r>
          </w:p>
        </w:tc>
        <w:tc>
          <w:tcPr>
            <w:tcW w:w="48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22.9</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1"/>
                <w:szCs w:val="11"/>
                <w:color w:val="auto"/>
              </w:rPr>
              <w:t>(11.5)</w:t>
            </w:r>
          </w:p>
        </w:tc>
        <w:tc>
          <w:tcPr>
            <w:tcW w:w="18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14.5</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1"/>
                <w:szCs w:val="11"/>
                <w:color w:val="auto"/>
              </w:rPr>
              <w:t>(33.5)</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1"/>
                <w:szCs w:val="11"/>
                <w:color w:val="auto"/>
              </w:rPr>
              <w:t>(43.4)</w:t>
            </w:r>
          </w:p>
        </w:tc>
        <w:tc>
          <w:tcPr>
            <w:tcW w:w="140" w:type="dxa"/>
            <w:vAlign w:val="bottom"/>
          </w:tcPr>
          <w:p>
            <w:pPr>
              <w:spacing w:after="0"/>
              <w:rPr>
                <w:sz w:val="10"/>
                <w:szCs w:val="10"/>
                <w:color w:val="auto"/>
              </w:rPr>
            </w:pPr>
          </w:p>
        </w:tc>
        <w:tc>
          <w:tcPr>
            <w:tcW w:w="9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10"/>
                <w:szCs w:val="10"/>
                <w:color w:val="auto"/>
              </w:rPr>
            </w:pPr>
          </w:p>
        </w:tc>
      </w:tr>
      <w:tr>
        <w:trPr>
          <w:trHeight w:val="135"/>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Adjustments:</w:t>
            </w:r>
          </w:p>
        </w:tc>
        <w:tc>
          <w:tcPr>
            <w:tcW w:w="4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40" w:type="dxa"/>
            <w:vAlign w:val="bottom"/>
            <w:tcBorders>
              <w:left w:val="single" w:sz="8" w:color="CCECFF"/>
            </w:tcBorders>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4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Amortization of purchased intangible assets</w:t>
            </w:r>
          </w:p>
        </w:tc>
        <w:tc>
          <w:tcPr>
            <w:tcW w:w="4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w:t>
            </w:r>
          </w:p>
        </w:tc>
        <w:tc>
          <w:tcPr>
            <w:tcW w:w="120" w:type="dxa"/>
            <w:vAlign w:val="bottom"/>
          </w:tcPr>
          <w:p>
            <w:pPr>
              <w:spacing w:after="0"/>
              <w:rPr>
                <w:sz w:val="11"/>
                <w:szCs w:val="11"/>
                <w:color w:val="auto"/>
              </w:rPr>
            </w:pPr>
          </w:p>
        </w:tc>
      </w:tr>
      <w:tr>
        <w:trPr>
          <w:trHeight w:val="135"/>
        </w:trPr>
        <w:tc>
          <w:tcPr>
            <w:tcW w:w="4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Restructuring costs, net</w:t>
            </w:r>
          </w:p>
        </w:tc>
        <w:tc>
          <w:tcPr>
            <w:tcW w:w="480" w:type="dxa"/>
            <w:vAlign w:val="bottom"/>
            <w:shd w:val="clear" w:color="auto" w:fill="CCECFF"/>
          </w:tcPr>
          <w:p>
            <w:pPr>
              <w:spacing w:after="0"/>
              <w:rPr>
                <w:sz w:val="11"/>
                <w:szCs w:val="11"/>
                <w:color w:val="auto"/>
              </w:rPr>
            </w:pPr>
          </w:p>
        </w:tc>
        <w:tc>
          <w:tcPr>
            <w:tcW w:w="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2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240" w:type="dxa"/>
            <w:vAlign w:val="bottom"/>
            <w:tcBorders>
              <w:left w:val="single" w:sz="8" w:color="CCECFF"/>
            </w:tcBorders>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20" w:type="dxa"/>
            <w:vAlign w:val="bottom"/>
            <w:shd w:val="clear" w:color="auto" w:fill="CCECFF"/>
          </w:tcPr>
          <w:p>
            <w:pPr>
              <w:spacing w:after="0"/>
              <w:rPr>
                <w:sz w:val="11"/>
                <w:szCs w:val="11"/>
                <w:color w:val="auto"/>
              </w:rPr>
            </w:pPr>
          </w:p>
        </w:tc>
      </w:tr>
      <w:tr>
        <w:trPr>
          <w:trHeight w:val="104"/>
        </w:trPr>
        <w:tc>
          <w:tcPr>
            <w:tcW w:w="4580" w:type="dxa"/>
            <w:vAlign w:val="bottom"/>
          </w:tcPr>
          <w:p>
            <w:pPr>
              <w:ind w:left="80"/>
              <w:spacing w:after="0" w:line="104" w:lineRule="exact"/>
              <w:rPr>
                <w:sz w:val="20"/>
                <w:szCs w:val="20"/>
                <w:color w:val="auto"/>
              </w:rPr>
            </w:pPr>
            <w:r>
              <w:rPr>
                <w:rFonts w:ascii="Times New Roman" w:cs="Times New Roman" w:eastAsia="Times New Roman" w:hAnsi="Times New Roman"/>
                <w:sz w:val="11"/>
                <w:szCs w:val="11"/>
                <w:color w:val="auto"/>
              </w:rPr>
              <w:t>Equity-based compensation</w:t>
            </w:r>
          </w:p>
        </w:tc>
        <w:tc>
          <w:tcPr>
            <w:tcW w:w="480" w:type="dxa"/>
            <w:vAlign w:val="bottom"/>
          </w:tcPr>
          <w:p>
            <w:pPr>
              <w:spacing w:after="0"/>
              <w:rPr>
                <w:sz w:val="9"/>
                <w:szCs w:val="9"/>
                <w:color w:val="auto"/>
              </w:rPr>
            </w:pPr>
          </w:p>
        </w:tc>
        <w:tc>
          <w:tcPr>
            <w:tcW w:w="26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7.4</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7.2</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18.5</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18.3</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25.8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26.0</w:t>
            </w:r>
          </w:p>
        </w:tc>
        <w:tc>
          <w:tcPr>
            <w:tcW w:w="120" w:type="dxa"/>
            <w:vAlign w:val="bottom"/>
          </w:tcPr>
          <w:p>
            <w:pPr>
              <w:spacing w:after="0"/>
              <w:rPr>
                <w:sz w:val="9"/>
                <w:szCs w:val="9"/>
                <w:color w:val="auto"/>
              </w:rPr>
            </w:pPr>
          </w:p>
        </w:tc>
      </w:tr>
      <w:tr>
        <w:trPr>
          <w:trHeight w:val="151"/>
        </w:trPr>
        <w:tc>
          <w:tcPr>
            <w:tcW w:w="4580" w:type="dxa"/>
            <w:vAlign w:val="bottom"/>
          </w:tcPr>
          <w:p>
            <w:pPr>
              <w:ind w:left="80"/>
              <w:spacing w:after="0" w:line="151" w:lineRule="exact"/>
              <w:rPr>
                <w:sz w:val="20"/>
                <w:szCs w:val="20"/>
                <w:color w:val="auto"/>
              </w:rPr>
            </w:pPr>
            <w:r>
              <w:rPr>
                <w:rFonts w:ascii="Times New Roman" w:cs="Times New Roman" w:eastAsia="Times New Roman" w:hAnsi="Times New Roman"/>
                <w:sz w:val="11"/>
                <w:szCs w:val="11"/>
                <w:color w:val="auto"/>
              </w:rPr>
              <w:t xml:space="preserve">Transaction, transformation and integration costs </w:t>
            </w:r>
            <w:r>
              <w:rPr>
                <w:rFonts w:ascii="Times New Roman" w:cs="Times New Roman" w:eastAsia="Times New Roman" w:hAnsi="Times New Roman"/>
                <w:sz w:val="15"/>
                <w:szCs w:val="15"/>
                <w:color w:val="auto"/>
                <w:vertAlign w:val="superscript"/>
              </w:rPr>
              <w:t>(1)</w:t>
            </w:r>
          </w:p>
        </w:tc>
        <w:tc>
          <w:tcPr>
            <w:tcW w:w="4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120" w:type="dxa"/>
            <w:vAlign w:val="bottom"/>
          </w:tcPr>
          <w:p>
            <w:pPr>
              <w:spacing w:after="0"/>
              <w:rPr>
                <w:sz w:val="13"/>
                <w:szCs w:val="13"/>
                <w:color w:val="auto"/>
              </w:rPr>
            </w:pPr>
          </w:p>
        </w:tc>
      </w:tr>
      <w:tr>
        <w:trPr>
          <w:trHeight w:val="149"/>
        </w:trPr>
        <w:tc>
          <w:tcPr>
            <w:tcW w:w="4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Depreciation</w:t>
            </w:r>
          </w:p>
        </w:tc>
        <w:tc>
          <w:tcPr>
            <w:tcW w:w="4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20" w:type="dxa"/>
            <w:vAlign w:val="bottom"/>
          </w:tcPr>
          <w:p>
            <w:pPr>
              <w:spacing w:after="0"/>
              <w:rPr>
                <w:sz w:val="12"/>
                <w:szCs w:val="12"/>
                <w:color w:val="auto"/>
              </w:rPr>
            </w:pPr>
          </w:p>
        </w:tc>
      </w:tr>
      <w:tr>
        <w:trPr>
          <w:trHeight w:val="136"/>
        </w:trPr>
        <w:tc>
          <w:tcPr>
            <w:tcW w:w="4580" w:type="dxa"/>
            <w:vAlign w:val="bottom"/>
            <w:shd w:val="clear" w:color="auto" w:fill="CCECFF"/>
          </w:tcPr>
          <w:p>
            <w:pPr>
              <w:ind w:left="80"/>
              <w:spacing w:after="0" w:line="136" w:lineRule="exact"/>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5"/>
                <w:szCs w:val="15"/>
                <w:color w:val="auto"/>
                <w:vertAlign w:val="superscript"/>
              </w:rPr>
              <w:t>(2)</w:t>
            </w:r>
          </w:p>
        </w:tc>
        <w:tc>
          <w:tcPr>
            <w:tcW w:w="480" w:type="dxa"/>
            <w:vAlign w:val="bottom"/>
            <w:shd w:val="clear" w:color="auto" w:fill="CCECFF"/>
          </w:tcPr>
          <w:p>
            <w:pPr>
              <w:spacing w:after="0"/>
              <w:rPr>
                <w:sz w:val="11"/>
                <w:szCs w:val="11"/>
                <w:color w:val="auto"/>
              </w:rPr>
            </w:pPr>
          </w:p>
        </w:tc>
        <w:tc>
          <w:tcPr>
            <w:tcW w:w="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(0.1)</w:t>
            </w: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left w:val="single" w:sz="8" w:color="CCECFF"/>
            </w:tcBorders>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4580" w:type="dxa"/>
            <w:vAlign w:val="bottom"/>
            <w:shd w:val="clear" w:color="auto" w:fill="CCEC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CCECFF"/>
            </w:tcBorders>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124"/>
        </w:trPr>
        <w:tc>
          <w:tcPr>
            <w:tcW w:w="458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Non-GAAP adjusted EBITDA</w:t>
            </w:r>
          </w:p>
        </w:tc>
        <w:tc>
          <w:tcPr>
            <w:tcW w:w="480" w:type="dxa"/>
            <w:vAlign w:val="bottom"/>
          </w:tcPr>
          <w:p>
            <w:pPr>
              <w:jc w:val="right"/>
              <w:ind w:right="3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56.6</w:t>
            </w:r>
          </w:p>
        </w:tc>
        <w:tc>
          <w:tcPr>
            <w:tcW w:w="260" w:type="dxa"/>
            <w:vAlign w:val="bottom"/>
          </w:tcPr>
          <w:p>
            <w:pPr>
              <w:spacing w:after="0"/>
              <w:rPr>
                <w:sz w:val="10"/>
                <w:szCs w:val="10"/>
                <w:color w:val="auto"/>
              </w:rPr>
            </w:pPr>
          </w:p>
        </w:tc>
        <w:tc>
          <w:tcPr>
            <w:tcW w:w="180" w:type="dxa"/>
            <w:vAlign w:val="bottom"/>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24.8</w:t>
            </w:r>
          </w:p>
        </w:tc>
        <w:tc>
          <w:tcPr>
            <w:tcW w:w="260" w:type="dxa"/>
            <w:vAlign w:val="bottom"/>
          </w:tcPr>
          <w:p>
            <w:pPr>
              <w:spacing w:after="0"/>
              <w:rPr>
                <w:sz w:val="10"/>
                <w:szCs w:val="10"/>
                <w:color w:val="auto"/>
              </w:rPr>
            </w:pPr>
          </w:p>
        </w:tc>
        <w:tc>
          <w:tcPr>
            <w:tcW w:w="180" w:type="dxa"/>
            <w:vAlign w:val="bottom"/>
          </w:tcPr>
          <w:p>
            <w:pPr>
              <w:jc w:val="right"/>
              <w:ind w:right="6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133.6</w:t>
            </w:r>
          </w:p>
        </w:tc>
        <w:tc>
          <w:tcPr>
            <w:tcW w:w="240" w:type="dxa"/>
            <w:vAlign w:val="bottom"/>
          </w:tcPr>
          <w:p>
            <w:pPr>
              <w:spacing w:after="0"/>
              <w:rPr>
                <w:sz w:val="10"/>
                <w:szCs w:val="10"/>
                <w:color w:val="auto"/>
              </w:rPr>
            </w:pPr>
          </w:p>
        </w:tc>
        <w:tc>
          <w:tcPr>
            <w:tcW w:w="300" w:type="dxa"/>
            <w:vAlign w:val="bottom"/>
          </w:tcPr>
          <w:p>
            <w:pPr>
              <w:jc w:val="right"/>
              <w:ind w:right="188"/>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95.9</w:t>
            </w:r>
          </w:p>
        </w:tc>
        <w:tc>
          <w:tcPr>
            <w:tcW w:w="120" w:type="dxa"/>
            <w:vAlign w:val="bottom"/>
          </w:tcPr>
          <w:p>
            <w:pPr>
              <w:spacing w:after="0"/>
              <w:rPr>
                <w:sz w:val="10"/>
                <w:szCs w:val="10"/>
                <w:color w:val="auto"/>
              </w:rPr>
            </w:pPr>
          </w:p>
        </w:tc>
        <w:tc>
          <w:tcPr>
            <w:tcW w:w="30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130.7</w:t>
            </w:r>
          </w:p>
        </w:tc>
        <w:tc>
          <w:tcPr>
            <w:tcW w:w="240" w:type="dxa"/>
            <w:vAlign w:val="bottom"/>
          </w:tcPr>
          <w:p>
            <w:pPr>
              <w:spacing w:after="0"/>
              <w:rPr>
                <w:sz w:val="10"/>
                <w:szCs w:val="10"/>
                <w:color w:val="auto"/>
              </w:rPr>
            </w:pPr>
          </w:p>
        </w:tc>
        <w:tc>
          <w:tcPr>
            <w:tcW w:w="140" w:type="dxa"/>
            <w:vAlign w:val="bottom"/>
          </w:tcPr>
          <w:p>
            <w:pPr>
              <w:jc w:val="right"/>
              <w:ind w:right="2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168.4</w:t>
            </w:r>
          </w:p>
        </w:tc>
        <w:tc>
          <w:tcPr>
            <w:tcW w:w="120" w:type="dxa"/>
            <w:vAlign w:val="bottom"/>
          </w:tcPr>
          <w:p>
            <w:pPr>
              <w:spacing w:after="0"/>
              <w:rPr>
                <w:sz w:val="10"/>
                <w:szCs w:val="10"/>
                <w:color w:val="auto"/>
              </w:rPr>
            </w:pPr>
          </w:p>
        </w:tc>
      </w:tr>
      <w:tr>
        <w:trPr>
          <w:trHeight w:val="27"/>
        </w:trPr>
        <w:tc>
          <w:tcPr>
            <w:tcW w:w="4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178040" cy="857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-799465</wp:posOffset>
            </wp:positionV>
            <wp:extent cx="7429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-799465</wp:posOffset>
            </wp:positionV>
            <wp:extent cx="7429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-799465</wp:posOffset>
            </wp:positionV>
            <wp:extent cx="685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-799465</wp:posOffset>
            </wp:positionV>
            <wp:extent cx="6858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-799465</wp:posOffset>
            </wp:positionV>
            <wp:extent cx="6858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-799465</wp:posOffset>
            </wp:positionV>
            <wp:extent cx="685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-107950</wp:posOffset>
            </wp:positionV>
            <wp:extent cx="7429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-107950</wp:posOffset>
            </wp:positionV>
            <wp:extent cx="7429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-107950</wp:posOffset>
            </wp:positionV>
            <wp:extent cx="6858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-107950</wp:posOffset>
            </wp:positionV>
            <wp:extent cx="6858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-107950</wp:posOffset>
            </wp:positionV>
            <wp:extent cx="6858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-107950</wp:posOffset>
            </wp:positionV>
            <wp:extent cx="6858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9" w:lineRule="exact"/>
        <w:rPr>
          <w:sz w:val="20"/>
          <w:szCs w:val="20"/>
          <w:color w:val="auto"/>
        </w:rPr>
      </w:pPr>
    </w:p>
    <w:p>
      <w:pPr>
        <w:ind w:left="508" w:hanging="508"/>
        <w:spacing w:after="0"/>
        <w:tabs>
          <w:tab w:leader="none" w:pos="5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In 2026 and 2025, primarily reflects transaction costs related to our transformation initiative that began in 2021.</w:t>
      </w:r>
    </w:p>
    <w:p>
      <w:pPr>
        <w:spacing w:after="0" w:line="42" w:lineRule="exact"/>
        <w:rPr>
          <w:rFonts w:ascii="Times New Roman" w:cs="Times New Roman" w:eastAsia="Times New Roman" w:hAnsi="Times New Roman"/>
          <w:sz w:val="12"/>
          <w:szCs w:val="12"/>
          <w:color w:val="auto"/>
        </w:rPr>
      </w:pPr>
    </w:p>
    <w:p>
      <w:pPr>
        <w:ind w:left="508" w:hanging="508"/>
        <w:spacing w:after="0"/>
        <w:tabs>
          <w:tab w:leader="none" w:pos="5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In 2025, reflects a pretax loss of $4.8 million related to the sale of our OneCell business.</w:t>
      </w:r>
    </w:p>
    <w:p>
      <w:pPr>
        <w:spacing w:after="0" w:line="1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17"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w:t>
      </w:r>
    </w:p>
    <w:p>
      <w:pPr>
        <w:spacing w:after="0" w:line="8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Segment adjusted EBITDA is provided as a performance measure in Note 6, Segment and Geographic Information, in the Notes to Unaudited Condensed Consolidated Financial Statements included herein. Below we reconcile segment adjusted EBITDA to operating income to supplement the reconciliation of segment adjusted EBITDA to net income in Note 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Aurora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60" w:type="dxa"/>
            <w:vAlign w:val="bottom"/>
            <w:gridSpan w:val="3"/>
          </w:tcPr>
          <w:p>
            <w:pPr>
              <w:jc w:val="right"/>
              <w:ind w:right="309"/>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62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6280" w:type="dxa"/>
            <w:vAlign w:val="bottom"/>
          </w:tcPr>
          <w:p>
            <w:pPr>
              <w:spacing w:after="0"/>
              <w:rPr>
                <w:sz w:val="7"/>
                <w:szCs w:val="7"/>
                <w:color w:val="auto"/>
              </w:rPr>
            </w:pPr>
          </w:p>
        </w:tc>
        <w:tc>
          <w:tcPr>
            <w:tcW w:w="6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bottom w:val="single" w:sz="8" w:color="auto"/>
            </w:tcBorders>
          </w:tcPr>
          <w:p>
            <w:pPr>
              <w:jc w:val="right"/>
              <w:ind w:right="29"/>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auto"/>
            </w:tcBorders>
          </w:tcPr>
          <w:p>
            <w:pPr>
              <w:jc w:val="right"/>
              <w:ind w:right="49"/>
              <w:spacing w:after="0" w:line="88" w:lineRule="exact"/>
              <w:rPr>
                <w:sz w:val="20"/>
                <w:szCs w:val="20"/>
                <w:color w:val="auto"/>
              </w:rPr>
            </w:pPr>
            <w:r>
              <w:rPr>
                <w:rFonts w:ascii="Times New Roman" w:cs="Times New Roman" w:eastAsia="Times New Roman" w:hAnsi="Times New Roman"/>
                <w:sz w:val="10"/>
                <w:szCs w:val="10"/>
                <w:b w:val="1"/>
                <w:bCs w:val="1"/>
                <w:color w:val="auto"/>
              </w:rPr>
              <w:t>2026</w:t>
            </w:r>
          </w:p>
        </w:tc>
        <w:tc>
          <w:tcPr>
            <w:tcW w:w="3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382"/>
              <w:spacing w:after="0" w:line="8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7"/>
                <w:szCs w:val="7"/>
                <w:color w:val="auto"/>
              </w:rPr>
            </w:pPr>
          </w:p>
        </w:tc>
      </w:tr>
      <w:tr>
        <w:trPr>
          <w:trHeight w:val="88"/>
        </w:trPr>
        <w:tc>
          <w:tcPr>
            <w:tcW w:w="6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gridSpan w:val="2"/>
          </w:tcPr>
          <w:p>
            <w:pPr>
              <w:jc w:val="right"/>
              <w:ind w:right="429"/>
              <w:spacing w:after="0" w:line="88" w:lineRule="exact"/>
              <w:rPr>
                <w:sz w:val="20"/>
                <w:szCs w:val="20"/>
                <w:color w:val="auto"/>
              </w:rPr>
            </w:pPr>
            <w:r>
              <w:rPr>
                <w:rFonts w:ascii="Times New Roman" w:cs="Times New Roman" w:eastAsia="Times New Roman" w:hAnsi="Times New Roman"/>
                <w:sz w:val="10"/>
                <w:szCs w:val="10"/>
                <w:b w:val="1"/>
                <w:bCs w:val="1"/>
                <w:color w:val="auto"/>
              </w:rPr>
              <w:t>(in millions)</w:t>
            </w: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4"/>
        </w:trPr>
        <w:tc>
          <w:tcPr>
            <w:tcW w:w="6280" w:type="dxa"/>
            <w:vAlign w:val="bottom"/>
            <w:shd w:val="clear" w:color="auto" w:fill="CCEC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600" w:type="dxa"/>
            <w:vAlign w:val="bottom"/>
            <w:shd w:val="clear" w:color="auto" w:fill="CCECFF"/>
          </w:tcPr>
          <w:p>
            <w:pPr>
              <w:jc w:val="right"/>
              <w:ind w:right="48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920" w:type="dxa"/>
            <w:vAlign w:val="bottom"/>
            <w:gridSpan w:val="2"/>
            <w:shd w:val="clear" w:color="auto" w:fill="CCECFF"/>
          </w:tcPr>
          <w:p>
            <w:pPr>
              <w:jc w:val="right"/>
              <w:ind w:right="529"/>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1020" w:type="dxa"/>
            <w:vAlign w:val="bottom"/>
            <w:gridSpan w:val="2"/>
            <w:shd w:val="clear" w:color="auto" w:fill="CCECFF"/>
          </w:tcPr>
          <w:p>
            <w:pPr>
              <w:jc w:val="right"/>
              <w:ind w:right="629"/>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6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120" w:type="dxa"/>
            <w:vAlign w:val="bottom"/>
            <w:shd w:val="clear" w:color="auto" w:fill="CCECFF"/>
          </w:tcPr>
          <w:p>
            <w:pPr>
              <w:spacing w:after="0"/>
              <w:rPr>
                <w:sz w:val="12"/>
                <w:szCs w:val="12"/>
                <w:color w:val="auto"/>
              </w:rPr>
            </w:pP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Adjustments:</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2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Amortization of purchased intangible assets</w:t>
            </w:r>
          </w:p>
        </w:tc>
        <w:tc>
          <w:tcPr>
            <w:tcW w:w="60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2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2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67.6</w:t>
            </w:r>
          </w:p>
        </w:tc>
        <w:tc>
          <w:tcPr>
            <w:tcW w:w="120" w:type="dxa"/>
            <w:vAlign w:val="bottom"/>
            <w:shd w:val="clear" w:color="auto" w:fill="CCECFF"/>
          </w:tcPr>
          <w:p>
            <w:pPr>
              <w:spacing w:after="0"/>
              <w:rPr>
                <w:sz w:val="12"/>
                <w:szCs w:val="12"/>
                <w:color w:val="auto"/>
              </w:rPr>
            </w:pPr>
          </w:p>
        </w:tc>
      </w:tr>
      <w:tr>
        <w:trPr>
          <w:trHeight w:val="144"/>
        </w:trPr>
        <w:tc>
          <w:tcPr>
            <w:tcW w:w="6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Restructuring costs</w:t>
            </w:r>
          </w:p>
        </w:tc>
        <w:tc>
          <w:tcPr>
            <w:tcW w:w="6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20" w:type="dxa"/>
            <w:vAlign w:val="bottom"/>
          </w:tcPr>
          <w:p>
            <w:pPr>
              <w:spacing w:after="0"/>
              <w:rPr>
                <w:sz w:val="12"/>
                <w:szCs w:val="12"/>
                <w:color w:val="auto"/>
              </w:rPr>
            </w:pPr>
          </w:p>
        </w:tc>
      </w:tr>
      <w:tr>
        <w:trPr>
          <w:trHeight w:val="144"/>
        </w:trPr>
        <w:tc>
          <w:tcPr>
            <w:tcW w:w="62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Equity-based compensation</w:t>
            </w:r>
          </w:p>
        </w:tc>
        <w:tc>
          <w:tcPr>
            <w:tcW w:w="600" w:type="dxa"/>
            <w:vAlign w:val="bottom"/>
            <w:shd w:val="clear" w:color="auto" w:fill="CCECFF"/>
          </w:tcPr>
          <w:p>
            <w:pPr>
              <w:spacing w:after="0"/>
              <w:rPr>
                <w:sz w:val="12"/>
                <w:szCs w:val="12"/>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2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20" w:type="dxa"/>
            <w:vAlign w:val="bottom"/>
            <w:shd w:val="clear" w:color="auto" w:fill="CCECFF"/>
          </w:tcPr>
          <w:p>
            <w:pPr>
              <w:spacing w:after="0"/>
              <w:rPr>
                <w:sz w:val="12"/>
                <w:szCs w:val="12"/>
                <w:color w:val="auto"/>
              </w:rPr>
            </w:pPr>
          </w:p>
        </w:tc>
      </w:tr>
      <w:tr>
        <w:trPr>
          <w:trHeight w:val="144"/>
        </w:trPr>
        <w:tc>
          <w:tcPr>
            <w:tcW w:w="6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Transaction, transformation and integration costs</w:t>
            </w:r>
          </w:p>
        </w:tc>
        <w:tc>
          <w:tcPr>
            <w:tcW w:w="6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tcPr>
          <w:p>
            <w:pPr>
              <w:spacing w:after="0"/>
              <w:rPr>
                <w:sz w:val="12"/>
                <w:szCs w:val="12"/>
                <w:color w:val="auto"/>
              </w:rPr>
            </w:pPr>
          </w:p>
        </w:tc>
      </w:tr>
      <w:tr>
        <w:trPr>
          <w:trHeight w:val="144"/>
        </w:trPr>
        <w:tc>
          <w:tcPr>
            <w:tcW w:w="628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2"/>
                <w:szCs w:val="12"/>
                <w:color w:val="auto"/>
              </w:rPr>
              <w:t>Depreciation</w:t>
            </w:r>
          </w:p>
        </w:tc>
        <w:tc>
          <w:tcPr>
            <w:tcW w:w="600" w:type="dxa"/>
            <w:vAlign w:val="bottom"/>
            <w:tcBorders>
              <w:bottom w:val="single" w:sz="8" w:color="auto"/>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8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8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26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0"/>
        </w:trPr>
        <w:tc>
          <w:tcPr>
            <w:tcW w:w="6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Adjusted EBITDA</w:t>
            </w:r>
          </w:p>
        </w:tc>
        <w:tc>
          <w:tcPr>
            <w:tcW w:w="6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56.8</w:t>
            </w:r>
          </w:p>
        </w:tc>
        <w:tc>
          <w:tcPr>
            <w:tcW w:w="280" w:type="dxa"/>
            <w:vAlign w:val="bottom"/>
          </w:tcPr>
          <w:p>
            <w:pPr>
              <w:spacing w:after="0"/>
              <w:rPr>
                <w:sz w:val="12"/>
                <w:szCs w:val="12"/>
                <w:color w:val="auto"/>
              </w:rPr>
            </w:pPr>
          </w:p>
        </w:tc>
        <w:tc>
          <w:tcPr>
            <w:tcW w:w="6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54.1</w:t>
            </w:r>
          </w:p>
        </w:tc>
        <w:tc>
          <w:tcPr>
            <w:tcW w:w="280" w:type="dxa"/>
            <w:vAlign w:val="bottom"/>
          </w:tcPr>
          <w:p>
            <w:pPr>
              <w:spacing w:after="0"/>
              <w:rPr>
                <w:sz w:val="12"/>
                <w:szCs w:val="12"/>
                <w:color w:val="auto"/>
              </w:rPr>
            </w:pPr>
          </w:p>
        </w:tc>
        <w:tc>
          <w:tcPr>
            <w:tcW w:w="7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152.7</w:t>
            </w:r>
          </w:p>
        </w:tc>
        <w:tc>
          <w:tcPr>
            <w:tcW w:w="26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172.5</w:t>
            </w: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4584065</wp:posOffset>
            </wp:positionH>
            <wp:positionV relativeFrom="paragraph">
              <wp:posOffset>-113665</wp:posOffset>
            </wp:positionV>
            <wp:extent cx="7429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-113665</wp:posOffset>
            </wp:positionV>
            <wp:extent cx="7429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-113665</wp:posOffset>
            </wp:positionV>
            <wp:extent cx="6858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-113665</wp:posOffset>
            </wp:positionV>
            <wp:extent cx="6858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 Components may not sum to total due to rounding.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7"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This Quarterly Report on Form 10-Q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components, including memory chips, and the potential effect on customer pricing and timing of delivery of products to customers; risks related to our ability to implement price increases on our products and services; risks associated with our dependence on a limited number of key suppliers for certain components; risks related to the successful execution of our initiatives related to stranded costs reductions; potential difficulties in realigning manufacturing capacity and capabilities between our manufacturing facility and facilities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our ability to access available credit or otherwise obtain financing on acceptable terms or at all; our ability to generate cash to service any future indebtedness; our ability to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 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geopolitical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U.S. affecting trade, including the risk and uncertainty related to tariffs or potential trade wars and potential changes to laws and policies, that may impact our products and costs;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w:t>
      </w:r>
    </w:p>
    <w:p>
      <w:pPr>
        <w:spacing w:after="0" w:line="12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These and other factors are discussed in greater detail under the heading "Risk Factors" and "Management’s Discussion and Analysis of Financial Condition and Results of Operations" in our 2025 Annual Report on Form 10-K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Quarterly Report on Form 10-Q, except to the extent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82"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There have been no material changes in the interest rate risk, commodity price risk or foreign currency exchange rate risk information previously reported under Item 7A of our 2025 Annual Report, as filed with the Securities and Exchange Commission on February 26, 2026.</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17"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Controls and Procedures</w:t>
      </w:r>
    </w:p>
    <w:p>
      <w:pPr>
        <w:spacing w:after="0" w:line="8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8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Reference should be made to our 2025 Annual Report for additional information regarding discussion of the effectiveness of the Company’s controls and procedures. There have been no changes in our internal control over financial reporting during the quarter ended September 30, 2026 that have materially affected, or are reasonably likely to materially affect, our internal control over financial reporting.</w:t>
      </w:r>
    </w:p>
    <w:p>
      <w:pPr>
        <w:spacing w:after="0" w:line="1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300" w:top="917" w:right="49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2"/>
          <w:szCs w:val="12"/>
          <w:b w:val="1"/>
          <w:bCs w:val="1"/>
          <w:color w:val="auto"/>
        </w:rPr>
        <w:t>PART II – OTHER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8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spacing w:after="0" w:line="125"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 adverse effect on the Company’s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r>
        <w:rPr>
          <w:rFonts w:ascii="Times New Roman" w:cs="Times New Roman" w:eastAsia="Times New Roman" w:hAnsi="Times New Roman"/>
          <w:sz w:val="12"/>
          <w:szCs w:val="12"/>
          <w:color w:val="212529"/>
        </w:rPr>
        <w:t>.</w:t>
      </w:r>
    </w:p>
    <w:p>
      <w:pPr>
        <w:spacing w:after="0" w:line="8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212529"/>
        </w:rPr>
        <w:t>The Company’s business, financial condition, results of operations and cash flows are subject to various risks which could cause actual results to vary from recent results or from anticipated future results. There have been no material changes to the risk factors disclosed in Part I – Item 1A, Risk Factors of our 2025 Annual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Sales of Unregistered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On April 29, 2026, the Company’s Board of Directors approved a new share repurchase program, replacing the previous program, authorizing, but not obligating, the repurchase of up to an aggregate of $100.0 million of the Company’s outstanding common stock. On August 26, 2026, the Board of Directors approved an additional authorization of $150.0 million under our share repurchase program, increasing the aggregate authorization to $250.0 million. Repurchases under the share repurchase program may be made at management’s discretion from time to time on the open market, in privately negotiated transactions or otherwise, in each case subject to compliance with all Securities and Exchange Commission rules and other legal requirements, and may be made in part under one or more Rule 10b5-1 and Rule 10b-18 plans, which permit stock repurchases at times when we might otherwise be precluded from doing so. The method, timing and amount of shares repurchased under the share repurchase program will depend on several factors, including capital and liquidity requirements, market conditions and alternative uses for cash. The share repurchase program does not have a set expiration date and may be modified, suspended or discontinued at any time.</w:t>
      </w:r>
    </w:p>
    <w:p>
      <w:pPr>
        <w:spacing w:after="0" w:line="12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During both the three and nine months ended September 30, 2026, we repurchased 17.7 million shares of our common stock through open market transactions for an aggregate purchase price of $156.7 million. In addition, we paid $0.3 million of commissions and accrued $1.6 million of excise tax on such share repurchases. As of September 30, 2026, approximately $93.3 million remained available for repurchase under the program.</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17"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color w:val="auto"/>
        </w:rPr>
        <w:t>The following table summarizes the stock purchase activity for the three months ended September 30, 2026: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Total Number</w:t>
            </w:r>
          </w:p>
        </w:tc>
        <w:tc>
          <w:tcPr>
            <w:tcW w:w="30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4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vMerge w:val="restart"/>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5"/>
              </w:rPr>
              <w:t>of Shares</w:t>
            </w:r>
          </w:p>
        </w:tc>
        <w:tc>
          <w:tcPr>
            <w:tcW w:w="3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4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9"/>
              </w:rPr>
              <w:t>Price Paid</w:t>
            </w:r>
          </w:p>
        </w:tc>
        <w:tc>
          <w:tcPr>
            <w:tcW w:w="240" w:type="dxa"/>
            <w:vAlign w:val="bottom"/>
          </w:tcPr>
          <w:p>
            <w:pPr>
              <w:spacing w:after="0"/>
              <w:rPr>
                <w:sz w:val="5"/>
                <w:szCs w:val="5"/>
                <w:color w:val="auto"/>
              </w:rPr>
            </w:pPr>
          </w:p>
        </w:tc>
        <w:tc>
          <w:tcPr>
            <w:tcW w:w="200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Total Number of Shares Purchased as Part of</w:t>
            </w:r>
          </w:p>
        </w:tc>
        <w:tc>
          <w:tcPr>
            <w:tcW w:w="0" w:type="dxa"/>
            <w:vAlign w:val="bottom"/>
          </w:tcPr>
          <w:p>
            <w:pPr>
              <w:spacing w:after="0"/>
              <w:rPr>
                <w:sz w:val="1"/>
                <w:szCs w:val="1"/>
                <w:color w:val="auto"/>
              </w:rPr>
            </w:pPr>
          </w:p>
        </w:tc>
      </w:tr>
      <w:tr>
        <w:trPr>
          <w:trHeight w:val="3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40" w:type="dxa"/>
            <w:vAlign w:val="bottom"/>
          </w:tcPr>
          <w:p>
            <w:pPr>
              <w:spacing w:after="0"/>
              <w:rPr>
                <w:sz w:val="3"/>
                <w:szCs w:val="3"/>
                <w:color w:val="auto"/>
              </w:rPr>
            </w:pPr>
          </w:p>
        </w:tc>
        <w:tc>
          <w:tcPr>
            <w:tcW w:w="1260" w:type="dxa"/>
            <w:vAlign w:val="bottom"/>
            <w:vMerge w:val="restart"/>
          </w:tcPr>
          <w:p>
            <w:pPr>
              <w:jc w:val="center"/>
              <w:spacing w:after="0" w:line="153" w:lineRule="exact"/>
              <w:rPr>
                <w:sz w:val="20"/>
                <w:szCs w:val="20"/>
                <w:color w:val="auto"/>
              </w:rPr>
            </w:pPr>
            <w:r>
              <w:rPr>
                <w:rFonts w:ascii="Times New Roman" w:cs="Times New Roman" w:eastAsia="Times New Roman" w:hAnsi="Times New Roman"/>
                <w:sz w:val="10"/>
                <w:szCs w:val="10"/>
                <w:b w:val="1"/>
                <w:bCs w:val="1"/>
                <w:color w:val="auto"/>
                <w:w w:val="92"/>
              </w:rPr>
              <w:t xml:space="preserve">Purchased </w:t>
            </w:r>
            <w:r>
              <w:rPr>
                <w:rFonts w:ascii="Times New Roman" w:cs="Times New Roman" w:eastAsia="Times New Roman" w:hAnsi="Times New Roman"/>
                <w:sz w:val="14"/>
                <w:szCs w:val="14"/>
                <w:b w:val="1"/>
                <w:bCs w:val="1"/>
                <w:color w:val="auto"/>
                <w:w w:val="92"/>
                <w:vertAlign w:val="superscript"/>
              </w:rPr>
              <w:t>(1)</w:t>
            </w:r>
          </w:p>
        </w:tc>
        <w:tc>
          <w:tcPr>
            <w:tcW w:w="3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400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Per Share</w:t>
            </w:r>
          </w:p>
        </w:tc>
        <w:tc>
          <w:tcPr>
            <w:tcW w:w="240" w:type="dxa"/>
            <w:vAlign w:val="bottom"/>
          </w:tcPr>
          <w:p>
            <w:pPr>
              <w:spacing w:after="0"/>
              <w:rPr>
                <w:sz w:val="10"/>
                <w:szCs w:val="1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Publicly Announced 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340" w:hanging="72"/>
        <w:spacing w:after="0" w:line="317" w:lineRule="auto"/>
        <w:rPr>
          <w:sz w:val="20"/>
          <w:szCs w:val="20"/>
          <w:color w:val="auto"/>
        </w:rPr>
      </w:pPr>
      <w:r>
        <w:rPr>
          <w:rFonts w:ascii="Times New Roman" w:cs="Times New Roman" w:eastAsia="Times New Roman" w:hAnsi="Times New Roman"/>
          <w:sz w:val="8"/>
          <w:szCs w:val="8"/>
          <w:b w:val="1"/>
          <w:bCs w:val="1"/>
          <w:color w:val="auto"/>
        </w:rPr>
        <w:t>Maximum Value of Shares that May Yet be Purchased Under the Plans or Programs</w:t>
      </w:r>
    </w:p>
    <w:p>
      <w:pPr>
        <w:spacing w:after="0" w:line="1" w:lineRule="exact"/>
        <w:rPr>
          <w:sz w:val="20"/>
          <w:szCs w:val="20"/>
          <w:color w:val="auto"/>
        </w:rPr>
      </w:pPr>
    </w:p>
    <w:p>
      <w:pPr>
        <w:sectPr>
          <w:pgSz w:w="11900" w:h="16838" w:orient="portrait"/>
          <w:cols w:equalWidth="0" w:num="2">
            <w:col w:w="8680" w:space="560"/>
            <w:col w:w="2060"/>
          </w:cols>
          <w:pgMar w:left="300" w:top="849" w:right="299" w:bottom="1440" w:gutter="0" w:footer="0" w:header="0"/>
        </w:sectPr>
      </w:pPr>
    </w:p>
    <w:tbl>
      <w:tblPr>
        <w:tblLayout w:type="fixed"/>
        <w:tblInd w:w="0" w:type="dxa"/>
        <w:tblCellMar>
          <w:top w:w="0" w:type="dxa"/>
          <w:left w:w="0" w:type="dxa"/>
          <w:bottom w:w="0" w:type="dxa"/>
          <w:right w:w="0" w:type="dxa"/>
        </w:tblCellMar>
      </w:tblPr>
      <w:tr>
        <w:trPr>
          <w:trHeight w:val="104"/>
        </w:trPr>
        <w:tc>
          <w:tcPr>
            <w:tcW w:w="4140" w:type="dxa"/>
            <w:vAlign w:val="bottom"/>
            <w:shd w:val="clear" w:color="auto" w:fill="CCECFF"/>
          </w:tcPr>
          <w:p>
            <w:pPr>
              <w:spacing w:after="0" w:line="105" w:lineRule="exact"/>
              <w:rPr>
                <w:sz w:val="20"/>
                <w:szCs w:val="20"/>
                <w:color w:val="auto"/>
              </w:rPr>
            </w:pPr>
            <w:r>
              <w:rPr>
                <w:rFonts w:ascii="Times New Roman" w:cs="Times New Roman" w:eastAsia="Times New Roman" w:hAnsi="Times New Roman"/>
                <w:sz w:val="12"/>
                <w:szCs w:val="12"/>
                <w:color w:val="auto"/>
              </w:rPr>
              <w:t>July 1, 2026 - July 31, 2026</w:t>
            </w:r>
          </w:p>
        </w:tc>
        <w:tc>
          <w:tcPr>
            <w:tcW w:w="1260" w:type="dxa"/>
            <w:vAlign w:val="bottom"/>
            <w:shd w:val="clear" w:color="auto" w:fill="CCECFF"/>
          </w:tcPr>
          <w:p>
            <w:pPr>
              <w:jc w:val="right"/>
              <w:spacing w:after="0" w:line="105" w:lineRule="exact"/>
              <w:rPr>
                <w:sz w:val="20"/>
                <w:szCs w:val="20"/>
                <w:color w:val="auto"/>
              </w:rPr>
            </w:pPr>
            <w:r>
              <w:rPr>
                <w:rFonts w:ascii="Times New Roman" w:cs="Times New Roman" w:eastAsia="Times New Roman" w:hAnsi="Times New Roman"/>
                <w:sz w:val="12"/>
                <w:szCs w:val="12"/>
                <w:color w:val="auto"/>
              </w:rPr>
              <w:t>356,304</w:t>
            </w:r>
          </w:p>
        </w:tc>
        <w:tc>
          <w:tcPr>
            <w:tcW w:w="560" w:type="dxa"/>
            <w:vAlign w:val="bottom"/>
            <w:shd w:val="clear" w:color="auto" w:fill="CCECFF"/>
          </w:tcPr>
          <w:p>
            <w:pPr>
              <w:jc w:val="right"/>
              <w:ind w:right="140"/>
              <w:spacing w:after="0" w:line="10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CFF"/>
          </w:tcPr>
          <w:p>
            <w:pPr>
              <w:jc w:val="right"/>
              <w:ind w:right="180"/>
              <w:spacing w:after="0" w:line="105" w:lineRule="exact"/>
              <w:rPr>
                <w:sz w:val="20"/>
                <w:szCs w:val="20"/>
                <w:color w:val="auto"/>
              </w:rPr>
            </w:pPr>
            <w:r>
              <w:rPr>
                <w:rFonts w:ascii="Times New Roman" w:cs="Times New Roman" w:eastAsia="Times New Roman" w:hAnsi="Times New Roman"/>
                <w:sz w:val="12"/>
                <w:szCs w:val="12"/>
                <w:color w:val="auto"/>
              </w:rPr>
              <w:t>12.36</w:t>
            </w:r>
          </w:p>
        </w:tc>
        <w:tc>
          <w:tcPr>
            <w:tcW w:w="2280" w:type="dxa"/>
            <w:vAlign w:val="bottom"/>
            <w:gridSpan w:val="2"/>
            <w:shd w:val="clear" w:color="auto" w:fill="CCECFF"/>
          </w:tcPr>
          <w:p>
            <w:pPr>
              <w:jc w:val="right"/>
              <w:ind w:right="300"/>
              <w:spacing w:after="0" w:line="105"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tcBorders>
            <w:shd w:val="clear" w:color="auto" w:fill="CCECFF"/>
          </w:tcPr>
          <w:p>
            <w:pPr>
              <w:jc w:val="right"/>
              <w:ind w:right="726"/>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CFF"/>
          </w:tcPr>
          <w:p>
            <w:pPr>
              <w:jc w:val="right"/>
              <w:spacing w:after="0" w:line="105" w:lineRule="exact"/>
              <w:rPr>
                <w:sz w:val="20"/>
                <w:szCs w:val="20"/>
                <w:color w:val="auto"/>
              </w:rPr>
            </w:pPr>
            <w:r>
              <w:rPr>
                <w:rFonts w:ascii="Times New Roman" w:cs="Times New Roman" w:eastAsia="Times New Roman" w:hAnsi="Times New Roman"/>
                <w:sz w:val="12"/>
                <w:szCs w:val="12"/>
                <w:color w:val="auto"/>
              </w:rPr>
              <w:t>250,000,000</w:t>
            </w:r>
          </w:p>
        </w:tc>
        <w:tc>
          <w:tcPr>
            <w:tcW w:w="120" w:type="dxa"/>
            <w:vAlign w:val="bottom"/>
            <w:shd w:val="clear" w:color="auto" w:fill="CCECFF"/>
          </w:tcPr>
          <w:p>
            <w:pPr>
              <w:spacing w:after="0"/>
              <w:rPr>
                <w:sz w:val="9"/>
                <w:szCs w:val="9"/>
                <w:color w:val="auto"/>
              </w:rPr>
            </w:pPr>
          </w:p>
        </w:tc>
      </w:tr>
      <w:tr>
        <w:trPr>
          <w:trHeight w:val="144"/>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August 1, 2026 - August 31,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9,245,694</w:t>
            </w:r>
          </w:p>
        </w:tc>
        <w:tc>
          <w:tcPr>
            <w:tcW w:w="56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11.16</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9,242,640</w:t>
            </w:r>
          </w:p>
        </w:tc>
        <w:tc>
          <w:tcPr>
            <w:tcW w:w="280" w:type="dxa"/>
            <w:vAlign w:val="bottom"/>
          </w:tcPr>
          <w:p>
            <w:pPr>
              <w:spacing w:after="0"/>
              <w:rPr>
                <w:sz w:val="12"/>
                <w:szCs w:val="12"/>
                <w:color w:val="auto"/>
              </w:rPr>
            </w:pPr>
          </w:p>
        </w:tc>
        <w:tc>
          <w:tcPr>
            <w:tcW w:w="84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146,842,936</w:t>
            </w:r>
          </w:p>
        </w:tc>
        <w:tc>
          <w:tcPr>
            <w:tcW w:w="120" w:type="dxa"/>
            <w:vAlign w:val="bottom"/>
          </w:tcPr>
          <w:p>
            <w:pPr>
              <w:spacing w:after="0"/>
              <w:rPr>
                <w:sz w:val="12"/>
                <w:szCs w:val="12"/>
                <w:color w:val="auto"/>
              </w:rPr>
            </w:pPr>
          </w:p>
        </w:tc>
      </w:tr>
      <w:tr>
        <w:trPr>
          <w:trHeight w:val="144"/>
        </w:trPr>
        <w:tc>
          <w:tcPr>
            <w:tcW w:w="41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2"/>
                <w:szCs w:val="12"/>
                <w:color w:val="auto"/>
              </w:rPr>
              <w:t>September 1, 2026 - September 30, 2026</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8,462,435</w:t>
            </w:r>
          </w:p>
        </w:tc>
        <w:tc>
          <w:tcPr>
            <w:tcW w:w="560" w:type="dxa"/>
            <w:vAlign w:val="bottom"/>
            <w:tcBorders>
              <w:bottom w:val="single" w:sz="8" w:color="CCECFF"/>
            </w:tcBorders>
            <w:shd w:val="clear" w:color="auto" w:fill="CCEC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CFF"/>
            </w:tcBorders>
            <w:shd w:val="clear" w:color="auto" w:fill="CCECFF"/>
          </w:tcPr>
          <w:p>
            <w:pPr>
              <w:jc w:val="right"/>
              <w:ind w:right="180"/>
              <w:spacing w:after="0"/>
              <w:rPr>
                <w:sz w:val="20"/>
                <w:szCs w:val="20"/>
                <w:color w:val="auto"/>
              </w:rPr>
            </w:pPr>
            <w:r>
              <w:rPr>
                <w:rFonts w:ascii="Times New Roman" w:cs="Times New Roman" w:eastAsia="Times New Roman" w:hAnsi="Times New Roman"/>
                <w:sz w:val="12"/>
                <w:szCs w:val="12"/>
                <w:color w:val="auto"/>
              </w:rPr>
              <w:t>6.32</w:t>
            </w:r>
          </w:p>
        </w:tc>
        <w:tc>
          <w:tcPr>
            <w:tcW w:w="2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8,461,129</w:t>
            </w:r>
          </w:p>
        </w:tc>
        <w:tc>
          <w:tcPr>
            <w:tcW w:w="28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jc w:val="right"/>
              <w:ind w:right="7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93,304,257</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0"/>
        </w:trPr>
        <w:tc>
          <w:tcPr>
            <w:tcW w:w="41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2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18,064,433</w:t>
            </w:r>
          </w:p>
        </w:tc>
        <w:tc>
          <w:tcPr>
            <w:tcW w:w="56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8.92</w:t>
            </w:r>
          </w:p>
        </w:tc>
        <w:tc>
          <w:tcPr>
            <w:tcW w:w="2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17,703,769</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-113665</wp:posOffset>
            </wp:positionV>
            <wp:extent cx="7429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5509895</wp:posOffset>
            </wp:positionH>
            <wp:positionV relativeFrom="paragraph">
              <wp:posOffset>-113665</wp:posOffset>
            </wp:positionV>
            <wp:extent cx="6858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41" w:lineRule="exact"/>
        <w:rPr>
          <w:sz w:val="20"/>
          <w:szCs w:val="20"/>
          <w:color w:val="auto"/>
        </w:rPr>
      </w:pPr>
    </w:p>
    <w:p>
      <w:pPr>
        <w:ind w:left="1020" w:hanging="516"/>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purchased include shares that were withheld to satisfy the withholding tax obligations related to RSUs and PSUs that vested during the period and shares purchased under our repurchase program.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Insider Trading Arrangements</w:t>
      </w:r>
    </w:p>
    <w:p>
      <w:pPr>
        <w:spacing w:after="0" w:line="8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Our officers and directors did not enter into, modify or terminate any Rule 10b5-1 trading arrangements or non-Rule 10b5-1 trading arrangements (each as defined in Item 408(c) of Regulation S-K) during the quarter ended September 30, 2026.</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501015</wp:posOffset>
            </wp:positionV>
            <wp:extent cx="7203440"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type w:val="continuous"/>
        </w:sectPr>
      </w:pPr>
    </w:p>
    <w:bookmarkStart w:id="48" w:name="page49"/>
    <w:bookmarkEnd w:id="48"/>
    <w:p>
      <w:pPr>
        <w:ind w:left="8"/>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6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31.1 **</w:t>
            </w:r>
          </w:p>
        </w:tc>
        <w:tc>
          <w:tcPr>
            <w:tcW w:w="3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9"/>
              </w:rPr>
              <w:t>Certification of Principal Executive Officer pursuant to Rule 13a-14(a).</w:t>
            </w:r>
          </w:p>
        </w:tc>
        <w:tc>
          <w:tcPr>
            <w:tcW w:w="6680" w:type="dxa"/>
            <w:vAlign w:val="bottom"/>
          </w:tcPr>
          <w:p>
            <w:pPr>
              <w:spacing w:after="0"/>
              <w:rPr>
                <w:sz w:val="12"/>
                <w:szCs w:val="12"/>
                <w:color w:val="auto"/>
              </w:rPr>
            </w:pPr>
          </w:p>
        </w:tc>
      </w:tr>
      <w:tr>
        <w:trPr>
          <w:trHeight w:val="187"/>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31.2 **</w:t>
            </w:r>
          </w:p>
        </w:tc>
        <w:tc>
          <w:tcPr>
            <w:tcW w:w="3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Certification of Principal Financial Officer pursuant to Rule 13a-14(a).</w:t>
            </w:r>
          </w:p>
        </w:tc>
        <w:tc>
          <w:tcPr>
            <w:tcW w:w="20" w:type="dxa"/>
            <w:vAlign w:val="bottom"/>
            <w:tcBorders>
              <w:bottom w:val="single" w:sz="8" w:color="0000EE"/>
            </w:tcBorders>
          </w:tcPr>
          <w:p>
            <w:pPr>
              <w:spacing w:after="0"/>
              <w:rPr>
                <w:sz w:val="16"/>
                <w:szCs w:val="16"/>
                <w:color w:val="auto"/>
              </w:rPr>
            </w:pPr>
          </w:p>
        </w:tc>
        <w:tc>
          <w:tcPr>
            <w:tcW w:w="6700" w:type="dxa"/>
            <w:vAlign w:val="bottom"/>
            <w:gridSpan w:val="2"/>
          </w:tcPr>
          <w:p>
            <w:pPr>
              <w:spacing w:after="0"/>
              <w:rPr>
                <w:sz w:val="16"/>
                <w:szCs w:val="16"/>
                <w:color w:val="auto"/>
              </w:rPr>
            </w:pPr>
          </w:p>
        </w:tc>
      </w:tr>
      <w:tr>
        <w:trPr>
          <w:trHeight w:val="187"/>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32.1 **</w:t>
            </w:r>
          </w:p>
        </w:tc>
        <w:tc>
          <w:tcPr>
            <w:tcW w:w="10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rPr>
              <w:t>Certification of Principal Executive Officer and Principal Financial Officer pursuant to 18 U.S.C. Section 1350 as adopted pursuant to Section 906 of the Sarbanes-Oxley Act of 2002 (furnished pursuant to Item</w:t>
            </w:r>
          </w:p>
        </w:tc>
      </w:tr>
      <w:tr>
        <w:trPr>
          <w:trHeight w:val="124"/>
        </w:trPr>
        <w:tc>
          <w:tcPr>
            <w:tcW w:w="1020" w:type="dxa"/>
            <w:vAlign w:val="bottom"/>
          </w:tcPr>
          <w:p>
            <w:pPr>
              <w:spacing w:after="0"/>
              <w:rPr>
                <w:sz w:val="10"/>
                <w:szCs w:val="10"/>
                <w:color w:val="auto"/>
              </w:rPr>
            </w:pPr>
          </w:p>
        </w:tc>
        <w:tc>
          <w:tcPr>
            <w:tcW w:w="1012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FF"/>
              </w:rPr>
              <w:t>601(b)(32)(ii) of Regulation S-K).</w:t>
            </w:r>
          </w:p>
        </w:tc>
      </w:tr>
      <w:tr>
        <w:trPr>
          <w:trHeight w:val="20"/>
        </w:trPr>
        <w:tc>
          <w:tcPr>
            <w:tcW w:w="1020" w:type="dxa"/>
            <w:vAlign w:val="bottom"/>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8460" w:type="dxa"/>
            <w:vAlign w:val="bottom"/>
            <w:gridSpan w:val="4"/>
          </w:tcPr>
          <w:p>
            <w:pPr>
              <w:spacing w:after="0" w:line="20" w:lineRule="exact"/>
              <w:rPr>
                <w:sz w:val="1"/>
                <w:szCs w:val="1"/>
                <w:color w:val="auto"/>
              </w:rPr>
            </w:pP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101.INS</w:t>
            </w:r>
          </w:p>
        </w:tc>
        <w:tc>
          <w:tcPr>
            <w:tcW w:w="101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Inline XBRL Instance Document – The instance document does not appear in the interactive data file because its XBRL tags are embedded within the inline XBRL document.</w:t>
            </w:r>
          </w:p>
        </w:tc>
      </w:t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101.SCH</w:t>
            </w:r>
          </w:p>
        </w:tc>
        <w:tc>
          <w:tcPr>
            <w:tcW w:w="101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Inline XBRL Schema Document, furnished herewith.</w:t>
            </w:r>
          </w:p>
        </w:tc>
      </w:tr>
    </w:tbl>
    <w:p>
      <w:pPr>
        <w:spacing w:after="0" w:line="52" w:lineRule="exact"/>
        <w:rPr>
          <w:sz w:val="20"/>
          <w:szCs w:val="20"/>
          <w:color w:val="auto"/>
        </w:rPr>
      </w:pPr>
    </w:p>
    <w:p>
      <w:pPr>
        <w:ind w:left="908" w:right="6240" w:hanging="908"/>
        <w:spacing w:after="0" w:line="749" w:lineRule="auto"/>
        <w:tabs>
          <w:tab w:leader="none" w:pos="102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47"/>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203440"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8"/>
          </w:cols>
          <w:pgMar w:left="292" w:top="1421"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VISTANCE NETWORKS, INC.</w:t>
            </w:r>
          </w:p>
        </w:tc>
      </w:tr>
      <w:tr>
        <w:trPr>
          <w:trHeight w:val="306"/>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November 4, 2026</w:t>
            </w:r>
          </w:p>
        </w:tc>
        <w:tc>
          <w:tcPr>
            <w:tcW w:w="298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Kyle D. Lorentzen</w:t>
            </w:r>
          </w:p>
        </w:tc>
      </w:tr>
      <w:tr>
        <w:trPr>
          <w:trHeight w:val="120"/>
        </w:trPr>
        <w:tc>
          <w:tcPr>
            <w:tcW w:w="32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Date</w:t>
            </w:r>
          </w:p>
        </w:tc>
        <w:tc>
          <w:tcPr>
            <w:tcW w:w="2980" w:type="dxa"/>
            <w:vAlign w:val="bottom"/>
          </w:tcPr>
          <w:p>
            <w:pPr>
              <w:spacing w:after="0"/>
              <w:rPr>
                <w:sz w:val="10"/>
                <w:szCs w:val="10"/>
                <w:color w:val="auto"/>
              </w:rPr>
            </w:pPr>
          </w:p>
        </w:tc>
        <w:tc>
          <w:tcPr>
            <w:tcW w:w="50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Kyle D. Lorentzen</w:t>
            </w:r>
          </w:p>
        </w:tc>
      </w:tr>
      <w:tr>
        <w:trPr>
          <w:trHeight w:val="144"/>
        </w:trPr>
        <w:tc>
          <w:tcPr>
            <w:tcW w:w="32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Executive Vice President and Chief Financial Officer</w:t>
            </w:r>
          </w:p>
        </w:tc>
      </w:tr>
      <w:tr>
        <w:trPr>
          <w:trHeight w:val="157"/>
        </w:trPr>
        <w:tc>
          <w:tcPr>
            <w:tcW w:w="32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(Principal Financial Officer and duly authorized officer)</w:t>
            </w:r>
          </w:p>
        </w:tc>
      </w:tr>
      <w:tr>
        <w:trPr>
          <w:trHeight w:val="720"/>
        </w:trPr>
        <w:tc>
          <w:tcPr>
            <w:tcW w:w="3240" w:type="dxa"/>
            <w:vAlign w:val="bottom"/>
          </w:tcPr>
          <w:p>
            <w:pPr>
              <w:spacing w:after="0"/>
              <w:rPr>
                <w:sz w:val="24"/>
                <w:szCs w:val="24"/>
                <w:color w:val="auto"/>
              </w:rPr>
            </w:pPr>
          </w:p>
        </w:tc>
        <w:tc>
          <w:tcPr>
            <w:tcW w:w="298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49</w:t>
            </w:r>
          </w:p>
        </w:tc>
        <w:tc>
          <w:tcPr>
            <w:tcW w:w="5080" w:type="dxa"/>
            <w:vAlign w:val="bottom"/>
          </w:tcPr>
          <w:p>
            <w:pPr>
              <w:spacing w:after="0"/>
              <w:rPr>
                <w:sz w:val="24"/>
                <w:szCs w:val="24"/>
                <w:color w:val="auto"/>
              </w:rPr>
            </w:pPr>
          </w:p>
        </w:tc>
      </w:tr>
      <w:tr>
        <w:trPr>
          <w:trHeight w:val="792"/>
        </w:trPr>
        <w:tc>
          <w:tcPr>
            <w:tcW w:w="32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33" w:right="2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MANAGEMENT 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Charles L. Treadway, certify that:</w:t>
      </w:r>
    </w:p>
    <w:p>
      <w:pPr>
        <w:spacing w:after="0" w:line="150" w:lineRule="exact"/>
        <w:rPr>
          <w:sz w:val="20"/>
          <w:szCs w:val="20"/>
          <w:color w:val="auto"/>
        </w:rPr>
      </w:pPr>
    </w:p>
    <w:p>
      <w:pPr>
        <w:ind w:left="128" w:hanging="128"/>
        <w:spacing w:after="0"/>
        <w:tabs>
          <w:tab w:leader="none" w:pos="12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Vistance Networks, Inc.;</w:t>
      </w:r>
    </w:p>
    <w:p>
      <w:pPr>
        <w:spacing w:after="0" w:line="150" w:lineRule="exact"/>
        <w:rPr>
          <w:rFonts w:ascii="Times New Roman" w:cs="Times New Roman" w:eastAsia="Times New Roman" w:hAnsi="Times New Roman"/>
          <w:sz w:val="12"/>
          <w:szCs w:val="12"/>
          <w:color w:val="auto"/>
        </w:rPr>
      </w:pPr>
    </w:p>
    <w:p>
      <w:pPr>
        <w:ind w:left="8" w:right="280" w:hanging="8"/>
        <w:spacing w:after="0" w:line="279" w:lineRule="auto"/>
        <w:tabs>
          <w:tab w:leader="none" w:pos="12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8" w:right="200" w:hanging="8"/>
        <w:spacing w:after="0" w:line="279" w:lineRule="auto"/>
        <w:tabs>
          <w:tab w:leader="none" w:pos="12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8" w:right="420" w:hanging="8"/>
        <w:spacing w:after="0" w:line="279" w:lineRule="auto"/>
        <w:tabs>
          <w:tab w:leader="none" w:pos="12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508" w:right="480" w:firstLine="4"/>
        <w:spacing w:after="0" w:line="279" w:lineRule="auto"/>
        <w:tabs>
          <w:tab w:leader="none" w:pos="631"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508" w:right="240" w:firstLine="4"/>
        <w:spacing w:after="0" w:line="279" w:lineRule="auto"/>
        <w:tabs>
          <w:tab w:leader="none" w:pos="638"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508" w:right="240" w:firstLine="4"/>
        <w:spacing w:after="0" w:line="279" w:lineRule="auto"/>
        <w:tabs>
          <w:tab w:leader="none" w:pos="631"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508" w:right="280" w:firstLine="4"/>
        <w:spacing w:after="0" w:line="279" w:lineRule="auto"/>
        <w:tabs>
          <w:tab w:leader="none" w:pos="638"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8" w:right="20" w:hanging="8"/>
        <w:spacing w:after="0" w:line="279" w:lineRule="auto"/>
        <w:tabs>
          <w:tab w:leader="none" w:pos="12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508" w:right="60" w:firstLine="4"/>
        <w:spacing w:after="0" w:line="279" w:lineRule="auto"/>
        <w:tabs>
          <w:tab w:leader="none" w:pos="631"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648" w:hanging="136"/>
        <w:spacing w:after="0"/>
        <w:tabs>
          <w:tab w:leader="none" w:pos="648"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Dated: November 4, 2026</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 Charles L. Treadway</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Name:</w:t>
            </w:r>
          </w:p>
        </w:tc>
        <w:tc>
          <w:tcPr>
            <w:tcW w:w="4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Charles L. Treadway</w:t>
            </w:r>
          </w:p>
        </w:tc>
        <w:tc>
          <w:tcPr>
            <w:tcW w:w="6800" w:type="dxa"/>
            <w:vAlign w:val="bottom"/>
          </w:tcPr>
          <w:p>
            <w:pPr>
              <w:spacing w:after="0"/>
              <w:rPr>
                <w:sz w:val="12"/>
                <w:szCs w:val="12"/>
                <w:color w:val="auto"/>
              </w:rPr>
            </w:pPr>
          </w:p>
        </w:tc>
      </w:tr>
      <w:tr>
        <w:trPr>
          <w:trHeight w:val="155"/>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108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President, Chief Executive Officer and Director (Principal Executive Officer)</w:t>
            </w:r>
          </w:p>
        </w:tc>
      </w:tr>
      <w:tr>
        <w:trPr>
          <w:trHeight w:val="792"/>
        </w:trPr>
        <w:tc>
          <w:tcPr>
            <w:tcW w:w="5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01" w:right="2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MANAGEMENT 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Kyle D. Lorentzen, certify that:</w:t>
      </w:r>
    </w:p>
    <w:p>
      <w:pPr>
        <w:spacing w:after="0" w:line="150" w:lineRule="exact"/>
        <w:rPr>
          <w:sz w:val="20"/>
          <w:szCs w:val="20"/>
          <w:color w:val="auto"/>
        </w:rPr>
      </w:pPr>
    </w:p>
    <w:p>
      <w:pPr>
        <w:ind w:left="128" w:hanging="128"/>
        <w:spacing w:after="0"/>
        <w:tabs>
          <w:tab w:leader="none" w:pos="12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Vistance Networks, Inc.;</w:t>
      </w:r>
    </w:p>
    <w:p>
      <w:pPr>
        <w:spacing w:after="0" w:line="150" w:lineRule="exact"/>
        <w:rPr>
          <w:rFonts w:ascii="Times New Roman" w:cs="Times New Roman" w:eastAsia="Times New Roman" w:hAnsi="Times New Roman"/>
          <w:sz w:val="12"/>
          <w:szCs w:val="12"/>
          <w:color w:val="auto"/>
        </w:rPr>
      </w:pPr>
    </w:p>
    <w:p>
      <w:pPr>
        <w:ind w:left="8" w:right="280" w:hanging="8"/>
        <w:spacing w:after="0" w:line="279" w:lineRule="auto"/>
        <w:tabs>
          <w:tab w:leader="none" w:pos="12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8" w:right="200" w:hanging="8"/>
        <w:spacing w:after="0" w:line="279" w:lineRule="auto"/>
        <w:tabs>
          <w:tab w:leader="none" w:pos="12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8" w:right="420" w:hanging="8"/>
        <w:spacing w:after="0" w:line="279" w:lineRule="auto"/>
        <w:tabs>
          <w:tab w:leader="none" w:pos="12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508" w:right="480" w:firstLine="4"/>
        <w:spacing w:after="0" w:line="279" w:lineRule="auto"/>
        <w:tabs>
          <w:tab w:leader="none" w:pos="631"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508" w:right="240" w:firstLine="4"/>
        <w:spacing w:after="0" w:line="279" w:lineRule="auto"/>
        <w:tabs>
          <w:tab w:leader="none" w:pos="638"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508" w:right="240" w:firstLine="4"/>
        <w:spacing w:after="0" w:line="279" w:lineRule="auto"/>
        <w:tabs>
          <w:tab w:leader="none" w:pos="631"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508" w:right="280" w:firstLine="4"/>
        <w:spacing w:after="0" w:line="279" w:lineRule="auto"/>
        <w:tabs>
          <w:tab w:leader="none" w:pos="638"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8" w:right="20" w:hanging="8"/>
        <w:spacing w:after="0" w:line="279" w:lineRule="auto"/>
        <w:tabs>
          <w:tab w:leader="none" w:pos="12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508" w:right="60" w:firstLine="4"/>
        <w:spacing w:after="0" w:line="279" w:lineRule="auto"/>
        <w:tabs>
          <w:tab w:leader="none" w:pos="631"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648" w:hanging="136"/>
        <w:spacing w:after="0"/>
        <w:tabs>
          <w:tab w:leader="none" w:pos="648"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Dated: November 4, 2026</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 Kyle D. Lorentzen</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Name:</w:t>
            </w:r>
          </w:p>
        </w:tc>
        <w:tc>
          <w:tcPr>
            <w:tcW w:w="4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Kyle D. Lorentzen</w:t>
            </w:r>
          </w:p>
        </w:tc>
        <w:tc>
          <w:tcPr>
            <w:tcW w:w="6800" w:type="dxa"/>
            <w:vAlign w:val="bottom"/>
          </w:tcPr>
          <w:p>
            <w:pPr>
              <w:spacing w:after="0"/>
              <w:rPr>
                <w:sz w:val="12"/>
                <w:szCs w:val="12"/>
                <w:color w:val="auto"/>
              </w:rPr>
            </w:pPr>
          </w:p>
        </w:tc>
      </w:tr>
      <w:tr>
        <w:trPr>
          <w:trHeight w:val="144"/>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108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Executive Vice President and Chief Financial Officer (Principal Financial</w:t>
            </w:r>
          </w:p>
        </w:tc>
      </w:tr>
      <w:tr>
        <w:trPr>
          <w:trHeight w:val="155"/>
        </w:trPr>
        <w:tc>
          <w:tcPr>
            <w:tcW w:w="500" w:type="dxa"/>
            <w:vAlign w:val="bottom"/>
          </w:tcPr>
          <w:p>
            <w:pPr>
              <w:spacing w:after="0"/>
              <w:rPr>
                <w:sz w:val="13"/>
                <w:szCs w:val="13"/>
                <w:color w:val="auto"/>
              </w:rPr>
            </w:pPr>
          </w:p>
        </w:tc>
        <w:tc>
          <w:tcPr>
            <w:tcW w:w="108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Officer)</w:t>
            </w:r>
          </w:p>
        </w:tc>
      </w:tr>
      <w:tr>
        <w:trPr>
          <w:trHeight w:val="792"/>
        </w:trPr>
        <w:tc>
          <w:tcPr>
            <w:tcW w:w="5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01" w:right="2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8" w:right="180"/>
        <w:spacing w:after="0" w:line="265" w:lineRule="auto"/>
        <w:rPr>
          <w:sz w:val="20"/>
          <w:szCs w:val="20"/>
          <w:color w:val="auto"/>
        </w:rPr>
      </w:pPr>
      <w:r>
        <w:rPr>
          <w:rFonts w:ascii="Times New Roman" w:cs="Times New Roman" w:eastAsia="Times New Roman" w:hAnsi="Times New Roman"/>
          <w:sz w:val="12"/>
          <w:szCs w:val="12"/>
          <w:color w:val="auto"/>
        </w:rPr>
        <w:t>In connection with the Quarterly Report of Vistance Networks, Inc. (the “Company”) on Form 10-Q for the quarter ended September 30, 2026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spacing w:after="0" w:line="119" w:lineRule="exact"/>
        <w:rPr>
          <w:sz w:val="20"/>
          <w:szCs w:val="20"/>
          <w:color w:val="auto"/>
        </w:rPr>
      </w:pPr>
    </w:p>
    <w:p>
      <w:pPr>
        <w:ind w:left="128" w:hanging="128"/>
        <w:spacing w:after="0"/>
        <w:tabs>
          <w:tab w:leader="none" w:pos="12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8" w:right="4220" w:hanging="8"/>
        <w:spacing w:after="0" w:line="508" w:lineRule="auto"/>
        <w:tabs>
          <w:tab w:leader="none" w:pos="12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 Dated: November 4, 2026</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 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22897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Charles L. Treadway</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President, Chief Executive Officer and Director</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22897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2"/>
          <w:szCs w:val="12"/>
          <w:color w:val="auto"/>
        </w:rPr>
        <w:t>Kyle D. Lorentzen</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676910</wp:posOffset>
            </wp:positionV>
            <wp:extent cx="7203440"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1" w:right="29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emdash "/>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8"/>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2"/>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04"/>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2026-11-05T06:25:05Z</dcterms:created>
  <dcterms:modified xsi:type="dcterms:W3CDTF">2026-11-05T06:25:05Z</dcterms:modified>
</cp:coreProperties>
</file>