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806.htm"/>
      <w:bookmarkStart w:id="1" w:name="ksvisn2026080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August 6,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6, 2026, Vistance Networks, Inc. (the “Company” or “Vistance Networks”) issued a press release relating to its financial results for the second quarter of 2026. A copy of the press release, which is incorporated by reference herein, is attached hereto as Exhibit 99.1. Following the publication of the press release, the Company will host an earnings call during which its financial results for the second quarter of 2026 will be discussed.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information (including the exhibit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691"/>
        <w:gridCol w:w="146"/>
        <w:gridCol w:w="664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isn-ex99_1.htm">
              <w:r>
                <w:rPr>
                  <w:rStyle w:val="InternetLink"/>
                  <w:rFonts w:ascii="Times New Roman" w:hAnsi="Times New Roman"/>
                  <w:color w:val="0000FF"/>
                  <w:sz w:val="20"/>
                  <w:u w:val="single"/>
                </w:rPr>
                <w:t>Vistance Networks, Inc. press release, dated August 6, 2026</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0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1951"/>
        <w:gridCol w:w="146"/>
        <w:gridCol w:w="406"/>
        <w:gridCol w:w="631"/>
        <w:gridCol w:w="25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visn-ex99_1.htm"/>
      <w:bookmarkStart w:id="3" w:name="ksvisnex99_1"/>
      <w:bookmarkEnd w:id="2"/>
      <w:bookmarkEnd w:id="3"/>
      <w:r>
        <w:rPr>
          <w:rFonts w:ascii="Times New Roman" w:hAnsi="Times New Roman"/>
          <w:b/>
          <w:color w:val="000000"/>
          <w:sz w:val="20"/>
        </w:rPr>
        <w:t>Exhibit 99.1</w:t>
      </w:r>
      <w:r>
        <w:br w:type="page"/>
      </w:r>
    </w:p>
    <w:p>
      <w:pPr>
        <w:pStyle w:val="TextBody"/>
        <w:bidi w:val="0"/>
        <w:spacing w:before="120" w:after="283"/>
        <w:jc w:val="center"/>
        <w:rPr/>
      </w:pPr>
      <w:r>
        <w:rPr/>
        <w:drawing>
          <wp:inline distT="0" distB="0" distL="0" distR="0">
            <wp:extent cx="731520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14954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Vistance Networks Reports Second Quarter 2026 Results</w:t>
      </w:r>
    </w:p>
    <w:p>
      <w:pPr>
        <w:pStyle w:val="TextBody"/>
        <w:bidi w:val="0"/>
        <w:spacing w:before="360" w:after="283"/>
        <w:jc w:val="left"/>
        <w:rPr>
          <w:rFonts w:ascii="Arial" w:hAnsi="Arial"/>
          <w:b/>
          <w:color w:val="000000"/>
          <w:sz w:val="22"/>
        </w:rPr>
      </w:pPr>
      <w:r>
        <w:rPr>
          <w:rFonts w:ascii="Arial" w:hAnsi="Arial"/>
          <w:b/>
          <w:color w:val="000000"/>
          <w:sz w:val="22"/>
        </w:rPr>
        <w:t>Second Quarter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Net sales of $319.6 million</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2"/>
        </w:rPr>
      </w:pPr>
      <w:r>
        <w:rPr>
          <w:rFonts w:ascii="Arial" w:hAnsi="Arial"/>
          <w:color w:val="000000"/>
          <w:sz w:val="22"/>
        </w:rPr>
        <w:t>GAAP income from continuing operations of $26.1 million</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Non-GAAP adjusted EBITDA of $35.8 million </w:t>
      </w:r>
      <w:r>
        <w:rPr>
          <w:rFonts w:ascii="Arial" w:hAnsi="Arial"/>
          <w:color w:val="000000"/>
          <w:sz w:val="15"/>
        </w:rPr>
        <w:t>(1)</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Core non-GAAP adjusted EBITDA of $45.5 million* </w:t>
      </w:r>
      <w:r>
        <w:rPr>
          <w:rFonts w:ascii="Arial" w:hAnsi="Arial"/>
          <w:color w:val="000000"/>
          <w:sz w:val="15"/>
        </w:rPr>
        <w:t>(1)</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Cash flow used in operations of $(72.7) million and free cash flow of $(74.7) million </w:t>
      </w:r>
      <w:r>
        <w:rPr>
          <w:rFonts w:ascii="Arial" w:hAnsi="Arial"/>
          <w:color w:val="000000"/>
          <w:sz w:val="15"/>
        </w:rPr>
        <w:t>(2)</w:t>
      </w:r>
    </w:p>
    <w:p>
      <w:pPr>
        <w:pStyle w:val="TextBody"/>
        <w:bidi w:val="0"/>
        <w:spacing w:before="120" w:after="283"/>
        <w:jc w:val="left"/>
        <w:rPr>
          <w:rFonts w:ascii="Arial" w:hAnsi="Arial"/>
          <w:color w:val="000000"/>
          <w:sz w:val="18"/>
        </w:rPr>
      </w:pPr>
      <w:r>
        <w:rPr>
          <w:rFonts w:ascii="Arial" w:hAnsi="Arial"/>
          <w:color w:val="000000"/>
          <w:sz w:val="18"/>
        </w:rPr>
        <w:t>* Core financial measures reflect the results of the Aurora Networks (Aurora) segment and exclude general corporate costs that were previously allocated to the RUCKUS segment and Connectivity and Cable Solutions (CCS) segment, since these costs were not directly attributable to these discontinued operations. See the segment comparison tables below showing the breakdown of Aurora’s results which represent our Core financial measures, and corporate and other costs which include the general corporate costs that were previously allocated to the divestitures.</w:t>
      </w:r>
    </w:p>
    <w:p>
      <w:pPr>
        <w:pStyle w:val="TextBody"/>
        <w:bidi w:val="0"/>
        <w:spacing w:before="60" w:after="283"/>
        <w:jc w:val="left"/>
        <w:rPr>
          <w:rFonts w:ascii="Arial" w:hAnsi="Arial"/>
          <w:color w:val="000000"/>
          <w:sz w:val="18"/>
        </w:rPr>
      </w:pPr>
      <w:r>
        <w:rPr>
          <w:rFonts w:ascii="Arial" w:hAnsi="Arial"/>
          <w:color w:val="000000"/>
          <w:sz w:val="18"/>
        </w:rPr>
        <w:t>(1) See “Non-GAAP Financial Measures” and “Reconciliation of GAAP Measures to Non-GAAP Adjusted Measures” below.</w:t>
      </w:r>
    </w:p>
    <w:p>
      <w:pPr>
        <w:pStyle w:val="TextBody"/>
        <w:bidi w:val="0"/>
        <w:spacing w:before="60" w:after="283"/>
        <w:jc w:val="left"/>
        <w:rPr>
          <w:rFonts w:ascii="Arial" w:hAnsi="Arial"/>
          <w:color w:val="000000"/>
          <w:sz w:val="18"/>
        </w:rPr>
      </w:pPr>
      <w:r>
        <w:rPr>
          <w:rFonts w:ascii="Arial" w:hAnsi="Arial"/>
          <w:color w:val="000000"/>
          <w:sz w:val="18"/>
        </w:rPr>
        <w:t>(2) The cash flows related to discontinued operations have not been segregated. Accordingly, this cash flow information includes the results of continuing and discontinued operations.</w:t>
      </w:r>
    </w:p>
    <w:p>
      <w:pPr>
        <w:pStyle w:val="TextBody"/>
        <w:bidi w:val="0"/>
        <w:spacing w:before="200" w:after="120"/>
        <w:jc w:val="left"/>
        <w:rPr>
          <w:rFonts w:ascii="Times New Roman" w:hAnsi="Times New Roman"/>
          <w:sz w:val="20"/>
        </w:rPr>
      </w:pPr>
      <w:r>
        <w:rPr>
          <w:rFonts w:ascii="Arial" w:hAnsi="Arial"/>
          <w:b/>
          <w:color w:val="000000"/>
          <w:sz w:val="22"/>
        </w:rPr>
        <w:t xml:space="preserve">Richardson, TX, August 6, 2026 </w:t>
      </w:r>
      <w:r>
        <w:rPr>
          <w:rFonts w:ascii="Times New Roman" w:hAnsi="Times New Roman"/>
          <w:color w:val="000000"/>
          <w:sz w:val="20"/>
        </w:rPr>
        <w:t xml:space="preserve">— </w:t>
      </w:r>
      <w:r>
        <w:rPr>
          <w:rFonts w:ascii="Arial" w:hAnsi="Arial"/>
          <w:color w:val="000000"/>
          <w:sz w:val="22"/>
        </w:rPr>
        <w:t>Vistance Networks, Inc. (NASDAQ: VISN), a global leading provider of intelligent network solutions, today reported results for the quarter ended June 30, 2026.</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110"/>
        <w:gridCol w:w="207"/>
        <w:gridCol w:w="301"/>
        <w:gridCol w:w="837"/>
        <w:gridCol w:w="208"/>
        <w:gridCol w:w="208"/>
        <w:gridCol w:w="301"/>
        <w:gridCol w:w="837"/>
        <w:gridCol w:w="237"/>
        <w:gridCol w:w="208"/>
        <w:gridCol w:w="276"/>
        <w:gridCol w:w="1117"/>
        <w:gridCol w:w="358"/>
      </w:tblGrid>
      <w:tr>
        <w:trPr/>
        <w:tc>
          <w:tcPr>
            <w:tcW w:w="51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984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Summary of Consolidated Results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 except per share amounts)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58"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income from continuing operations</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income (loss) from continuing operations per diluted share</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(0.05</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3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Non-GAAP adjusted EBITDA </w:t>
            </w:r>
            <w:r>
              <w:rPr>
                <w:rFonts w:ascii="Arial" w:hAnsi="Arial"/>
                <w:color w:val="000000"/>
                <w:sz w:val="13"/>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Core non-GAAP adjusted EBITDA </w:t>
            </w:r>
            <w:r>
              <w:rPr>
                <w:rFonts w:ascii="Arial" w:hAnsi="Arial"/>
                <w:color w:val="000000"/>
                <w:sz w:val="13"/>
              </w:rPr>
              <w:t>(1) (2)</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w:t>
            </w:r>
          </w:p>
        </w:tc>
        <w:tc>
          <w:tcPr>
            <w:tcW w:w="23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w:t>
            </w:r>
          </w:p>
        </w:tc>
        <w:tc>
          <w:tcPr>
            <w:tcW w:w="358"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Non-GAAP adjusted net income per diluted share </w:t>
            </w:r>
            <w:r>
              <w:rPr>
                <w:rFonts w:ascii="Arial" w:hAnsi="Arial"/>
                <w:color w:val="000000"/>
                <w:sz w:val="13"/>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NM – Not meaningful</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7"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 See “Non-GAAP Financial Measures” below.</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7"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 Aurora's results represent our Core financial measures and exclude general corporate costs that were previously allocated to the RUCKUS segment and CCS segment, since these costs were not directly attributable to these discontinued operations.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pPr>
      <w:r>
        <w:rPr>
          <w:color w:val="000000"/>
        </w:rPr>
        <w:t>“</w:t>
      </w:r>
      <w:r>
        <w:rPr>
          <w:rFonts w:ascii="Arial" w:hAnsi="Arial"/>
          <w:color w:val="000000"/>
          <w:sz w:val="22"/>
        </w:rPr>
        <w:t>This morning, in conjunction with the closing of the RUCKUS transaction on July 1, 2026, we announced the plan for a special distribution of $5.00 per share to be paid by the end of August 2026. Upon payment of this special distribution, in total, we will have returned $15.00 per share or $3.4 billion to our shareholders this year while repaying all debt and redeeming all preferred equity. We are pleased with the outcome of our divestiture strategy as it has unlocked significant value for our shareholders while positioning the business for future value creation. Following, the special distribution, we expect to end the year with between $700 and $750 million of cash with no outstanding debt allowing us to further invest in Vistance. In addition in 2027, we expect a tax refund of $160 million related to our divesture tax strategy. We will have significant funds to evaluate growth opportunities including organic and inorganic investments. These investments could range from investing more aggressively in existing or new technology to evaluating potential acquisitions to broaden the markets we participate in, our technology portfolio and our customer base.</w:t>
      </w:r>
      <w:r>
        <w:rPr>
          <w:rFonts w:ascii="Times New Roman" w:hAnsi="Times New Roman"/>
          <w:color w:val="000000"/>
          <w:sz w:val="20"/>
        </w:rPr>
        <w:t xml:space="preserve"> </w:t>
      </w:r>
      <w:r>
        <w:rPr>
          <w:rFonts w:ascii="Arial" w:hAnsi="Arial"/>
          <w:color w:val="000000"/>
          <w:sz w:val="22"/>
        </w:rPr>
        <w:t>As part of our investment strategy, we will continue to evaluate stock buybacks under the $100 million of authority the Board has approved for the buyback program” said Chuck Treadway, President and Chief Executive Officer.</w:t>
      </w:r>
    </w:p>
    <w:p>
      <w:pPr>
        <w:pStyle w:val="TextBody"/>
        <w:bidi w:val="0"/>
        <w:spacing w:before="80" w:after="160"/>
        <w:jc w:val="left"/>
        <w:rPr>
          <w:color w:val="000000"/>
        </w:rPr>
      </w:pPr>
      <w:r>
        <w:rPr>
          <w:color w:val="000000"/>
        </w:rPr>
        <w:t>“</w:t>
      </w:r>
      <w:r>
        <w:rPr>
          <w:rFonts w:ascii="Arial" w:hAnsi="Arial"/>
          <w:color w:val="000000"/>
          <w:sz w:val="22"/>
        </w:rPr>
        <w:t>The Aurora business delivered $319 million of revenue and $46 million of Adjusted EBITDA in the second quarter. This was generally aligned with our expectations and down versus the prior year due to strong license sales in the second quarter of 2025, memory chip pricing and stranded costs associated with the divestitures. Our full year adjusted EBITDA guideposts of $200 to $225 million are down $25 million versus the first quarter guideposts driven by continued challenges with memory chip pricing and availability. We remain confident in the underlying demand for our products” said Kyle Lorentzen, Chief Financial Officer.</w:t>
      </w:r>
    </w:p>
    <w:p>
      <w:pPr>
        <w:pStyle w:val="TextBody"/>
        <w:bidi w:val="0"/>
        <w:spacing w:before="80" w:after="283"/>
        <w:jc w:val="left"/>
        <w:rPr>
          <w:rFonts w:ascii="Arial" w:hAnsi="Arial"/>
          <w:color w:val="000000"/>
          <w:sz w:val="22"/>
        </w:rPr>
      </w:pPr>
      <w:r>
        <w:rPr>
          <w:rFonts w:ascii="Arial" w:hAnsi="Arial"/>
          <w:color w:val="000000"/>
          <w:sz w:val="22"/>
        </w:rPr>
        <w:t>On July 1, 2026, the Company completed the previously announced sale of its RUCKUS segment to Belden Inc. (Belden) pursuant to the Purchase Agreement, dated as of April 29, 2026, in which Belden acquired the RUCKUS segment on a cash-free, debt-free basis, in exchange for approximately $1.846 billion in cash, subject to certain adjustments. As a result of the RUCKUS sale, unless otherwise noted, these financial results relate to Vistance Networks’ continuing operations based on our remaining Aurora segment. For all periods presented, amounts have been recast to reflect these changes.</w:t>
      </w:r>
    </w:p>
    <w:p>
      <w:pPr>
        <w:pStyle w:val="TextBody"/>
        <w:bidi w:val="0"/>
        <w:spacing w:before="360" w:after="283"/>
        <w:jc w:val="left"/>
        <w:rPr>
          <w:rFonts w:ascii="Times New Roman" w:hAnsi="Times New Roman"/>
          <w:sz w:val="20"/>
        </w:rPr>
      </w:pPr>
      <w:r>
        <w:rPr>
          <w:rFonts w:ascii="Arial" w:hAnsi="Arial"/>
          <w:b/>
          <w:color w:val="000000"/>
          <w:sz w:val="22"/>
        </w:rPr>
        <w:t>Second Quarter Results and Comparisons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2"/>
        </w:rPr>
      </w:pPr>
      <w:r>
        <w:rPr>
          <w:rFonts w:ascii="Arial" w:hAnsi="Arial"/>
          <w:color w:val="000000"/>
          <w:sz w:val="22"/>
        </w:rPr>
        <w:t>Net sales in the second quarter of 2026 decreased 1.4% year-over-year to $319.6 million with decreases in the Europe, Middle East and Africa (EMEA) region and Canada, partially offset by increases in the United States (U.S.), the Asia Pacific (APAC) region and the Caribbean and Latin America (CALA) region.</w:t>
      </w:r>
    </w:p>
    <w:p>
      <w:pPr>
        <w:pStyle w:val="TextBody"/>
        <w:bidi w:val="0"/>
        <w:spacing w:before="240" w:after="283"/>
        <w:jc w:val="left"/>
        <w:rPr>
          <w:rFonts w:ascii="Arial" w:hAnsi="Arial"/>
          <w:color w:val="000000"/>
          <w:sz w:val="22"/>
        </w:rPr>
      </w:pPr>
      <w:r>
        <w:rPr>
          <w:rFonts w:ascii="Arial" w:hAnsi="Arial"/>
          <w:color w:val="000000"/>
          <w:sz w:val="22"/>
        </w:rPr>
        <w:t>Income from continuing operations of $26.1 million, or $0.06 per diluted share, in the second quarter of 2026, increased compared to income from continuing operations of $5.9 million, or $(0.05) per diluted share in the same prior year period. Non-GAAP adjusted net income for the second quarter of 2026 was $28.2 million, or $0.12 per diluted share, decreased compared to $36.7 million, or $0.13 per diluted share, in the same prior year period.</w:t>
      </w:r>
    </w:p>
    <w:p>
      <w:pPr>
        <w:pStyle w:val="TextBody"/>
        <w:bidi w:val="0"/>
        <w:spacing w:before="240" w:after="283"/>
        <w:jc w:val="left"/>
        <w:rPr>
          <w:rFonts w:ascii="Arial" w:hAnsi="Arial"/>
          <w:color w:val="000000"/>
          <w:sz w:val="22"/>
        </w:rPr>
      </w:pPr>
      <w:r>
        <w:rPr>
          <w:rFonts w:ascii="Arial" w:hAnsi="Arial"/>
          <w:color w:val="000000"/>
          <w:sz w:val="22"/>
        </w:rPr>
        <w:t>Core non-GAAP adjusted EBITDA decreased 43.3% to $45.5 million in the second quarter of 2026 compared to $80.2 million in the same prior year period. Core non-GAAP adjusted EBITDA as a percentage of net sales decreased to 14.2% in the second quarter of 2026 compared to 24.7% in the same prior year period. Non-GAAP adjusted EBITDA decreased 32.1% to $35.8 million in the second quarter of 2026 compared to $52.7 million in the same prior year period. Non-GAAP adjusted EBITDA as a percentage of net sales decreased to 11.2% in the second quarter of 2026 compared to 16.3% in the same prior year period.</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2"/>
        </w:rPr>
      </w:pPr>
      <w:r>
        <w:rPr>
          <w:rFonts w:ascii="Arial" w:hAnsi="Arial"/>
          <w:b/>
          <w:color w:val="000000"/>
          <w:sz w:val="22"/>
        </w:rPr>
        <w:t>Second Quarter Comparisons</w:t>
      </w:r>
    </w:p>
    <w:p>
      <w:pPr>
        <w:pStyle w:val="TextBody"/>
        <w:bidi w:val="0"/>
        <w:jc w:val="left"/>
        <w:rPr/>
      </w:pPr>
      <w:r>
        <w:rPr/>
        <w:t> </w:t>
      </w:r>
    </w:p>
    <w:p>
      <w:pPr>
        <w:pStyle w:val="TextBody"/>
        <w:bidi w:val="0"/>
        <w:jc w:val="left"/>
        <w:rPr>
          <w:rFonts w:ascii="Arial" w:hAnsi="Arial"/>
          <w:b/>
          <w:color w:val="000000"/>
          <w:sz w:val="20"/>
          <w:u w:val="single"/>
        </w:rPr>
      </w:pPr>
      <w:r>
        <w:rPr>
          <w:rFonts w:ascii="Arial" w:hAnsi="Arial"/>
          <w:b/>
          <w:color w:val="000000"/>
          <w:sz w:val="20"/>
          <w:u w:val="single"/>
        </w:rPr>
        <w:t>Sales by Region</w:t>
      </w:r>
    </w:p>
    <w:tbl>
      <w:tblPr>
        <w:tblW w:w="6430" w:type="dxa"/>
        <w:jc w:val="left"/>
        <w:tblInd w:w="0" w:type="dxa"/>
        <w:tblLayout w:type="fixed"/>
        <w:tblCellMar>
          <w:top w:w="28" w:type="dxa"/>
          <w:left w:w="28" w:type="dxa"/>
          <w:bottom w:w="28" w:type="dxa"/>
          <w:right w:w="28" w:type="dxa"/>
        </w:tblCellMar>
      </w:tblPr>
      <w:tblGrid>
        <w:gridCol w:w="2836"/>
        <w:gridCol w:w="146"/>
        <w:gridCol w:w="214"/>
        <w:gridCol w:w="596"/>
        <w:gridCol w:w="146"/>
        <w:gridCol w:w="146"/>
        <w:gridCol w:w="214"/>
        <w:gridCol w:w="596"/>
        <w:gridCol w:w="146"/>
        <w:gridCol w:w="146"/>
        <w:gridCol w:w="146"/>
        <w:gridCol w:w="541"/>
        <w:gridCol w:w="166"/>
        <w:gridCol w:w="3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Asia Pacific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Caribbean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Net Sales</w:t>
      </w:r>
    </w:p>
    <w:tbl>
      <w:tblPr>
        <w:tblW w:w="5650" w:type="dxa"/>
        <w:jc w:val="left"/>
        <w:tblInd w:w="0" w:type="dxa"/>
        <w:tblLayout w:type="fixed"/>
        <w:tblCellMar>
          <w:top w:w="28" w:type="dxa"/>
          <w:left w:w="28" w:type="dxa"/>
          <w:bottom w:w="28" w:type="dxa"/>
          <w:right w:w="28" w:type="dxa"/>
        </w:tblCellMar>
      </w:tblPr>
      <w:tblGrid>
        <w:gridCol w:w="2056"/>
        <w:gridCol w:w="146"/>
        <w:gridCol w:w="214"/>
        <w:gridCol w:w="596"/>
        <w:gridCol w:w="146"/>
        <w:gridCol w:w="146"/>
        <w:gridCol w:w="214"/>
        <w:gridCol w:w="596"/>
        <w:gridCol w:w="146"/>
        <w:gridCol w:w="146"/>
        <w:gridCol w:w="146"/>
        <w:gridCol w:w="541"/>
        <w:gridCol w:w="166"/>
        <w:gridCol w:w="3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Aurora </w:t>
            </w:r>
            <w:r>
              <w:rPr>
                <w:rFonts w:ascii="Arial" w:hAnsi="Arial"/>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Corporate and other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Operating Income (Loss)</w:t>
      </w:r>
    </w:p>
    <w:tbl>
      <w:tblPr>
        <w:tblW w:w="6530" w:type="dxa"/>
        <w:jc w:val="left"/>
        <w:tblInd w:w="0" w:type="dxa"/>
        <w:tblLayout w:type="fixed"/>
        <w:tblCellMar>
          <w:top w:w="28" w:type="dxa"/>
          <w:left w:w="28" w:type="dxa"/>
          <w:bottom w:w="28" w:type="dxa"/>
          <w:right w:w="28" w:type="dxa"/>
        </w:tblCellMar>
      </w:tblPr>
      <w:tblGrid>
        <w:gridCol w:w="2851"/>
        <w:gridCol w:w="146"/>
        <w:gridCol w:w="227"/>
        <w:gridCol w:w="583"/>
        <w:gridCol w:w="166"/>
        <w:gridCol w:w="146"/>
        <w:gridCol w:w="227"/>
        <w:gridCol w:w="583"/>
        <w:gridCol w:w="166"/>
        <w:gridCol w:w="146"/>
        <w:gridCol w:w="146"/>
        <w:gridCol w:w="646"/>
        <w:gridCol w:w="166"/>
        <w:gridCol w:w="33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28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Aurora </w:t>
            </w:r>
            <w:r>
              <w:rPr>
                <w:rFonts w:ascii="Arial" w:hAnsi="Arial"/>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Corporate and other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operating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Adjusted EBITDA (See “Non-GAAP Financial Measures,” below)</w:t>
      </w:r>
    </w:p>
    <w:tbl>
      <w:tblPr>
        <w:tblW w:w="10205" w:type="dxa"/>
        <w:jc w:val="left"/>
        <w:tblInd w:w="0" w:type="dxa"/>
        <w:tblLayout w:type="fixed"/>
        <w:tblCellMar>
          <w:top w:w="28" w:type="dxa"/>
          <w:left w:w="28" w:type="dxa"/>
          <w:bottom w:w="28" w:type="dxa"/>
          <w:right w:w="28" w:type="dxa"/>
        </w:tblCellMar>
      </w:tblPr>
      <w:tblGrid>
        <w:gridCol w:w="3446"/>
        <w:gridCol w:w="742"/>
        <w:gridCol w:w="397"/>
        <w:gridCol w:w="906"/>
        <w:gridCol w:w="289"/>
        <w:gridCol w:w="254"/>
        <w:gridCol w:w="380"/>
        <w:gridCol w:w="977"/>
        <w:gridCol w:w="289"/>
        <w:gridCol w:w="254"/>
        <w:gridCol w:w="264"/>
        <w:gridCol w:w="984"/>
        <w:gridCol w:w="301"/>
        <w:gridCol w:w="722"/>
      </w:tblGrid>
      <w:tr>
        <w:trPr/>
        <w:tc>
          <w:tcPr>
            <w:tcW w:w="34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8"/>
              </w:rPr>
            </w:pPr>
            <w:r>
              <w:rPr>
                <w:rFonts w:ascii="Arial" w:hAnsi="Arial"/>
                <w:b/>
                <w:color w:val="000000"/>
                <w:sz w:val="18"/>
              </w:rPr>
              <w:t>% Change</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Q2 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34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Aurora </w:t>
            </w:r>
            <w:r>
              <w:rPr>
                <w:rFonts w:ascii="Arial" w:hAnsi="Arial"/>
                <w:color w:val="000000"/>
                <w:sz w:val="13"/>
              </w:rPr>
              <w:t>(1)</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Corporate and other </w:t>
            </w:r>
            <w:r>
              <w:rPr>
                <w:rFonts w:ascii="Arial" w:hAnsi="Arial"/>
                <w:color w:val="000000"/>
                <w:sz w:val="13"/>
              </w:rPr>
              <w:t>(2)</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segment adjusted EBITDA</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NM – Not meaningful</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 Aurora's results represent our Core financial measures and exclude general corporate costs that were previously allocated to the RUCKUS segment and CCS segment, since these costs were not directly attributable to these discontinued operations.</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 The corporate and other line item above primarily reflects general corporate costs that were previously allocated to the RUCKUS segment and CCS segment. These indirect expenses have been classified as continuing operations, since the costs were not directly attributable to these discontinued operations. The corporate and other costs related to the CCS segment have been reallocated to our remaining segments beginning in the first quarter of 2026 and partially offset by income from the Amphenol TSA. Beginning in the third quarter of 2026, the corporate and other costs related to the RUCKUS segment will be reallocated to our remaining segment and partially offset by income from the Belden TSA.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Net Sales, Cash Flow and 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Aurora net sales of $319.2 million decreased 1.0% from the prior year period driven by a decrease in the legacy business, partially offset by an increase in the Access Technologies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GAAP cash flow used in operations in the second quarter of 2026 was $72.7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Free cash flow used in the second quarter of 2026 was $74.7 million after adjusting operating cash flow for $2.0 million of additions to property, plant and equipment. The cash flows related to discontinued operations have not been segregated. Accordingly, this cash flow information includes the results of continuing and discontinued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The Company ended the quarter with $151.6 million in cash and cash equivalents which includes $38.0 million in cash and cash equivalents in assets held for sale.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As of June 30, the Company had no outstanding borrowings under its asset-based revolving credit facility and had availability of $137.0 million, after taking into account the borrowing base limitations and outstanding letters of credit. The Company ended the quarter with total liquidity of approximately $288.6 million.</w:t>
      </w:r>
    </w:p>
    <w:p>
      <w:pPr>
        <w:pStyle w:val="TextBody"/>
        <w:bidi w:val="0"/>
        <w:spacing w:before="360" w:after="160"/>
        <w:jc w:val="left"/>
        <w:rPr>
          <w:rFonts w:ascii="Arial" w:hAnsi="Arial"/>
          <w:b/>
          <w:color w:val="000000"/>
          <w:sz w:val="22"/>
        </w:rPr>
      </w:pPr>
      <w:r>
        <w:rPr>
          <w:rFonts w:ascii="Arial" w:hAnsi="Arial"/>
          <w:b/>
          <w:color w:val="000000"/>
          <w:sz w:val="22"/>
        </w:rPr>
        <w:t>Conference Call, Webcast and Investor Presentation</w:t>
      </w:r>
    </w:p>
    <w:p>
      <w:pPr>
        <w:pStyle w:val="TextBody"/>
        <w:bidi w:val="0"/>
        <w:jc w:val="left"/>
        <w:rPr>
          <w:rFonts w:ascii="Arial" w:hAnsi="Arial"/>
          <w:color w:val="000000"/>
          <w:sz w:val="22"/>
        </w:rPr>
      </w:pPr>
      <w:r>
        <w:rPr>
          <w:rFonts w:ascii="Arial" w:hAnsi="Arial"/>
          <w:color w:val="000000"/>
          <w:sz w:val="22"/>
        </w:rPr>
        <w:t>As previously announced, Vistance Networks will host a conference call today at 8:30 a.m. ET in which management will discuss second quarter of 2026 results. The conference call will also be webcast.</w:t>
      </w:r>
    </w:p>
    <w:p>
      <w:pPr>
        <w:pStyle w:val="TextBody"/>
        <w:bidi w:val="0"/>
        <w:spacing w:before="240" w:after="283"/>
        <w:jc w:val="left"/>
        <w:rPr>
          <w:rFonts w:ascii="Times New Roman" w:hAnsi="Times New Roman"/>
          <w:sz w:val="20"/>
        </w:rPr>
      </w:pPr>
      <w:r>
        <w:rPr>
          <w:rFonts w:ascii="Arial" w:hAnsi="Arial"/>
          <w:color w:val="000000"/>
          <w:sz w:val="22"/>
        </w:rPr>
        <w:t xml:space="preserve">The live, listen-only audio of the call will be available through a link on the </w:t>
      </w:r>
      <w:r>
        <w:rPr>
          <w:rFonts w:ascii="Arial" w:hAnsi="Arial"/>
          <w:sz w:val="22"/>
        </w:rPr>
        <w:t>Events and Presentations</w:t>
      </w:r>
      <w:r>
        <w:rPr>
          <w:rFonts w:ascii="Times New Roman" w:hAnsi="Times New Roman"/>
          <w:color w:val="000000"/>
          <w:sz w:val="20"/>
        </w:rPr>
        <w:t xml:space="preserve"> </w:t>
      </w:r>
      <w:r>
        <w:rPr>
          <w:rFonts w:ascii="Arial" w:hAnsi="Arial"/>
          <w:color w:val="000000"/>
          <w:sz w:val="22"/>
        </w:rPr>
        <w:t>page of Vistance Networks’ Investor Relations website.</w:t>
      </w:r>
    </w:p>
    <w:p>
      <w:pPr>
        <w:pStyle w:val="TextBody"/>
        <w:bidi w:val="0"/>
        <w:spacing w:before="240" w:after="283"/>
        <w:jc w:val="left"/>
        <w:rPr>
          <w:rFonts w:ascii="Times New Roman" w:hAnsi="Times New Roman"/>
          <w:sz w:val="20"/>
        </w:rPr>
      </w:pPr>
      <w:r>
        <w:rPr>
          <w:rFonts w:ascii="Arial" w:hAnsi="Arial"/>
          <w:color w:val="000000"/>
          <w:sz w:val="22"/>
        </w:rPr>
        <w:t xml:space="preserve">A webcast replay will be archived on </w:t>
      </w:r>
      <w:r>
        <w:rPr>
          <w:rFonts w:ascii="Arial" w:hAnsi="Arial"/>
          <w:sz w:val="22"/>
        </w:rPr>
        <w:t>Vistance Networks’ website</w:t>
      </w:r>
      <w:r>
        <w:rPr>
          <w:rFonts w:ascii="Times New Roman" w:hAnsi="Times New Roman"/>
          <w:color w:val="000000"/>
          <w:sz w:val="20"/>
        </w:rPr>
        <w:t xml:space="preserve"> </w:t>
      </w:r>
      <w:r>
        <w:rPr>
          <w:rFonts w:ascii="Arial" w:hAnsi="Arial"/>
          <w:color w:val="000000"/>
          <w:sz w:val="22"/>
        </w:rPr>
        <w:t>for a limited period of time following the conference call.</w:t>
      </w:r>
    </w:p>
    <w:p>
      <w:pPr>
        <w:pStyle w:val="TextBody"/>
        <w:bidi w:val="0"/>
        <w:spacing w:before="240" w:after="283"/>
        <w:jc w:val="left"/>
        <w:rPr>
          <w:rFonts w:ascii="Arial" w:hAnsi="Arial"/>
          <w:color w:val="000000"/>
          <w:sz w:val="22"/>
        </w:rPr>
      </w:pPr>
      <w:r>
        <w:rPr>
          <w:rFonts w:ascii="Arial" w:hAnsi="Arial"/>
          <w:color w:val="000000"/>
          <w:sz w:val="22"/>
        </w:rPr>
        <w:t>During the conference call, the Company may discuss and answer questions concerning business and financial developments and trends that have occurred after quarter-end. The Company’s responses to questions, as well as other matters discussed during the conference call, may contain or constitute information that has not been disclosed previously.</w:t>
      </w:r>
    </w:p>
    <w:p>
      <w:pPr>
        <w:pStyle w:val="TextBody"/>
        <w:bidi w:val="0"/>
        <w:spacing w:before="360" w:after="283"/>
        <w:jc w:val="left"/>
        <w:rPr>
          <w:rFonts w:ascii="Arial" w:hAnsi="Arial"/>
          <w:b/>
          <w:color w:val="000000"/>
          <w:sz w:val="22"/>
        </w:rPr>
      </w:pPr>
      <w:r>
        <w:rPr>
          <w:rFonts w:ascii="Arial" w:hAnsi="Arial"/>
          <w:b/>
          <w:color w:val="000000"/>
          <w:sz w:val="22"/>
        </w:rPr>
        <w:t>About Vistance Networks:</w:t>
      </w:r>
    </w:p>
    <w:p>
      <w:pPr>
        <w:pStyle w:val="TextBody"/>
        <w:bidi w:val="0"/>
        <w:spacing w:before="120" w:after="283"/>
        <w:jc w:val="left"/>
        <w:rPr>
          <w:rFonts w:ascii="Times New Roman" w:hAnsi="Times New Roman"/>
          <w:sz w:val="20"/>
        </w:rPr>
      </w:pPr>
      <w:r>
        <w:rPr>
          <w:rFonts w:ascii="Arial" w:hAnsi="Arial"/>
          <w:color w:val="000000"/>
          <w:sz w:val="22"/>
        </w:rPr>
        <w:t xml:space="preserve">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t>
      </w:r>
      <w:r>
        <w:rPr>
          <w:rFonts w:ascii="Arial" w:hAnsi="Arial"/>
          <w:color w:val="0048FA"/>
          <w:sz w:val="22"/>
          <w:u w:val="single"/>
        </w:rPr>
        <w:t>www.vistancenetworks.com</w:t>
      </w:r>
      <w:r>
        <w:rPr>
          <w:rFonts w:ascii="Arial" w:hAnsi="Arial"/>
          <w:color w:val="0048FA"/>
          <w:sz w:val="22"/>
        </w:rPr>
        <w:t>.</w:t>
      </w:r>
      <w:r>
        <w:rPr>
          <w:rFonts w:ascii="Times New Roman" w:hAnsi="Times New Roman"/>
          <w:color w:val="000000"/>
          <w:sz w:val="20"/>
        </w:rPr>
        <w:t xml:space="preserve"> </w:t>
      </w:r>
      <w:r>
        <w:rPr>
          <w:rFonts w:ascii="Arial" w:hAnsi="Arial"/>
          <w:color w:val="000000"/>
          <w:sz w:val="22"/>
        </w:rPr>
        <w:t>Follow us on</w:t>
      </w:r>
      <w:r>
        <w:rPr>
          <w:rFonts w:ascii="Times New Roman" w:hAnsi="Times New Roman"/>
          <w:sz w:val="20"/>
        </w:rPr>
        <w:t xml:space="preserve"> </w:t>
      </w:r>
      <w:r>
        <w:rPr>
          <w:rFonts w:ascii="Arial" w:hAnsi="Arial"/>
          <w:sz w:val="22"/>
        </w:rPr>
        <w:t>LinkedIn</w:t>
      </w:r>
      <w:r>
        <w:rPr>
          <w:rFonts w:ascii="Arial" w:hAnsi="Arial"/>
          <w:color w:val="000000"/>
          <w:sz w:val="22"/>
        </w:rPr>
        <w:t>.</w:t>
      </w:r>
    </w:p>
    <w:p>
      <w:pPr>
        <w:pStyle w:val="TextBody"/>
        <w:bidi w:val="0"/>
        <w:spacing w:before="120" w:after="283"/>
        <w:jc w:val="left"/>
        <w:rPr>
          <w:rFonts w:ascii="Times New Roman" w:hAnsi="Times New Roman"/>
          <w:sz w:val="20"/>
        </w:rPr>
      </w:pPr>
      <w:r>
        <w:rPr>
          <w:rFonts w:ascii="Arial" w:hAnsi="Arial"/>
          <w:b/>
          <w:color w:val="000000"/>
          <w:sz w:val="22"/>
        </w:rPr>
        <w:t>Investor Contact:</w:t>
        <w:br/>
      </w:r>
      <w:r>
        <w:rPr>
          <w:rFonts w:ascii="Arial" w:hAnsi="Arial"/>
          <w:color w:val="000000"/>
          <w:sz w:val="22"/>
        </w:rPr>
        <w:t xml:space="preserve">Jenny Thompson </w:t>
        <w:br/>
      </w:r>
      <w:r>
        <w:rPr>
          <w:rFonts w:ascii="Arial" w:hAnsi="Arial"/>
          <w:sz w:val="22"/>
        </w:rPr>
        <w:t>Jenny.Thompson@VistanceNetworks.com</w:t>
      </w:r>
      <w:r>
        <w:rPr>
          <w:rFonts w:ascii="Times New Roman" w:hAnsi="Times New Roman"/>
          <w:color w:val="000000"/>
          <w:sz w:val="20"/>
        </w:rPr>
        <w:t> </w:t>
      </w:r>
    </w:p>
    <w:p>
      <w:pPr>
        <w:pStyle w:val="TextBody"/>
        <w:bidi w:val="0"/>
        <w:spacing w:before="160" w:after="283"/>
        <w:jc w:val="left"/>
        <w:rPr>
          <w:rFonts w:ascii="Times New Roman" w:hAnsi="Times New Roman"/>
          <w:sz w:val="20"/>
        </w:rPr>
      </w:pPr>
      <w:r>
        <w:rPr>
          <w:rFonts w:ascii="Arial" w:hAnsi="Arial"/>
          <w:b/>
          <w:color w:val="000000"/>
          <w:sz w:val="22"/>
        </w:rPr>
        <w:t>News Media Contact:</w:t>
      </w:r>
      <w:r>
        <w:rPr>
          <w:rFonts w:ascii="sans-serif" w:hAnsi="sans-serif"/>
          <w:color w:val="000000"/>
          <w:sz w:val="22"/>
        </w:rPr>
        <w:br/>
      </w:r>
      <w:r>
        <w:rPr>
          <w:rFonts w:ascii="Arial" w:hAnsi="Arial"/>
          <w:color w:val="000000"/>
          <w:sz w:val="22"/>
        </w:rPr>
        <w:t xml:space="preserve">Luke Hamer </w:t>
        <w:br/>
      </w:r>
      <w:r>
        <w:rPr>
          <w:rFonts w:ascii="Arial" w:hAnsi="Arial"/>
          <w:sz w:val="22"/>
        </w:rPr>
        <w:t>Luke.Hamer@VistanceNetworks.com</w:t>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b/>
          <w:color w:val="000000"/>
          <w:sz w:val="22"/>
        </w:rPr>
      </w:pPr>
      <w:r>
        <w:rPr>
          <w:rFonts w:ascii="Arial" w:hAnsi="Arial"/>
          <w:b/>
          <w:color w:val="000000"/>
          <w:sz w:val="22"/>
        </w:rPr>
        <w:t>Non-GAAP Financial Measures</w:t>
      </w:r>
    </w:p>
    <w:p>
      <w:pPr>
        <w:pStyle w:val="TextBody"/>
        <w:bidi w:val="0"/>
        <w:spacing w:before="120" w:after="283"/>
        <w:jc w:val="left"/>
        <w:rPr>
          <w:rFonts w:ascii="Times New Roman" w:hAnsi="Times New Roman"/>
          <w:sz w:val="20"/>
        </w:rPr>
      </w:pPr>
      <w:r>
        <w:rPr>
          <w:rFonts w:ascii="Arial" w:hAnsi="Arial"/>
          <w:color w:val="000000"/>
          <w:sz w:val="22"/>
        </w:rPr>
        <w:t>Management believes that presenting certain non-GAAP financial measures enhances an investor’s understanding of our financial performance. Management further believes that these financial measures are useful in assessing Vistance Networks’ operating performance from period to period by excluding certain items that we believe are not representative of our core business. Management also uses certain of these financial measures for business planning purposes and in measuring Vistance Networks’ performance relative to that of its competitors. Management believes these financial measures are commonly used by investors to evaluate Vistance Networks’ performance and that of its competitors. However, Vistance Networks’ use of certain non-GAAP terms may vary from that of others in its industry. Non-GAAP financial measures should not be considered as alternatives to operating income (loss), net income (loss), cash flow from operations or any other performance measures derived in accordance with U.S. GAAP as measures of operating performance, operating cash flows or liquidity.</w:t>
      </w:r>
      <w:r>
        <w:rPr>
          <w:rFonts w:ascii="Times New Roman" w:hAnsi="Times New Roman"/>
          <w:color w:val="000000"/>
          <w:sz w:val="20"/>
        </w:rPr>
        <w:t xml:space="preserve"> </w:t>
      </w:r>
      <w:r>
        <w:rPr>
          <w:rFonts w:ascii="Arial" w:hAnsi="Arial"/>
          <w:color w:val="000000"/>
          <w:sz w:val="22"/>
        </w:rPr>
        <w:t>A reconciliation of each of the non-GAAP measures discussed herein to their most comparable GAAP measures is below.</w:t>
      </w:r>
    </w:p>
    <w:p>
      <w:pPr>
        <w:pStyle w:val="TextBody"/>
        <w:bidi w:val="0"/>
        <w:spacing w:before="360" w:after="283"/>
        <w:jc w:val="left"/>
        <w:rPr>
          <w:rFonts w:ascii="Arial" w:hAnsi="Arial"/>
          <w:b/>
          <w:color w:val="000000"/>
          <w:sz w:val="22"/>
        </w:rPr>
      </w:pPr>
      <w:r>
        <w:rPr>
          <w:rFonts w:ascii="Arial" w:hAnsi="Arial"/>
          <w:b/>
          <w:color w:val="000000"/>
          <w:sz w:val="22"/>
        </w:rPr>
        <w:t>Core Measures</w:t>
      </w:r>
    </w:p>
    <w:p>
      <w:pPr>
        <w:pStyle w:val="TextBody"/>
        <w:bidi w:val="0"/>
        <w:spacing w:before="120" w:after="283"/>
        <w:jc w:val="left"/>
        <w:rPr>
          <w:rFonts w:ascii="Arial" w:hAnsi="Arial"/>
          <w:color w:val="000000"/>
          <w:sz w:val="22"/>
        </w:rPr>
      </w:pPr>
      <w:r>
        <w:rPr>
          <w:rFonts w:ascii="Arial" w:hAnsi="Arial"/>
          <w:color w:val="000000"/>
          <w:sz w:val="22"/>
        </w:rPr>
        <w:t>Management believes that presenting Core financial measures enhances the investor’s understanding of the financial performance of the Company’s core businesses. Core financial measures are the results of our Aurora segment and exclude general corporate costs that were previously allocated to the RUCKUS segment and CCS segment, since these costs were not directly attributable to the discontinued operations. The Core results represent the business results as currently managed and reported by Vistance Networks. Future results and the composition of any business divested in the future may vary and differ materially from the presentation of the Core financial measures.</w:t>
      </w:r>
    </w:p>
    <w:p>
      <w:pPr>
        <w:pStyle w:val="TextBody"/>
        <w:bidi w:val="0"/>
        <w:spacing w:before="360" w:after="283"/>
        <w:jc w:val="left"/>
        <w:rPr>
          <w:rFonts w:ascii="Arial" w:hAnsi="Arial"/>
          <w:b/>
          <w:color w:val="000000"/>
          <w:sz w:val="22"/>
        </w:rPr>
      </w:pPr>
      <w:r>
        <w:rPr>
          <w:rFonts w:ascii="Arial" w:hAnsi="Arial"/>
          <w:b/>
          <w:color w:val="000000"/>
          <w:sz w:val="22"/>
        </w:rPr>
        <w:t>Forward Looking Statements</w:t>
      </w:r>
    </w:p>
    <w:p>
      <w:pPr>
        <w:pStyle w:val="TextBody"/>
        <w:bidi w:val="0"/>
        <w:spacing w:before="120" w:after="283"/>
        <w:jc w:val="left"/>
        <w:rPr>
          <w:rFonts w:ascii="Times New Roman" w:hAnsi="Times New Roman"/>
          <w:sz w:val="20"/>
        </w:rPr>
      </w:pPr>
      <w:r>
        <w:rPr>
          <w:rFonts w:ascii="Arial" w:hAnsi="Arial"/>
          <w:color w:val="000000"/>
          <w:sz w:val="22"/>
        </w:rPr>
        <w:t>This press release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2"/>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components, including memory chips, and the potential effect on customer pricing and timing of delivery of products to customers; risks related to our ability to implement price increases on our products and services; risks associated with our dependence on a limited number of key suppliers for certain components; risks related to the successful execution of our initiatives related to stranded costs reductions; potential difficulties in realigning manufacturing capacity and capabilities between our manufacturing facility and facilities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incur indebtedness at acceptable interest rates or at all; our ability to generate cash to service any future indebtedness; our ability to fully realize anticipated benefits from prior or future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2"/>
        </w:rPr>
        <w:t>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 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geopolitical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r>
        <w:rPr>
          <w:rFonts w:ascii="Times New Roman" w:hAnsi="Times New Roman"/>
          <w:color w:val="000000"/>
          <w:sz w:val="20"/>
        </w:rPr>
        <w:t xml:space="preserve"> </w:t>
      </w:r>
    </w:p>
    <w:p>
      <w:pPr>
        <w:pStyle w:val="TextBody"/>
        <w:bidi w:val="0"/>
        <w:spacing w:before="240" w:after="283"/>
        <w:jc w:val="left"/>
        <w:rPr>
          <w:rFonts w:ascii="Arial" w:hAnsi="Arial"/>
          <w:color w:val="000000"/>
          <w:sz w:val="22"/>
        </w:rPr>
      </w:pPr>
      <w:r>
        <w:rPr>
          <w:rFonts w:ascii="Arial" w:hAnsi="Arial"/>
          <w:color w:val="000000"/>
          <w:sz w:val="22"/>
        </w:rPr>
        <w:t>These and other factors are discussed in greater detail under the heading "Risk Factors" and "Management's Discussion and Analysis of Financial Condition and Results of Operations" in our Annual Report on Form 10-K for the year ended December 31, 2025, and may be updated from time to time in our annual reports, quarterly reports, current reports and other filings we make with the Securities and Exchange Commission. Although the information contained in this press release represents our best judgment as of the date of this release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press release, except to the extent required by law.</w:t>
      </w:r>
    </w:p>
    <w:p>
      <w:pPr>
        <w:pStyle w:val="TextBody"/>
        <w:bidi w:val="0"/>
        <w:spacing w:before="360" w:after="283"/>
        <w:jc w:val="center"/>
        <w:rPr>
          <w:color w:val="000000"/>
        </w:rPr>
      </w:pPr>
      <w:r>
        <w:rPr>
          <w:color w:val="000000"/>
        </w:rPr>
        <w:t>—</w:t>
      </w:r>
      <w:r>
        <w:rPr>
          <w:rFonts w:ascii="Arial" w:hAnsi="Arial"/>
          <w:b/>
          <w:color w:val="000000"/>
          <w:sz w:val="22"/>
        </w:rPr>
        <w:t>END—</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54"/>
        <w:gridCol w:w="146"/>
        <w:gridCol w:w="211"/>
        <w:gridCol w:w="571"/>
        <w:gridCol w:w="166"/>
        <w:gridCol w:w="146"/>
        <w:gridCol w:w="211"/>
        <w:gridCol w:w="571"/>
        <w:gridCol w:w="166"/>
        <w:gridCol w:w="146"/>
        <w:gridCol w:w="211"/>
        <w:gridCol w:w="721"/>
        <w:gridCol w:w="166"/>
        <w:gridCol w:w="146"/>
        <w:gridCol w:w="211"/>
        <w:gridCol w:w="571"/>
        <w:gridCol w:w="491"/>
      </w:tblGrid>
      <w:tr>
        <w:trPr/>
        <w:tc>
          <w:tcPr>
            <w:tcW w:w="5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7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 agreement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from discontinued operations, net of income tax (expense) </w:t>
              <w:br/>
              <w:t>   benefit of $244.1, $(32.3), $(1,173.8) and $(450.2),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dividends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on redemption of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Calculation of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common stockholders </w:t>
              <w:br/>
              <w:t>   (basic and 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equity-based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as-if converted Series A 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4"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tbl>
      <w:tblPr>
        <w:tblW w:w="9250" w:type="dxa"/>
        <w:jc w:val="left"/>
        <w:tblInd w:w="0" w:type="dxa"/>
        <w:tblLayout w:type="fixed"/>
        <w:tblCellMar>
          <w:top w:w="28" w:type="dxa"/>
          <w:left w:w="28" w:type="dxa"/>
          <w:bottom w:w="28" w:type="dxa"/>
          <w:right w:w="28" w:type="dxa"/>
        </w:tblCellMar>
      </w:tblPr>
      <w:tblGrid>
        <w:gridCol w:w="5756"/>
        <w:gridCol w:w="146"/>
        <w:gridCol w:w="254"/>
        <w:gridCol w:w="871"/>
        <w:gridCol w:w="166"/>
        <w:gridCol w:w="146"/>
        <w:gridCol w:w="319"/>
        <w:gridCol w:w="1181"/>
        <w:gridCol w:w="411"/>
      </w:tblGrid>
      <w:tr>
        <w:trPr/>
        <w:tc>
          <w:tcPr>
            <w:tcW w:w="5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w:t>
              <w:br/>
              <w:t>   of $0.5 and $1.2,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plant and equipment, net of accumulated depreciation </w:t>
              <w:br/>
              <w:t>   of $126.7 and $134.7,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$0.01 par value: Authorized shares: 200,000,000;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and outstanding shares: None and 1,278,653, respectively,</w:t>
              <w:b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Common stock, $0.01 par value: Authorized shares: 1,300,000,000; </w:t>
              <w:br/>
              <w:t xml:space="preserve">   Issued and outstanding shares: 230,046,379 and 223,260,316,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Treasury stock, at cost: 21,614,317 shares and </w:t>
              <w:br/>
              <w:t>   18,665,426 shares,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7"/>
        <w:gridCol w:w="174"/>
        <w:gridCol w:w="251"/>
        <w:gridCol w:w="933"/>
        <w:gridCol w:w="198"/>
        <w:gridCol w:w="174"/>
        <w:gridCol w:w="251"/>
        <w:gridCol w:w="682"/>
        <w:gridCol w:w="198"/>
        <w:gridCol w:w="174"/>
        <w:gridCol w:w="251"/>
        <w:gridCol w:w="1058"/>
        <w:gridCol w:w="198"/>
        <w:gridCol w:w="174"/>
        <w:gridCol w:w="251"/>
        <w:gridCol w:w="933"/>
        <w:gridCol w:w="518"/>
      </w:tblGrid>
      <w:tr>
        <w:trPr/>
        <w:tc>
          <w:tcPr>
            <w:tcW w:w="37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96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Condensed Consolidated Statements of Cash Flows </w:t>
            </w:r>
            <w:r>
              <w:rPr>
                <w:rFonts w:ascii="Times New Roman" w:hAnsi="Times New Roman"/>
                <w:b/>
                <w:color w:val="000000"/>
                <w:sz w:val="13"/>
              </w:rPr>
              <w:t>(1)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income to net cash generated by </w:t>
              <w:br/>
              <w:t>   (used in) operating activities: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disposal of discontinued operations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(7,009.3</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write-off of unamortized DFF and OID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Inventories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other liabilities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operating activities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proceeds from divestitures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2,041.8</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(used in) investing activities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10,537.5</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5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repaid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proceeds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issuance costs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Redemption of Series A convertible preferred stock</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Special distribution paid to common shareholders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paid on Series A convertible preferred stock</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shares under equity-based</w:t>
              <w:br/>
              <w:t>   compensation plans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payments for vested equity-based compensation</w:t>
              <w:br/>
              <w:t>   awards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(11,011.5</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w:t>
            </w:r>
          </w:p>
        </w:tc>
        <w:tc>
          <w:tcPr>
            <w:tcW w:w="5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2,510.0</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5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Restricted cash in prepaid expenses and other assets</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7"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00"/>
        <w:jc w:val="center"/>
        <w:rPr/>
      </w:pPr>
      <w:r>
        <w:rPr/>
        <w:t> </w:t>
      </w:r>
    </w:p>
    <w:p>
      <w:pPr>
        <w:pStyle w:val="TextBody"/>
        <w:bidi w:val="0"/>
        <w:spacing w:before="40" w:after="2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7"/>
        <w:gridCol w:w="262"/>
        <w:gridCol w:w="379"/>
        <w:gridCol w:w="946"/>
        <w:gridCol w:w="298"/>
        <w:gridCol w:w="262"/>
        <w:gridCol w:w="379"/>
        <w:gridCol w:w="946"/>
        <w:gridCol w:w="596"/>
      </w:tblGrid>
      <w:tr>
        <w:trPr/>
        <w:tc>
          <w:tcPr>
            <w:tcW w:w="61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Adjusted Measures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continuing operations, as reported</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as reported</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as reported</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as reported</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as reported</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as reported</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 net</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adjustments to operating income (loss)</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EBITDA</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w:t>
            </w:r>
          </w:p>
        </w:tc>
        <w:tc>
          <w:tcPr>
            <w:tcW w:w="2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w:t>
            </w:r>
          </w:p>
        </w:tc>
        <w:tc>
          <w:tcPr>
            <w:tcW w:w="5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continuing operations, as reported</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pretax adjustments to adjusted EBITDA</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effects of adjustments and other tax items </w:t>
            </w:r>
            <w:r>
              <w:rPr>
                <w:rFonts w:ascii="Times New Roman" w:hAnsi="Times New Roman"/>
                <w:color w:val="000000"/>
                <w:sz w:val="13"/>
              </w:rPr>
              <w:t>(1)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net income</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w:t>
            </w:r>
          </w:p>
        </w:tc>
        <w:tc>
          <w:tcPr>
            <w:tcW w:w="2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w:t>
            </w:r>
          </w:p>
        </w:tc>
        <w:tc>
          <w:tcPr>
            <w:tcW w:w="5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GAAP income (loss) from continuing operations per </w:t>
              <w:br/>
              <w:t xml:space="preserve">   diluted share, as reported </w:t>
            </w:r>
            <w:r>
              <w:rPr>
                <w:rFonts w:ascii="Times New Roman" w:hAnsi="Times New Roman"/>
                <w:b/>
                <w:color w:val="000000"/>
                <w:sz w:val="13"/>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1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Non-GAAP adjusted net income per diluted share</w:t>
            </w:r>
            <w:r>
              <w:rPr>
                <w:rFonts w:ascii="Times New Roman" w:hAnsi="Times New Roman"/>
                <w:color w:val="000000"/>
                <w:sz w:val="20"/>
              </w:rPr>
              <w:t> </w:t>
            </w:r>
            <w:r>
              <w:rPr>
                <w:rFonts w:ascii="Times New Roman" w:hAnsi="Times New Roman"/>
                <w:b/>
                <w:color w:val="000000"/>
                <w:sz w:val="13"/>
              </w:rPr>
              <w:t>(3)</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0.12</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0.13</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tax rates applied to adjustments reflect the tax expense or benefit based on the tax jurisdiction of the entity generating the adjustment. There are certain items for which we expect little or no tax effect.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For the three months ended June 30, 2025, GAAP income (loss) from continuing operations per diluted share was calculated using income (loss) from continuing operations in the numerator, and includes the impact of the Series A convertible preferred stock dividend.</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Diluted shares used in the calculation of non-GAAP adjusted diluted income per share are 233.8 million and 272.6 million for the three months ended June 30, 2026 and 2025, respectively.</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9"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146"/>
        <w:gridCol w:w="526"/>
        <w:gridCol w:w="166"/>
        <w:gridCol w:w="37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Sales by Region</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Sales by Region</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5"/>
        <w:gridCol w:w="271"/>
        <w:gridCol w:w="392"/>
        <w:gridCol w:w="1062"/>
        <w:gridCol w:w="308"/>
        <w:gridCol w:w="271"/>
        <w:gridCol w:w="392"/>
        <w:gridCol w:w="1062"/>
        <w:gridCol w:w="308"/>
        <w:gridCol w:w="271"/>
        <w:gridCol w:w="271"/>
        <w:gridCol w:w="978"/>
        <w:gridCol w:w="308"/>
        <w:gridCol w:w="706"/>
      </w:tblGrid>
      <w:tr>
        <w:trPr/>
        <w:tc>
          <w:tcPr>
            <w:tcW w:w="3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Segment Information</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Segment Net Sales</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36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Aurora </w:t>
            </w:r>
            <w:r>
              <w:rPr>
                <w:rFonts w:ascii="Times New Roman" w:hAnsi="Times New Roman"/>
                <w:color w:val="000000"/>
                <w:sz w:val="13"/>
              </w:rPr>
              <w:t>(1)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308"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308"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Segment Adjusted EBITDA </w:t>
            </w:r>
            <w:r>
              <w:rPr>
                <w:rFonts w:ascii="Times New Roman" w:hAnsi="Times New Roman"/>
                <w:b/>
                <w:color w:val="000000"/>
                <w:sz w:val="13"/>
              </w:rPr>
              <w:t>(3)</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36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Aurora </w:t>
            </w:r>
            <w:r>
              <w:rPr>
                <w:rFonts w:ascii="Times New Roman" w:hAnsi="Times New Roman"/>
                <w:color w:val="000000"/>
                <w:sz w:val="13"/>
              </w:rPr>
              <w:t>(1)</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adjusted EBITDA</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0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0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0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Aurora's results represent our Core financial measures and exclude general corporate costs that were previously allocated to the RUCKUS segment and CCS segment, since these costs were not directly attributable to these discontinued operations.</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The corporate and other line item above primarily reflects general corporate costs that were previously allocated to the RUCKUS segment and CCS segment. These indirect expenses have been classified as continuing operations, since the costs were not directly attributable to these discontinued operations. The corporate and other costs related to the CCS segment have been reallocated to our remaining segments beginning in the first quarter of 2026 and partially offset by income from the Amphenol TSA. Beginning in the third quarter of 2026, the corporate and other costs related to the RUCKUS segment will be reallocated to our remaining segment and partially offset by income from the Belden TSA.</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See “Non-GAAP Financial Measures” above.</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tbl>
      <w:tblPr>
        <w:tblW w:w="7991" w:type="dxa"/>
        <w:jc w:val="left"/>
        <w:tblInd w:w="0" w:type="dxa"/>
        <w:tblLayout w:type="fixed"/>
        <w:tblCellMar>
          <w:top w:w="28" w:type="dxa"/>
          <w:left w:w="28" w:type="dxa"/>
          <w:bottom w:w="28" w:type="dxa"/>
          <w:right w:w="28" w:type="dxa"/>
        </w:tblCellMar>
      </w:tblPr>
      <w:tblGrid>
        <w:gridCol w:w="4096"/>
        <w:gridCol w:w="146"/>
        <w:gridCol w:w="211"/>
        <w:gridCol w:w="466"/>
        <w:gridCol w:w="301"/>
        <w:gridCol w:w="146"/>
        <w:gridCol w:w="368"/>
        <w:gridCol w:w="922"/>
        <w:gridCol w:w="166"/>
        <w:gridCol w:w="146"/>
        <w:gridCol w:w="211"/>
        <w:gridCol w:w="466"/>
        <w:gridCol w:w="34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64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Segment 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5"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Second Quarter 2026 Segment Adjusted EBITDA Reconciliation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Aurora</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Corporate and </w:t>
              <w:br/>
              <w:t xml:space="preserve">other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as reported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 %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288"/>
        <w:gridCol w:w="243"/>
        <w:gridCol w:w="351"/>
        <w:gridCol w:w="777"/>
        <w:gridCol w:w="502"/>
        <w:gridCol w:w="243"/>
        <w:gridCol w:w="514"/>
        <w:gridCol w:w="1288"/>
        <w:gridCol w:w="276"/>
        <w:gridCol w:w="243"/>
        <w:gridCol w:w="351"/>
        <w:gridCol w:w="777"/>
        <w:gridCol w:w="352"/>
      </w:tblGrid>
      <w:tr>
        <w:trPr/>
        <w:tc>
          <w:tcPr>
            <w:tcW w:w="428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853"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Second Quarter 2025 Segment Adjusted EBITDA Reconciliation</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Aurora</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Corporate and </w:t>
              <w:br/>
              <w:t xml:space="preserve">other </w:t>
            </w:r>
            <w:r>
              <w:rPr>
                <w:rFonts w:ascii="Times New Roman" w:hAnsi="Times New Roman"/>
                <w:b/>
                <w:color w:val="000000"/>
                <w:sz w:val="12"/>
              </w:rPr>
              <w:t>(1)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as reported</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49.6</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3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5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5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 % of sales</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w:t>
            </w:r>
          </w:p>
        </w:tc>
        <w:tc>
          <w:tcPr>
            <w:tcW w:w="50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NM</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w:t>
            </w:r>
          </w:p>
        </w:tc>
        <w:tc>
          <w:tcPr>
            <w:tcW w:w="35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3"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corporate and other line item above primarily reflects general corporate costs that were previously allocated to the RUCKUS segment and CCS segment. These indirect expenses have been classified as continuing operations, since the costs were not directly attributable to these discontinued operations. The corporate and other costs related to the CCS segment have been reallocated to our remaining segments beginning in the first quarter of 2026 and partially offset by income from the Amphenol TSA. Beginning in the third quarter of 2026, the corporate and other costs related to the RUCKUS segment will be reallocated to our remaining segment and partially offset by income from the Belden TSA.</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3"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may not sum to total due to rounding.</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3"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6"/>
        <w:gridCol w:w="202"/>
        <w:gridCol w:w="202"/>
        <w:gridCol w:w="293"/>
        <w:gridCol w:w="730"/>
        <w:gridCol w:w="230"/>
        <w:gridCol w:w="202"/>
        <w:gridCol w:w="293"/>
        <w:gridCol w:w="793"/>
        <w:gridCol w:w="230"/>
        <w:gridCol w:w="202"/>
        <w:gridCol w:w="293"/>
        <w:gridCol w:w="793"/>
        <w:gridCol w:w="230"/>
        <w:gridCol w:w="202"/>
        <w:gridCol w:w="293"/>
        <w:gridCol w:w="876"/>
        <w:gridCol w:w="230"/>
        <w:gridCol w:w="202"/>
        <w:gridCol w:w="293"/>
        <w:gridCol w:w="730"/>
        <w:gridCol w:w="220"/>
      </w:tblGrid>
      <w:tr>
        <w:trPr/>
        <w:tc>
          <w:tcPr>
            <w:tcW w:w="24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98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Free Cash Flow</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5"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5" w:type="dxa"/>
            <w:gridSpan w:val="2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Free Cash Flow</w:t>
            </w:r>
            <w:r>
              <w:rPr>
                <w:rFonts w:ascii="Times New Roman" w:hAnsi="Times New Roman"/>
                <w:color w:val="000000"/>
                <w:sz w:val="20"/>
              </w:rPr>
              <w:t xml:space="preserve"> </w:t>
            </w:r>
            <w:r>
              <w:rPr>
                <w:rFonts w:ascii="Times New Roman" w:hAnsi="Times New Roman"/>
                <w:b/>
                <w:color w:val="000000"/>
                <w:sz w:val="13"/>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w:t>
              <w:b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w:t>
              <w:b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w:t>
              <w:b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w:t>
              <w:b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w:t>
              <w:b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operations</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151.4</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281.3</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(226.6</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(72.7</w:t>
            </w:r>
          </w:p>
        </w:tc>
        <w:tc>
          <w:tcPr>
            <w:tcW w:w="22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w:t>
            </w:r>
          </w:p>
        </w:tc>
        <w:tc>
          <w:tcPr>
            <w:tcW w:w="2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135.0</w:t>
            </w:r>
          </w:p>
        </w:tc>
        <w:tc>
          <w:tcPr>
            <w:tcW w:w="2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255.5</w:t>
            </w:r>
          </w:p>
        </w:tc>
        <w:tc>
          <w:tcPr>
            <w:tcW w:w="2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(228.8</w:t>
            </w:r>
          </w:p>
        </w:tc>
        <w:tc>
          <w:tcPr>
            <w:tcW w:w="2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w:t>
            </w:r>
          </w:p>
        </w:tc>
        <w:tc>
          <w:tcPr>
            <w:tcW w:w="22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9601" w:type="dxa"/>
        <w:jc w:val="left"/>
        <w:tblInd w:w="0" w:type="dxa"/>
        <w:tblLayout w:type="fixed"/>
        <w:tblCellMar>
          <w:top w:w="28" w:type="dxa"/>
          <w:left w:w="28" w:type="dxa"/>
          <w:bottom w:w="28" w:type="dxa"/>
          <w:right w:w="28" w:type="dxa"/>
        </w:tblCellMar>
      </w:tblPr>
      <w:tblGrid>
        <w:gridCol w:w="4141"/>
        <w:gridCol w:w="211"/>
        <w:gridCol w:w="571"/>
        <w:gridCol w:w="301"/>
        <w:gridCol w:w="211"/>
        <w:gridCol w:w="571"/>
        <w:gridCol w:w="301"/>
        <w:gridCol w:w="211"/>
        <w:gridCol w:w="571"/>
        <w:gridCol w:w="301"/>
        <w:gridCol w:w="211"/>
        <w:gridCol w:w="571"/>
        <w:gridCol w:w="301"/>
        <w:gridCol w:w="211"/>
        <w:gridCol w:w="571"/>
        <w:gridCol w:w="346"/>
      </w:tblGrid>
      <w:tr>
        <w:trPr/>
        <w:tc>
          <w:tcPr>
            <w:tcW w:w="4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Gross Profit and Adjusted Operating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GAAP to Non-GAAP Adjusted 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as reported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as % of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GAAP to Non-GAAP Adjusted Operating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as reported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64.1</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as reported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94.9</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operating expense</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operating expense as % of sales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may not sum to total due to rounding.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6"/>
        <w:gridCol w:w="373"/>
        <w:gridCol w:w="745"/>
        <w:gridCol w:w="258"/>
        <w:gridCol w:w="373"/>
        <w:gridCol w:w="745"/>
        <w:gridCol w:w="495"/>
      </w:tblGrid>
      <w:tr>
        <w:trPr/>
        <w:tc>
          <w:tcPr>
            <w:tcW w:w="72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Adjusted Measures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Adjusted EBITDA Outlook Reconciliation</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Outlook Range</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Aurora operating income</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 net and transaction and transformation costs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 to operating income</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Aurora adjusted EBITDA</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See "Forward-Looking Statements" and "Non-GAAP Financial Measures" above.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5746</Words>
  <Characters>31281</Characters>
  <CharactersWithSpaces>38213</CharactersWithSpaces>
  <Paragraphs>3791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