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mm-20230930.htm"/>
      <w:bookmarkStart w:id="1" w:name="kscomm20230930"/>
      <w:bookmarkEnd w:id="0"/>
      <w:bookmarkEnd w:id="1"/>
      <w:r>
        <w:rPr/>
        <w:t> </w:t>
      </w:r>
    </w:p>
    <w:p>
      <w:pPr>
        <w:pStyle w:val="TextBody"/>
        <w:pBdr>
          <w:bottom w:val="double" w:sz="6" w:space="1" w:color="000000"/>
        </w:pBdr>
        <w:bidi w:val="0"/>
        <w:jc w:val="left"/>
        <w:rPr/>
      </w:pPr>
      <w:r>
        <w:rPr/>
        <w:t> </w:t>
      </w:r>
    </w:p>
    <w:p>
      <w:pPr>
        <w:pStyle w:val="TextBody"/>
        <w:pBdr>
          <w:top w:val="double" w:sz="6" w:space="1" w:color="000000"/>
        </w:pBdr>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6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001-36146</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3642 E. US Highway 70</w:t>
      </w:r>
    </w:p>
    <w:p>
      <w:pPr>
        <w:pStyle w:val="TextBody"/>
        <w:bidi w:val="0"/>
        <w:jc w:val="center"/>
        <w:rPr>
          <w:rFonts w:ascii="Times New Roman" w:hAnsi="Times New Roman"/>
          <w:b/>
          <w:color w:val="000000"/>
          <w:sz w:val="20"/>
        </w:rPr>
      </w:pPr>
      <w:r>
        <w:rPr>
          <w:rFonts w:ascii="Times New Roman" w:hAnsi="Times New Roman"/>
          <w:b/>
          <w:color w:val="000000"/>
          <w:sz w:val="20"/>
        </w:rPr>
        <w:t>Claremont, North Carolina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jc w:val="center"/>
        <w:rPr>
          <w:rFonts w:ascii="Times New Roman" w:hAnsi="Times New Roman"/>
          <w:b/>
          <w:color w:val="000000"/>
          <w:sz w:val="20"/>
        </w:rPr>
      </w:pPr>
      <w:r>
        <w:rPr>
          <w:rFonts w:ascii="Times New Roman" w:hAnsi="Times New Roman"/>
          <w:b/>
          <w:color w:val="000000"/>
          <w:sz w:val="20"/>
        </w:rPr>
        <w:t>28610</w:t>
      </w:r>
    </w:p>
    <w:p>
      <w:pPr>
        <w:pStyle w:val="TextBody"/>
        <w:bidi w:val="0"/>
        <w:jc w:val="center"/>
        <w:rPr>
          <w:rFonts w:ascii="Times New Roman" w:hAnsi="Times New Roman"/>
          <w:b/>
          <w:color w:val="000000"/>
          <w:sz w:val="16"/>
        </w:rPr>
      </w:pPr>
      <w:r>
        <w:rPr>
          <w:rFonts w:ascii="Times New Roman" w:hAnsi="Times New Roman"/>
          <w:b/>
          <w:color w:val="000000"/>
          <w:sz w:val="16"/>
        </w:rPr>
        <w:t>(Zip Code)</w:t>
      </w:r>
    </w:p>
    <w:p>
      <w:pPr>
        <w:pStyle w:val="TextBody"/>
        <w:bidi w:val="0"/>
        <w:jc w:val="center"/>
        <w:rPr>
          <w:rFonts w:ascii="Times New Roman" w:hAnsi="Times New Roman"/>
          <w:b/>
          <w:color w:val="000000"/>
          <w:sz w:val="20"/>
        </w:rPr>
      </w:pPr>
      <w:r>
        <w:rPr>
          <w:rFonts w:ascii="Times New Roman" w:hAnsi="Times New Roman"/>
          <w:b/>
          <w:color w:val="000000"/>
          <w:sz w:val="20"/>
        </w:rPr>
        <w:t>(828) 459-5000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0" w:after="140"/>
        <w:jc w:val="center"/>
        <w:rPr/>
      </w:pPr>
      <w:r>
        <w:rPr/>
        <w:t> </w:t>
      </w:r>
    </w:p>
    <w:p>
      <w:pPr>
        <w:pStyle w:val="TextBody"/>
        <w:bidi w:val="0"/>
        <w:spacing w:before="6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Common Stock, par value $0.01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w:t>
            </w:r>
          </w:p>
        </w:tc>
      </w:tr>
    </w:tbl>
    <w:p>
      <w:pPr>
        <w:pStyle w:val="TextBody"/>
        <w:bidi w:val="0"/>
        <w:spacing w:before="100" w:after="283"/>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10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100" w:after="120"/>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20"/>
        </w:rPr>
        <w:t>No ☒</w:t>
      </w:r>
    </w:p>
    <w:p>
      <w:pPr>
        <w:pStyle w:val="TextBody"/>
        <w:pBdr>
          <w:bottom w:val="double" w:sz="6" w:space="1" w:color="000000"/>
        </w:pBdr>
        <w:bidi w:val="0"/>
        <w:spacing w:before="80" w:after="283"/>
        <w:jc w:val="left"/>
        <w:rPr>
          <w:rFonts w:ascii="Times New Roman" w:hAnsi="Times New Roman"/>
          <w:sz w:val="20"/>
        </w:rPr>
      </w:pPr>
      <w:r>
        <w:rPr>
          <w:rFonts w:ascii="Times New Roman" w:hAnsi="Times New Roman"/>
          <w:b w:val="false"/>
          <w:color w:val="000000"/>
          <w:sz w:val="20"/>
        </w:rPr>
        <w:t>As of October 26, 2023, there were 212,058,471</w:t>
      </w:r>
      <w:r>
        <w:rPr>
          <w:rFonts w:ascii="Times New Roman" w:hAnsi="Times New Roman"/>
          <w:color w:val="000000"/>
          <w:sz w:val="20"/>
        </w:rPr>
        <w:t xml:space="preserve"> </w:t>
      </w:r>
      <w:r>
        <w:rPr>
          <w:rFonts w:ascii="Times New Roman" w:hAnsi="Times New Roman"/>
          <w:b w:val="false"/>
          <w:color w:val="000000"/>
          <w:sz w:val="20"/>
        </w:rPr>
        <w:t>shares of Common Stock outstanding.</w:t>
      </w:r>
    </w:p>
    <w:p>
      <w:pPr>
        <w:pStyle w:val="TextBody"/>
        <w:bidi w:val="0"/>
        <w:spacing w:before="240" w:after="283"/>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88"/>
        <w:gridCol w:w="146"/>
        <w:gridCol w:w="1871"/>
      </w:tblGrid>
      <w:tr>
        <w:trPr/>
        <w:tc>
          <w:tcPr>
            <w:tcW w:w="8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188" w:type="dxa"/>
            <w:tcBorders/>
            <w:vAlign w:val="center"/>
          </w:tcPr>
          <w:p>
            <w:pPr>
              <w:pStyle w:val="TableContents"/>
              <w:pBdr/>
              <w:bidi w:val="0"/>
              <w:spacing w:before="0" w:after="283"/>
              <w:ind w:left="0" w:right="0" w:hanging="240"/>
              <w:jc w:val="left"/>
              <w:rPr/>
            </w:pPr>
            <w:hyperlink w:anchor="part_1_financial_information">
              <w:r>
                <w:rPr>
                  <w:rStyle w:val="InternetLink"/>
                  <w:rFonts w:ascii="Times New Roman" w:hAnsi="Times New Roman"/>
                  <w:b w:val="false"/>
                  <w:color w:val="0000FF"/>
                  <w:sz w:val="20"/>
                  <w:u w:val="single"/>
                </w:rPr>
                <w:t>Part I—Financial Information (Unaudited):</w:t>
              </w:r>
            </w:hyperlink>
          </w:p>
        </w:tc>
        <w:tc>
          <w:tcPr>
            <w:tcW w:w="146" w:type="dxa"/>
            <w:tcBorders/>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1_condensed_consolidated_fs">
              <w:r>
                <w:rPr>
                  <w:rStyle w:val="InternetLink"/>
                  <w:rFonts w:ascii="Times New Roman" w:hAnsi="Times New Roman"/>
                  <w:b w:val="false"/>
                  <w:color w:val="0000FF"/>
                  <w:sz w:val="20"/>
                  <w:u w:val="single"/>
                </w:rPr>
                <w:t>Item 1. Condensed Consolidated Financial Statements:</w:t>
              </w:r>
            </w:hyperlink>
          </w:p>
        </w:tc>
        <w:tc>
          <w:tcPr>
            <w:tcW w:w="146" w:type="dxa"/>
            <w:tcBorders/>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condensed_consolidated_stmt_of_oper">
              <w:r>
                <w:rPr>
                  <w:rStyle w:val="InternetLink"/>
                  <w:rFonts w:ascii="Times New Roman" w:hAnsi="Times New Roman"/>
                  <w:b w:val="false"/>
                  <w:color w:val="0000FF"/>
                  <w:sz w:val="20"/>
                  <w:u w:val="single"/>
                </w:rPr>
                <w:t>Condensed Consolidated Statements of Operations</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2</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condensed_consolidated_stmt_of_comp_inc">
              <w:r>
                <w:rPr>
                  <w:rStyle w:val="InternetLink"/>
                  <w:rFonts w:ascii="Times New Roman" w:hAnsi="Times New Roman"/>
                  <w:b w:val="false"/>
                  <w:color w:val="0000FF"/>
                  <w:sz w:val="20"/>
                  <w:u w:val="single"/>
                </w:rPr>
                <w:t>Condensed Consolidated Statements of Comprehensive Loss</w:t>
              </w:r>
            </w:hyperlink>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3</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item_1_condensed_consolidated_bs">
              <w:r>
                <w:rPr>
                  <w:rStyle w:val="InternetLink"/>
                  <w:rFonts w:ascii="Times New Roman" w:hAnsi="Times New Roman"/>
                  <w:b w:val="false"/>
                  <w:color w:val="0000FF"/>
                  <w:sz w:val="20"/>
                  <w:u w:val="single"/>
                </w:rPr>
                <w:t>Condensed Consolidated Balance Sheets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condensed_consolidated_cf">
              <w:r>
                <w:rPr>
                  <w:rStyle w:val="InternetLink"/>
                  <w:rFonts w:ascii="Times New Roman" w:hAnsi="Times New Roman"/>
                  <w:b w:val="false"/>
                  <w:color w:val="0000FF"/>
                  <w:sz w:val="20"/>
                  <w:u w:val="single"/>
                </w:rPr>
                <w:t>Condensed Consolidated Statements of Cash Flows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5</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item_1_stmt_stkholders_equity">
              <w:r>
                <w:rPr>
                  <w:rStyle w:val="InternetLink"/>
                  <w:rFonts w:ascii="Times New Roman" w:hAnsi="Times New Roman"/>
                  <w:b w:val="false"/>
                  <w:color w:val="0000FF"/>
                  <w:sz w:val="20"/>
                  <w:u w:val="single"/>
                </w:rPr>
                <w:t>Condensed Consolidated Statements of Stockholders’ Deficit</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6</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notes_to_unaudited_condensed_consolidate">
              <w:r>
                <w:rPr>
                  <w:rStyle w:val="InternetLink"/>
                  <w:rFonts w:ascii="Times New Roman" w:hAnsi="Times New Roman"/>
                  <w:b w:val="false"/>
                  <w:color w:val="0000FF"/>
                  <w:sz w:val="20"/>
                  <w:u w:val="single"/>
                </w:rPr>
                <w:t>Notes to Unaudited Condensed Consolidated Financial Statements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7</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2_managements_discussion_analysis_f">
              <w:r>
                <w:rPr>
                  <w:rStyle w:val="InternetLink"/>
                  <w:rFonts w:ascii="Times New Roman" w:hAnsi="Times New Roman"/>
                  <w:b w:val="false"/>
                  <w:color w:val="0000FF"/>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3_quantitative_qualitative_discl">
              <w:r>
                <w:rPr>
                  <w:rStyle w:val="InternetLink"/>
                  <w:rFonts w:ascii="Times New Roman" w:hAnsi="Times New Roman"/>
                  <w:b w:val="false"/>
                  <w:color w:val="0000FF"/>
                  <w:sz w:val="20"/>
                  <w:u w:val="single"/>
                </w:rPr>
                <w:t>Item 3. Quantitative and Qualitative Disclosures About Market Risk</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42</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4_controls_procedures">
              <w:r>
                <w:rPr>
                  <w:rStyle w:val="InternetLink"/>
                  <w:rFonts w:ascii="Times New Roman" w:hAnsi="Times New Roman"/>
                  <w:b w:val="false"/>
                  <w:color w:val="0000FF"/>
                  <w:sz w:val="20"/>
                  <w:u w:val="single"/>
                </w:rPr>
                <w:t>Item 4. Controls and Procedures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43</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240"/>
              <w:jc w:val="right"/>
              <w:rPr/>
            </w:pPr>
            <w:r>
              <w:rPr/>
              <w:t> </w:t>
            </w:r>
          </w:p>
        </w:tc>
      </w:tr>
      <w:tr>
        <w:trPr/>
        <w:tc>
          <w:tcPr>
            <w:tcW w:w="8188" w:type="dxa"/>
            <w:tcBorders/>
            <w:vAlign w:val="center"/>
          </w:tcPr>
          <w:p>
            <w:pPr>
              <w:pStyle w:val="TableContents"/>
              <w:pBdr/>
              <w:bidi w:val="0"/>
              <w:spacing w:before="0" w:after="283"/>
              <w:ind w:left="0" w:right="0" w:hanging="240"/>
              <w:jc w:val="left"/>
              <w:rPr/>
            </w:pPr>
            <w:hyperlink w:anchor="part_iior_information">
              <w:r>
                <w:rPr>
                  <w:rStyle w:val="InternetLink"/>
                  <w:rFonts w:ascii="Times New Roman" w:hAnsi="Times New Roman"/>
                  <w:b w:val="false"/>
                  <w:color w:val="0000FF"/>
                  <w:sz w:val="20"/>
                  <w:u w:val="single"/>
                </w:rPr>
                <w:t>Part II—Other Information:</w:t>
              </w:r>
            </w:hyperlink>
          </w:p>
        </w:tc>
        <w:tc>
          <w:tcPr>
            <w:tcW w:w="146" w:type="dxa"/>
            <w:tcBorders/>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1_legal_proceedings">
              <w:r>
                <w:rPr>
                  <w:rStyle w:val="InternetLink"/>
                  <w:rFonts w:ascii="Times New Roman" w:hAnsi="Times New Roman"/>
                  <w:b w:val="false"/>
                  <w:color w:val="0000FF"/>
                  <w:sz w:val="20"/>
                  <w:u w:val="single"/>
                </w:rPr>
                <w:t>Item 1. Legal Proceedings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44</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1a_risk_factors">
              <w:r>
                <w:rPr>
                  <w:rStyle w:val="InternetLink"/>
                  <w:rFonts w:ascii="Times New Roman" w:hAnsi="Times New Roman"/>
                  <w:b w:val="false"/>
                  <w:color w:val="0000FF"/>
                  <w:sz w:val="20"/>
                  <w:u w:val="single"/>
                </w:rPr>
                <w:t>Item 1A. Risk Factors</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44</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2_unregistered_sales_equity_securit">
              <w:r>
                <w:rPr>
                  <w:rStyle w:val="InternetLink"/>
                  <w:rFonts w:ascii="Times New Roman" w:hAnsi="Times New Roman"/>
                  <w:b w:val="false"/>
                  <w:color w:val="0000FF"/>
                  <w:sz w:val="20"/>
                  <w:u w:val="single"/>
                </w:rPr>
                <w:t>Item 2. Unregistered Sales of Equity Securities, Use of Proceeds, and Issuer Purchases of Equity Securities</w:t>
              </w:r>
            </w:hyperlink>
          </w:p>
        </w:tc>
        <w:tc>
          <w:tcPr>
            <w:tcW w:w="146" w:type="dxa"/>
            <w:tcBorders/>
            <w:vAlign w:val="center"/>
          </w:tcPr>
          <w:p>
            <w:pPr>
              <w:pStyle w:val="TableContents"/>
              <w:bidi w:val="0"/>
              <w:spacing w:before="0" w:after="15"/>
              <w:jc w:val="right"/>
              <w:rPr/>
            </w:pPr>
            <w:r>
              <w:rPr/>
              <w:t> </w:t>
            </w:r>
          </w:p>
        </w:tc>
        <w:tc>
          <w:tcPr>
            <w:tcW w:w="1871" w:type="dxa"/>
            <w:tcBorders/>
            <w:vAlign w:val="center"/>
          </w:tcPr>
          <w:p>
            <w:pPr>
              <w:pStyle w:val="TableContents"/>
              <w:bidi w:val="0"/>
              <w:spacing w:before="0" w:after="15"/>
              <w:ind w:left="0" w:right="0" w:firstLine="720"/>
              <w:jc w:val="right"/>
              <w:rPr>
                <w:rFonts w:ascii="Times New Roman" w:hAnsi="Times New Roman"/>
                <w:b w:val="false"/>
                <w:color w:val="000000"/>
                <w:sz w:val="20"/>
              </w:rPr>
            </w:pPr>
            <w:r>
              <w:rPr>
                <w:rFonts w:ascii="Times New Roman" w:hAnsi="Times New Roman"/>
                <w:b w:val="false"/>
                <w:color w:val="000000"/>
                <w:sz w:val="20"/>
              </w:rPr>
              <w:t>44</w:t>
            </w:r>
          </w:p>
        </w:tc>
      </w:tr>
      <w:tr>
        <w:trPr/>
        <w:tc>
          <w:tcPr>
            <w:tcW w:w="8188"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15"/>
              <w:jc w:val="right"/>
              <w:rPr/>
            </w:pPr>
            <w:r>
              <w:rPr/>
              <w:t> </w:t>
            </w:r>
          </w:p>
        </w:tc>
        <w:tc>
          <w:tcPr>
            <w:tcW w:w="1871" w:type="dxa"/>
            <w:tcBorders/>
            <w:vAlign w:val="center"/>
          </w:tcPr>
          <w:p>
            <w:pPr>
              <w:pStyle w:val="TableContents"/>
              <w:bidi w:val="0"/>
              <w:spacing w:before="0" w:after="15"/>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3_defaults_upon_senior_securities">
              <w:r>
                <w:rPr>
                  <w:rStyle w:val="InternetLink"/>
                  <w:rFonts w:ascii="Times New Roman" w:hAnsi="Times New Roman"/>
                  <w:b w:val="false"/>
                  <w:color w:val="0000FF"/>
                  <w:sz w:val="20"/>
                  <w:u w:val="single"/>
                </w:rPr>
                <w:t>Item 3. Defaults Upon Senior Securities</w:t>
              </w:r>
            </w:hyperlink>
          </w:p>
        </w:tc>
        <w:tc>
          <w:tcPr>
            <w:tcW w:w="146" w:type="dxa"/>
            <w:tcBorders/>
            <w:vAlign w:val="center"/>
          </w:tcPr>
          <w:p>
            <w:pPr>
              <w:pStyle w:val="TableContents"/>
              <w:bidi w:val="0"/>
              <w:spacing w:before="0" w:after="15"/>
              <w:jc w:val="right"/>
              <w:rPr/>
            </w:pPr>
            <w:r>
              <w:rPr/>
              <w:t> </w:t>
            </w:r>
          </w:p>
        </w:tc>
        <w:tc>
          <w:tcPr>
            <w:tcW w:w="1871" w:type="dxa"/>
            <w:tcBorders/>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44</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4_mine_safety_disclosures">
              <w:r>
                <w:rPr>
                  <w:rStyle w:val="InternetLink"/>
                  <w:rFonts w:ascii="Times New Roman" w:hAnsi="Times New Roman"/>
                  <w:b w:val="false"/>
                  <w:color w:val="0000FF"/>
                  <w:sz w:val="20"/>
                  <w:u w:val="single"/>
                </w:rPr>
                <w:t>Item 4. Mine Safety Disclosures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rFonts w:ascii="Times New Roman" w:hAnsi="Times New Roman"/>
                <w:b w:val="false"/>
                <w:color w:val="000000"/>
                <w:sz w:val="20"/>
              </w:rPr>
            </w:pPr>
            <w:r>
              <w:rPr>
                <w:rFonts w:ascii="Times New Roman" w:hAnsi="Times New Roman"/>
                <w:b w:val="false"/>
                <w:color w:val="000000"/>
                <w:sz w:val="20"/>
              </w:rPr>
              <w:t>44</w:t>
            </w:r>
          </w:p>
        </w:tc>
      </w:tr>
      <w:tr>
        <w:trPr/>
        <w:tc>
          <w:tcPr>
            <w:tcW w:w="8188"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5_or_information">
              <w:r>
                <w:rPr>
                  <w:rStyle w:val="InternetLink"/>
                  <w:rFonts w:ascii="Times New Roman" w:hAnsi="Times New Roman"/>
                  <w:b w:val="false"/>
                  <w:color w:val="0000FF"/>
                  <w:sz w:val="20"/>
                  <w:u w:val="single"/>
                </w:rPr>
                <w:t>Item 5. Other Information</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45</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6_exhibits">
              <w:r>
                <w:rPr>
                  <w:rStyle w:val="InternetLink"/>
                  <w:rFonts w:ascii="Times New Roman" w:hAnsi="Times New Roman"/>
                  <w:b w:val="false"/>
                  <w:color w:val="0000FF"/>
                  <w:sz w:val="20"/>
                  <w:u w:val="single"/>
                </w:rPr>
                <w:t>Item 6. Exhibits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240"/>
              <w:jc w:val="right"/>
              <w:rPr/>
            </w:pPr>
            <w:r>
              <w:rPr/>
              <w:t> </w:t>
            </w:r>
          </w:p>
        </w:tc>
      </w:tr>
      <w:tr>
        <w:trPr/>
        <w:tc>
          <w:tcPr>
            <w:tcW w:w="8188"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b w:val="false"/>
                  <w:color w:val="0000FF"/>
                  <w:sz w:val="20"/>
                  <w:u w:val="single"/>
                </w:rPr>
                <w:t>Signatures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b w:val="false"/>
                <w:color w:val="000000"/>
                <w:sz w:val="20"/>
              </w:rPr>
            </w:pPr>
            <w:r>
              <w:rPr>
                <w:rFonts w:ascii="Times New Roman" w:hAnsi="Times New Roman"/>
                <w:b w:val="false"/>
                <w:color w:val="000000"/>
                <w:sz w:val="20"/>
              </w:rPr>
              <w:t>47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1_financial_information"/>
      <w:bookmarkEnd w:id="2"/>
      <w:r>
        <w:rPr>
          <w:rFonts w:ascii="Times New Roman" w:hAnsi="Times New Roman"/>
          <w:b/>
          <w:color w:val="000000"/>
          <w:sz w:val="20"/>
        </w:rPr>
        <w:t>PART 1 – FINANCIAL INFORMATION (UNAUDITED)</w:t>
      </w:r>
    </w:p>
    <w:p>
      <w:pPr>
        <w:pStyle w:val="TextBody"/>
        <w:bidi w:val="0"/>
        <w:jc w:val="left"/>
        <w:rPr>
          <w:rFonts w:ascii="Times New Roman" w:hAnsi="Times New Roman"/>
          <w:b/>
          <w:color w:val="000000"/>
          <w:sz w:val="20"/>
        </w:rPr>
      </w:pPr>
      <w:bookmarkStart w:id="3" w:name="item_1_condensed_consolidated_f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bookmarkStart w:id="4" w:name="condensed_consolidated_stmt_of_oper"/>
      <w:bookmarkEnd w:id="4"/>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 In millions, except per share amounts)</w:t>
      </w:r>
    </w:p>
    <w:p>
      <w:pPr>
        <w:pStyle w:val="TextBody"/>
        <w:bidi w:val="0"/>
        <w:jc w:val="center"/>
        <w:rPr/>
      </w:pPr>
      <w:r>
        <w:rPr/>
        <w:t> </w:t>
      </w:r>
    </w:p>
    <w:tbl>
      <w:tblPr>
        <w:tblW w:w="9676" w:type="dxa"/>
        <w:jc w:val="left"/>
        <w:tblInd w:w="0" w:type="dxa"/>
        <w:tblLayout w:type="fixed"/>
        <w:tblCellMar>
          <w:top w:w="28" w:type="dxa"/>
          <w:left w:w="28" w:type="dxa"/>
          <w:bottom w:w="28" w:type="dxa"/>
          <w:right w:w="28" w:type="dxa"/>
        </w:tblCellMar>
      </w:tblPr>
      <w:tblGrid>
        <w:gridCol w:w="4561"/>
        <w:gridCol w:w="211"/>
        <w:gridCol w:w="721"/>
        <w:gridCol w:w="166"/>
        <w:gridCol w:w="146"/>
        <w:gridCol w:w="211"/>
        <w:gridCol w:w="721"/>
        <w:gridCol w:w="166"/>
        <w:gridCol w:w="146"/>
        <w:gridCol w:w="211"/>
        <w:gridCol w:w="781"/>
        <w:gridCol w:w="166"/>
        <w:gridCol w:w="146"/>
        <w:gridCol w:w="211"/>
        <w:gridCol w:w="721"/>
        <w:gridCol w:w="391"/>
      </w:tblGrid>
      <w:tr>
        <w:trPr/>
        <w:tc>
          <w:tcPr>
            <w:tcW w:w="4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center"/>
              <w:rPr/>
            </w:pPr>
            <w:r>
              <w:rPr/>
              <w:t> </w:t>
            </w:r>
          </w:p>
        </w:tc>
        <w:tc>
          <w:tcPr>
            <w:tcW w:w="21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1,599.5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6,910.2</w:t>
            </w:r>
          </w:p>
        </w:tc>
        <w:tc>
          <w:tcPr>
            <w:tcW w:w="391" w:type="dxa"/>
            <w:tcBorders/>
            <w:shd w:fill="CCEC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1,855.1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2,055.8</w:t>
            </w:r>
          </w:p>
        </w:tc>
        <w:tc>
          <w:tcPr>
            <w:tcW w:w="391" w:type="dxa"/>
            <w:tcBorders/>
            <w:shd w:fill="CCEC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561"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844.9</w:t>
            </w:r>
          </w:p>
        </w:tc>
        <w:tc>
          <w:tcPr>
            <w:tcW w:w="391" w:type="dxa"/>
            <w:tcBorders/>
            <w:shd w:fill="CCECFF" w:val="clear"/>
            <w:vAlign w:val="center"/>
          </w:tcPr>
          <w:p>
            <w:pPr>
              <w:pStyle w:val="TableContents"/>
              <w:bidi w:val="0"/>
              <w:spacing w:before="0" w:after="283"/>
              <w:ind w:left="0" w:right="0" w:firstLine="100"/>
              <w:jc w:val="left"/>
              <w:rPr/>
            </w:pPr>
            <w:r>
              <w:rPr/>
              <w:t> </w:t>
            </w:r>
          </w:p>
        </w:tc>
      </w:tr>
      <w:tr>
        <w:trPr/>
        <w:tc>
          <w:tcPr>
            <w:tcW w:w="456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561"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Amortization of purchased intangible assets</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414.3</w:t>
            </w:r>
          </w:p>
        </w:tc>
        <w:tc>
          <w:tcPr>
            <w:tcW w:w="391" w:type="dxa"/>
            <w:tcBorders/>
            <w:shd w:fill="CCECFF" w:val="clear"/>
            <w:vAlign w:val="center"/>
          </w:tcPr>
          <w:p>
            <w:pPr>
              <w:pStyle w:val="TableContents"/>
              <w:bidi w:val="0"/>
              <w:spacing w:before="0" w:after="283"/>
              <w:ind w:left="0" w:right="0" w:firstLine="100"/>
              <w:jc w:val="left"/>
              <w:rPr/>
            </w:pPr>
            <w:r>
              <w:rPr/>
              <w:t> </w:t>
            </w:r>
          </w:p>
        </w:tc>
      </w:tr>
      <w:tr>
        <w:trPr/>
        <w:tc>
          <w:tcPr>
            <w:tcW w:w="456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Restructuring costs, net</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561"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Asset impairments</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391" w:type="dxa"/>
            <w:tcBorders/>
            <w:shd w:fill="CCEC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net</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391" w:type="dxa"/>
            <w:tcBorders/>
            <w:shd w:fill="FFFFFF" w:val="clear"/>
            <w:vAlign w:val="center"/>
          </w:tcPr>
          <w:p>
            <w:pPr>
              <w:pStyle w:val="TableContents"/>
              <w:bidi w:val="0"/>
              <w:spacing w:before="0" w:after="283"/>
              <w:jc w:val="lef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(427.5</w:t>
            </w:r>
          </w:p>
        </w:tc>
        <w:tc>
          <w:tcPr>
            <w:tcW w:w="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(987.3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(1,083.7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(173.8</w:t>
            </w:r>
          </w:p>
        </w:tc>
        <w:tc>
          <w:tcPr>
            <w:tcW w:w="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 benefit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w:t>
            </w:r>
          </w:p>
        </w:tc>
        <w:tc>
          <w:tcPr>
            <w:tcW w:w="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 convertible preferred stock dividends</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attributable to common stockholders</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(222.1</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(loss) per share:</w:t>
            </w:r>
          </w:p>
        </w:tc>
        <w:tc>
          <w:tcPr>
            <w:tcW w:w="932"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center"/>
              <w:rPr/>
            </w:pPr>
            <w:r>
              <w:rPr/>
              <w:t> </w:t>
            </w:r>
          </w:p>
        </w:tc>
        <w:tc>
          <w:tcPr>
            <w:tcW w:w="932"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992"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center"/>
              <w:rPr/>
            </w:pPr>
            <w:r>
              <w:rPr/>
              <w:t> </w:t>
            </w:r>
          </w:p>
        </w:tc>
        <w:tc>
          <w:tcPr>
            <w:tcW w:w="932" w:type="dxa"/>
            <w:gridSpan w:val="2"/>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jc w:val="righ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outstanding:</w:t>
            </w:r>
          </w:p>
        </w:tc>
        <w:tc>
          <w:tcPr>
            <w:tcW w:w="932"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center"/>
              <w:rPr/>
            </w:pPr>
            <w:r>
              <w:rPr/>
              <w:t> </w:t>
            </w:r>
          </w:p>
        </w:tc>
        <w:tc>
          <w:tcPr>
            <w:tcW w:w="932"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992"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center"/>
              <w:rPr/>
            </w:pPr>
            <w:r>
              <w:rPr/>
              <w:t> </w:t>
            </w:r>
          </w:p>
        </w:tc>
        <w:tc>
          <w:tcPr>
            <w:tcW w:w="932" w:type="dxa"/>
            <w:gridSpan w:val="2"/>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jc w:val="righ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207.1</w:t>
            </w:r>
          </w:p>
        </w:tc>
        <w:tc>
          <w:tcPr>
            <w:tcW w:w="391" w:type="dxa"/>
            <w:tcBorders/>
            <w:shd w:fill="FFFFFF" w:val="clear"/>
            <w:vAlign w:val="center"/>
          </w:tcPr>
          <w:p>
            <w:pPr>
              <w:pStyle w:val="TableContents"/>
              <w:bidi w:val="0"/>
              <w:spacing w:before="0" w:after="283"/>
              <w:jc w:val="lef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207.1</w:t>
            </w:r>
          </w:p>
        </w:tc>
        <w:tc>
          <w:tcPr>
            <w:tcW w:w="391" w:type="dxa"/>
            <w:tcBorders/>
            <w:shd w:fill="CCEC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9285" w:type="dxa"/>
            <w:gridSpan w:val="15"/>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See notes to unaudited condensed consolidated financial statements.</w:t>
            </w:r>
          </w:p>
        </w:tc>
        <w:tc>
          <w:tcPr>
            <w:tcW w:w="39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bookmarkStart w:id="5" w:name="condensed_consolidated_stmt_of_comp_inc"/>
      <w:bookmarkEnd w:id="5"/>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 In millions)</w:t>
      </w:r>
    </w:p>
    <w:p>
      <w:pPr>
        <w:pStyle w:val="TextBody"/>
        <w:bidi w:val="0"/>
        <w:jc w:val="center"/>
        <w:rPr/>
      </w:pPr>
      <w:r>
        <w:rPr/>
        <w:t> </w:t>
      </w:r>
    </w:p>
    <w:tbl>
      <w:tblPr>
        <w:tblW w:w="9037" w:type="dxa"/>
        <w:jc w:val="left"/>
        <w:tblInd w:w="0" w:type="dxa"/>
        <w:tblLayout w:type="fixed"/>
        <w:tblCellMar>
          <w:top w:w="28" w:type="dxa"/>
          <w:left w:w="28" w:type="dxa"/>
          <w:bottom w:w="28" w:type="dxa"/>
          <w:right w:w="28" w:type="dxa"/>
        </w:tblCellMar>
      </w:tblPr>
      <w:tblGrid>
        <w:gridCol w:w="4281"/>
        <w:gridCol w:w="146"/>
        <w:gridCol w:w="211"/>
        <w:gridCol w:w="631"/>
        <w:gridCol w:w="166"/>
        <w:gridCol w:w="146"/>
        <w:gridCol w:w="211"/>
        <w:gridCol w:w="526"/>
        <w:gridCol w:w="166"/>
        <w:gridCol w:w="146"/>
        <w:gridCol w:w="211"/>
        <w:gridCol w:w="631"/>
        <w:gridCol w:w="166"/>
        <w:gridCol w:w="146"/>
        <w:gridCol w:w="211"/>
        <w:gridCol w:w="631"/>
        <w:gridCol w:w="41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100"/>
              <w:jc w:val="left"/>
              <w:rPr/>
            </w:pPr>
            <w:r>
              <w:rPr/>
              <w:t> </w:t>
            </w:r>
          </w:p>
        </w:tc>
      </w:tr>
      <w:tr>
        <w:trPr/>
        <w:tc>
          <w:tcPr>
            <w:tcW w:w="428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w:t>
            </w:r>
          </w:p>
        </w:tc>
        <w:tc>
          <w:tcPr>
            <w:tcW w:w="4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81"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comprehensive loss, net of tax:</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81"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Pension and other postretirement benefit activity</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on hedging instruments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81"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other comprehensive loss, net of tax</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(190.7</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8626" w:type="dxa"/>
            <w:gridSpan w:val="1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See notes to unaudited condensed consolidated financial statements.</w:t>
            </w:r>
          </w:p>
        </w:tc>
        <w:tc>
          <w:tcPr>
            <w:tcW w:w="41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bookmarkStart w:id="6" w:name="item_1_condensed_consolidated_b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13"/>
        <w:gridCol w:w="146"/>
        <w:gridCol w:w="311"/>
        <w:gridCol w:w="1221"/>
        <w:gridCol w:w="166"/>
        <w:gridCol w:w="146"/>
        <w:gridCol w:w="302"/>
        <w:gridCol w:w="1186"/>
        <w:gridCol w:w="414"/>
      </w:tblGrid>
      <w:tr>
        <w:trPr/>
        <w:tc>
          <w:tcPr>
            <w:tcW w:w="6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3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Unaudited </w:t>
              <w:b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3" w:type="dxa"/>
            <w:tcBorders/>
            <w:shd w:fill="CCEC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CFF" w:val="clear"/>
            <w:vAlign w:val="center"/>
          </w:tcPr>
          <w:p>
            <w:pPr>
              <w:pStyle w:val="TableContents"/>
              <w:bidi w:val="0"/>
              <w:spacing w:before="0" w:after="283"/>
              <w:jc w:val="right"/>
              <w:rPr/>
            </w:pPr>
            <w:r>
              <w:rPr/>
              <w:t> </w:t>
            </w:r>
          </w:p>
        </w:tc>
        <w:tc>
          <w:tcPr>
            <w:tcW w:w="1532" w:type="dxa"/>
            <w:gridSpan w:val="2"/>
            <w:tcBorders/>
            <w:shd w:fill="CCECFF" w:val="clear"/>
            <w:vAlign w:val="center"/>
          </w:tcPr>
          <w:p>
            <w:pPr>
              <w:pStyle w:val="TableContents"/>
              <w:bidi w:val="0"/>
              <w:spacing w:before="0" w:after="283"/>
              <w:jc w:val="center"/>
              <w:rPr/>
            </w:pPr>
            <w:r>
              <w:rPr/>
              <w:t> </w:t>
            </w:r>
          </w:p>
        </w:tc>
        <w:tc>
          <w:tcPr>
            <w:tcW w:w="1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88" w:type="dxa"/>
            <w:gridSpan w:val="2"/>
            <w:tcBorders/>
            <w:shd w:fill="CCECFF" w:val="clear"/>
            <w:vAlign w:val="center"/>
          </w:tcPr>
          <w:p>
            <w:pPr>
              <w:pStyle w:val="TableContents"/>
              <w:bidi w:val="0"/>
              <w:spacing w:before="0" w:after="283"/>
              <w:jc w:val="center"/>
              <w:rPr/>
            </w:pPr>
            <w:r>
              <w:rPr/>
              <w:t> </w:t>
            </w:r>
          </w:p>
        </w:tc>
        <w:tc>
          <w:tcPr>
            <w:tcW w:w="414" w:type="dxa"/>
            <w:tcBorders/>
            <w:shd w:fill="CCECFF" w:val="clear"/>
            <w:vAlign w:val="center"/>
          </w:tcPr>
          <w:p>
            <w:pPr>
              <w:pStyle w:val="TableContents"/>
              <w:bidi w:val="0"/>
              <w:spacing w:before="0" w:after="283"/>
              <w:jc w:val="center"/>
              <w:rPr/>
            </w:pPr>
            <w:r>
              <w:rPr/>
              <w:t> </w:t>
            </w:r>
          </w:p>
        </w:tc>
      </w:tr>
      <w:tr>
        <w:trPr/>
        <w:tc>
          <w:tcPr>
            <w:tcW w:w="6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398.1</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Accounts receivable, net of allowance for doubtful accounts </w:t>
              <w:br/>
              <w:t>   of $66.3</w:t>
            </w:r>
            <w:r>
              <w:rPr>
                <w:rFonts w:ascii="Times New Roman" w:hAnsi="Times New Roman"/>
                <w:color w:val="000000"/>
                <w:sz w:val="20"/>
              </w:rPr>
              <w:t> </w:t>
            </w:r>
            <w:r>
              <w:rPr>
                <w:rFonts w:ascii="Times New Roman" w:hAnsi="Times New Roman"/>
                <w:b w:val="false"/>
                <w:color w:val="000000"/>
                <w:sz w:val="20"/>
              </w:rPr>
              <w:t>and $82.8, respectively</w:t>
            </w:r>
          </w:p>
        </w:tc>
        <w:tc>
          <w:tcPr>
            <w:tcW w:w="146" w:type="dxa"/>
            <w:tcBorders/>
            <w:shd w:fill="CCECFF" w:val="clear"/>
            <w:vAlign w:val="center"/>
          </w:tcPr>
          <w:p>
            <w:pPr>
              <w:pStyle w:val="TableContents"/>
              <w:bidi w:val="0"/>
              <w:spacing w:before="0" w:after="283"/>
              <w:jc w:val="right"/>
              <w:rPr/>
            </w:pPr>
            <w:r>
              <w:rPr/>
              <w:t> </w:t>
            </w:r>
          </w:p>
        </w:tc>
        <w:tc>
          <w:tcPr>
            <w:tcW w:w="311" w:type="dxa"/>
            <w:tcBorders/>
            <w:shd w:fill="CCECFF" w:val="clear"/>
            <w:vAlign w:val="center"/>
          </w:tcPr>
          <w:p>
            <w:pPr>
              <w:pStyle w:val="TableContents"/>
              <w:bidi w:val="0"/>
              <w:spacing w:before="0" w:after="283"/>
              <w:jc w:val="left"/>
              <w:rPr/>
            </w:pPr>
            <w:r>
              <w:rPr/>
              <w:t> </w:t>
            </w:r>
          </w:p>
        </w:tc>
        <w:tc>
          <w:tcPr>
            <w:tcW w:w="12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1,144.5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shd w:fill="CCECFF" w:val="clear"/>
            <w:vAlign w:val="center"/>
          </w:tcPr>
          <w:p>
            <w:pPr>
              <w:pStyle w:val="TableContents"/>
              <w:bidi w:val="0"/>
              <w:spacing w:before="0" w:after="283"/>
              <w:jc w:val="left"/>
              <w:rPr/>
            </w:pPr>
            <w:r>
              <w:rPr/>
              <w:t> </w:t>
            </w:r>
          </w:p>
        </w:tc>
        <w:tc>
          <w:tcPr>
            <w:tcW w:w="11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1,523.6</w:t>
            </w:r>
          </w:p>
        </w:tc>
        <w:tc>
          <w:tcPr>
            <w:tcW w:w="414" w:type="dxa"/>
            <w:tcBorders/>
            <w:shd w:fill="CCECFF" w:val="clear"/>
            <w:vAlign w:val="center"/>
          </w:tcPr>
          <w:p>
            <w:pPr>
              <w:pStyle w:val="TableContents"/>
              <w:bidi w:val="0"/>
              <w:spacing w:before="0" w:after="283"/>
              <w:jc w:val="left"/>
              <w:rPr/>
            </w:pPr>
            <w:r>
              <w:rPr/>
              <w:t> </w:t>
            </w:r>
          </w:p>
        </w:tc>
      </w:tr>
      <w:tr>
        <w:trPr/>
        <w:tc>
          <w:tcPr>
            <w:tcW w:w="6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Inventories, net</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1,588.1</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CECFF" w:val="clear"/>
            <w:vAlign w:val="center"/>
          </w:tcPr>
          <w:p>
            <w:pPr>
              <w:pStyle w:val="TableContents"/>
              <w:bidi w:val="0"/>
              <w:spacing w:before="0" w:after="283"/>
              <w:jc w:val="right"/>
              <w:rPr/>
            </w:pPr>
            <w:r>
              <w:rPr/>
              <w:t> </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216.4</w:t>
            </w:r>
          </w:p>
        </w:tc>
        <w:tc>
          <w:tcPr>
            <w:tcW w:w="41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3,726.2</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Property, plant and equipment, net of accumulated depreciation </w:t>
              <w:br/>
              <w:t>   of $918.6</w:t>
            </w:r>
            <w:r>
              <w:rPr>
                <w:rFonts w:ascii="Times New Roman" w:hAnsi="Times New Roman"/>
                <w:color w:val="000000"/>
                <w:sz w:val="20"/>
              </w:rPr>
              <w:t> </w:t>
            </w:r>
            <w:r>
              <w:rPr>
                <w:rFonts w:ascii="Times New Roman" w:hAnsi="Times New Roman"/>
                <w:b w:val="false"/>
                <w:color w:val="000000"/>
                <w:sz w:val="20"/>
              </w:rPr>
              <w:t>and $873.5, respectively</w:t>
            </w:r>
          </w:p>
        </w:tc>
        <w:tc>
          <w:tcPr>
            <w:tcW w:w="146" w:type="dxa"/>
            <w:tcBorders/>
            <w:shd w:fill="CCECFF" w:val="clear"/>
            <w:vAlign w:val="center"/>
          </w:tcPr>
          <w:p>
            <w:pPr>
              <w:pStyle w:val="TableContents"/>
              <w:bidi w:val="0"/>
              <w:spacing w:before="0" w:after="283"/>
              <w:jc w:val="right"/>
              <w:rPr/>
            </w:pPr>
            <w:r>
              <w:rPr/>
              <w:t> </w:t>
            </w:r>
          </w:p>
        </w:tc>
        <w:tc>
          <w:tcPr>
            <w:tcW w:w="311" w:type="dxa"/>
            <w:tcBorders/>
            <w:shd w:fill="CCECFF" w:val="clear"/>
            <w:vAlign w:val="center"/>
          </w:tcPr>
          <w:p>
            <w:pPr>
              <w:pStyle w:val="TableContents"/>
              <w:bidi w:val="0"/>
              <w:spacing w:before="0" w:after="283"/>
              <w:jc w:val="left"/>
              <w:rPr/>
            </w:pPr>
            <w:r>
              <w:rPr/>
              <w:t> </w:t>
            </w:r>
          </w:p>
        </w:tc>
        <w:tc>
          <w:tcPr>
            <w:tcW w:w="12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shd w:fill="CCECFF" w:val="clear"/>
            <w:vAlign w:val="center"/>
          </w:tcPr>
          <w:p>
            <w:pPr>
              <w:pStyle w:val="TableContents"/>
              <w:bidi w:val="0"/>
              <w:spacing w:before="0" w:after="283"/>
              <w:jc w:val="left"/>
              <w:rPr/>
            </w:pPr>
            <w:r>
              <w:rPr/>
              <w:t> </w:t>
            </w:r>
          </w:p>
        </w:tc>
        <w:tc>
          <w:tcPr>
            <w:tcW w:w="11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609.6</w:t>
            </w:r>
          </w:p>
        </w:tc>
        <w:tc>
          <w:tcPr>
            <w:tcW w:w="414" w:type="dxa"/>
            <w:tcBorders/>
            <w:shd w:fill="CCECFF" w:val="clear"/>
            <w:vAlign w:val="center"/>
          </w:tcPr>
          <w:p>
            <w:pPr>
              <w:pStyle w:val="TableContents"/>
              <w:bidi w:val="0"/>
              <w:spacing w:before="0" w:after="283"/>
              <w:jc w:val="left"/>
              <w:rPr/>
            </w:pPr>
            <w:r>
              <w:rPr/>
              <w:t> </w:t>
            </w:r>
          </w:p>
        </w:tc>
      </w:tr>
      <w:tr>
        <w:trPr/>
        <w:tc>
          <w:tcPr>
            <w:tcW w:w="6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4,072.4</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intangible assets, net</w:t>
            </w:r>
          </w:p>
        </w:tc>
        <w:tc>
          <w:tcPr>
            <w:tcW w:w="146" w:type="dxa"/>
            <w:tcBorders/>
            <w:shd w:fill="CCECFF" w:val="clear"/>
            <w:vAlign w:val="center"/>
          </w:tcPr>
          <w:p>
            <w:pPr>
              <w:pStyle w:val="TableContents"/>
              <w:bidi w:val="0"/>
              <w:spacing w:before="0" w:after="283"/>
              <w:jc w:val="right"/>
              <w:rPr/>
            </w:pPr>
            <w:r>
              <w:rPr/>
              <w:t> </w:t>
            </w:r>
          </w:p>
        </w:tc>
        <w:tc>
          <w:tcPr>
            <w:tcW w:w="311" w:type="dxa"/>
            <w:tcBorders/>
            <w:shd w:fill="CCECFF" w:val="clear"/>
            <w:vAlign w:val="center"/>
          </w:tcPr>
          <w:p>
            <w:pPr>
              <w:pStyle w:val="TableContents"/>
              <w:bidi w:val="0"/>
              <w:spacing w:before="0" w:after="283"/>
              <w:jc w:val="left"/>
              <w:rPr/>
            </w:pPr>
            <w:r>
              <w:rPr/>
              <w:t> </w:t>
            </w:r>
          </w:p>
        </w:tc>
        <w:tc>
          <w:tcPr>
            <w:tcW w:w="12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1,673.2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shd w:fill="CCECFF" w:val="clear"/>
            <w:vAlign w:val="center"/>
          </w:tcPr>
          <w:p>
            <w:pPr>
              <w:pStyle w:val="TableContents"/>
              <w:bidi w:val="0"/>
              <w:spacing w:before="0" w:after="283"/>
              <w:jc w:val="left"/>
              <w:rPr/>
            </w:pPr>
            <w:r>
              <w:rPr/>
              <w:t> </w:t>
            </w:r>
          </w:p>
        </w:tc>
        <w:tc>
          <w:tcPr>
            <w:tcW w:w="11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2,473.5</w:t>
            </w:r>
          </w:p>
        </w:tc>
        <w:tc>
          <w:tcPr>
            <w:tcW w:w="414" w:type="dxa"/>
            <w:tcBorders/>
            <w:shd w:fill="CCECFF" w:val="clear"/>
            <w:vAlign w:val="center"/>
          </w:tcPr>
          <w:p>
            <w:pPr>
              <w:pStyle w:val="TableContents"/>
              <w:bidi w:val="0"/>
              <w:spacing w:before="0" w:after="283"/>
              <w:jc w:val="left"/>
              <w:rPr/>
            </w:pPr>
            <w:r>
              <w:rPr/>
              <w:t> </w:t>
            </w:r>
          </w:p>
        </w:tc>
      </w:tr>
      <w:tr>
        <w:trPr/>
        <w:tc>
          <w:tcPr>
            <w:tcW w:w="6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FFFFFF" w:val="cle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13"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CECFF" w:val="clear"/>
            <w:vAlign w:val="center"/>
          </w:tcPr>
          <w:p>
            <w:pPr>
              <w:pStyle w:val="TableContents"/>
              <w:bidi w:val="0"/>
              <w:spacing w:before="0" w:after="283"/>
              <w:jc w:val="right"/>
              <w:rPr/>
            </w:pPr>
            <w:r>
              <w:rPr/>
              <w:t> </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10,065.6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11,685.4</w:t>
            </w:r>
          </w:p>
        </w:tc>
        <w:tc>
          <w:tcPr>
            <w:tcW w:w="41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313"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vAlign w:val="center"/>
          </w:tcPr>
          <w:p>
            <w:pPr>
              <w:pStyle w:val="TableContents"/>
              <w:bidi w:val="0"/>
              <w:spacing w:before="0" w:after="283"/>
              <w:jc w:val="right"/>
              <w:rPr/>
            </w:pPr>
            <w:r>
              <w:rPr/>
              <w:t> </w:t>
            </w:r>
          </w:p>
        </w:tc>
        <w:tc>
          <w:tcPr>
            <w:tcW w:w="15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CECFF" w:val="clear"/>
            <w:vAlign w:val="center"/>
          </w:tcPr>
          <w:p>
            <w:pPr>
              <w:pStyle w:val="TableContents"/>
              <w:bidi w:val="0"/>
              <w:spacing w:before="0" w:after="283"/>
              <w:jc w:val="right"/>
              <w:rPr/>
            </w:pPr>
            <w:r>
              <w:rPr/>
              <w:t> </w:t>
            </w:r>
          </w:p>
        </w:tc>
        <w:tc>
          <w:tcPr>
            <w:tcW w:w="3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1,025.5</w:t>
            </w:r>
          </w:p>
        </w:tc>
        <w:tc>
          <w:tcPr>
            <w:tcW w:w="414" w:type="dxa"/>
            <w:tcBorders/>
            <w:shd w:fill="CCECFF" w:val="clear"/>
            <w:vAlign w:val="center"/>
          </w:tcPr>
          <w:p>
            <w:pPr>
              <w:pStyle w:val="TableContents"/>
              <w:bidi w:val="0"/>
              <w:spacing w:before="0" w:after="283"/>
              <w:jc w:val="left"/>
              <w:rPr/>
            </w:pPr>
            <w:r>
              <w:rPr/>
              <w:t> </w:t>
            </w:r>
          </w:p>
        </w:tc>
      </w:tr>
      <w:tr>
        <w:trPr/>
        <w:tc>
          <w:tcPr>
            <w:tcW w:w="6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and other liabilities</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1,050.0</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long-term debt</w:t>
            </w:r>
          </w:p>
        </w:tc>
        <w:tc>
          <w:tcPr>
            <w:tcW w:w="146" w:type="dxa"/>
            <w:tcBorders/>
            <w:shd w:fill="CCECFF" w:val="clear"/>
            <w:vAlign w:val="center"/>
          </w:tcPr>
          <w:p>
            <w:pPr>
              <w:pStyle w:val="TableContents"/>
              <w:bidi w:val="0"/>
              <w:spacing w:before="0" w:after="283"/>
              <w:jc w:val="right"/>
              <w:rPr/>
            </w:pPr>
            <w:r>
              <w:rPr/>
              <w:t> </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41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2,107.5</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CCECFF" w:val="clear"/>
            <w:vAlign w:val="center"/>
          </w:tcPr>
          <w:p>
            <w:pPr>
              <w:pStyle w:val="TableContents"/>
              <w:bidi w:val="0"/>
              <w:spacing w:before="0" w:after="283"/>
              <w:jc w:val="right"/>
              <w:rPr/>
            </w:pPr>
            <w:r>
              <w:rPr/>
              <w:t> </w:t>
            </w:r>
          </w:p>
        </w:tc>
        <w:tc>
          <w:tcPr>
            <w:tcW w:w="311" w:type="dxa"/>
            <w:tcBorders/>
            <w:shd w:fill="CCECFF" w:val="clear"/>
            <w:vAlign w:val="center"/>
          </w:tcPr>
          <w:p>
            <w:pPr>
              <w:pStyle w:val="TableContents"/>
              <w:bidi w:val="0"/>
              <w:spacing w:before="0" w:after="283"/>
              <w:jc w:val="left"/>
              <w:rPr/>
            </w:pPr>
            <w:r>
              <w:rPr/>
              <w:t> </w:t>
            </w:r>
          </w:p>
        </w:tc>
        <w:tc>
          <w:tcPr>
            <w:tcW w:w="12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9,353.3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shd w:fill="CCECFF" w:val="clear"/>
            <w:vAlign w:val="center"/>
          </w:tcPr>
          <w:p>
            <w:pPr>
              <w:pStyle w:val="TableContents"/>
              <w:bidi w:val="0"/>
              <w:spacing w:before="0" w:after="283"/>
              <w:jc w:val="left"/>
              <w:rPr/>
            </w:pPr>
            <w:r>
              <w:rPr/>
              <w:t> </w:t>
            </w:r>
          </w:p>
        </w:tc>
        <w:tc>
          <w:tcPr>
            <w:tcW w:w="11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9,469.6</w:t>
            </w:r>
          </w:p>
        </w:tc>
        <w:tc>
          <w:tcPr>
            <w:tcW w:w="414" w:type="dxa"/>
            <w:tcBorders/>
            <w:shd w:fill="CCECFF" w:val="clear"/>
            <w:vAlign w:val="center"/>
          </w:tcPr>
          <w:p>
            <w:pPr>
              <w:pStyle w:val="TableContents"/>
              <w:bidi w:val="0"/>
              <w:spacing w:before="0" w:after="283"/>
              <w:jc w:val="left"/>
              <w:rPr/>
            </w:pPr>
            <w:r>
              <w:rPr/>
              <w:t> </w:t>
            </w:r>
          </w:p>
        </w:tc>
      </w:tr>
      <w:tr>
        <w:trPr/>
        <w:tc>
          <w:tcPr>
            <w:tcW w:w="6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173.4</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CCECFF" w:val="clear"/>
            <w:vAlign w:val="center"/>
          </w:tcPr>
          <w:p>
            <w:pPr>
              <w:pStyle w:val="TableContents"/>
              <w:bidi w:val="0"/>
              <w:spacing w:before="0" w:after="283"/>
              <w:jc w:val="right"/>
              <w:rPr/>
            </w:pPr>
            <w:r>
              <w:rPr/>
              <w:t> </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380.6</w:t>
            </w:r>
          </w:p>
        </w:tc>
        <w:tc>
          <w:tcPr>
            <w:tcW w:w="41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12,131.1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w:t>
            </w:r>
          </w:p>
        </w:tc>
        <w:tc>
          <w:tcPr>
            <w:tcW w:w="146" w:type="dxa"/>
            <w:tcBorders/>
            <w:shd w:fill="CCECFF" w:val="clear"/>
            <w:vAlign w:val="center"/>
          </w:tcPr>
          <w:p>
            <w:pPr>
              <w:pStyle w:val="TableContents"/>
              <w:bidi w:val="0"/>
              <w:spacing w:before="0" w:after="283"/>
              <w:jc w:val="right"/>
              <w:rPr/>
            </w:pPr>
            <w:r>
              <w:rPr/>
              <w:t> </w:t>
            </w:r>
          </w:p>
        </w:tc>
        <w:tc>
          <w:tcPr>
            <w:tcW w:w="15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8" w:type="dxa"/>
            <w:gridSpan w:val="2"/>
            <w:tcBorders/>
            <w:shd w:fill="CCECFF" w:val="clear"/>
            <w:vAlign w:val="center"/>
          </w:tcPr>
          <w:p>
            <w:pPr>
              <w:pStyle w:val="TableContents"/>
              <w:bidi w:val="0"/>
              <w:spacing w:before="0" w:after="283"/>
              <w:jc w:val="left"/>
              <w:rPr/>
            </w:pPr>
            <w:r>
              <w:rPr/>
              <w:t> </w:t>
            </w:r>
          </w:p>
        </w:tc>
        <w:tc>
          <w:tcPr>
            <w:tcW w:w="414" w:type="dxa"/>
            <w:tcBorders/>
            <w:shd w:fill="CCECFF" w:val="clear"/>
            <w:vAlign w:val="center"/>
          </w:tcPr>
          <w:p>
            <w:pPr>
              <w:pStyle w:val="TableContents"/>
              <w:bidi w:val="0"/>
              <w:spacing w:before="0" w:after="283"/>
              <w:jc w:val="left"/>
              <w:rPr/>
            </w:pPr>
            <w:r>
              <w:rPr/>
              <w:t> </w:t>
            </w:r>
          </w:p>
        </w:tc>
      </w:tr>
      <w:tr>
        <w:trPr/>
        <w:tc>
          <w:tcPr>
            <w:tcW w:w="63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Series A convertible preferred stock, $0.01</w:t>
            </w:r>
            <w:r>
              <w:rPr>
                <w:rFonts w:ascii="Times New Roman" w:hAnsi="Times New Roman"/>
                <w:color w:val="000000"/>
                <w:sz w:val="20"/>
              </w:rPr>
              <w:t> </w:t>
            </w:r>
            <w:r>
              <w:rPr>
                <w:rFonts w:ascii="Times New Roman" w:hAnsi="Times New Roman"/>
                <w:b w:val="false"/>
                <w:color w:val="000000"/>
                <w:sz w:val="20"/>
              </w:rPr>
              <w:t>par value</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1,100.3</w:t>
            </w:r>
          </w:p>
        </w:tc>
        <w:tc>
          <w:tcPr>
            <w:tcW w:w="414" w:type="dxa"/>
            <w:tcBorders/>
            <w:shd w:fill="FFFFFF" w:val="clear"/>
            <w:vAlign w:val="center"/>
          </w:tcPr>
          <w:p>
            <w:pPr>
              <w:pStyle w:val="TableContents"/>
              <w:bidi w:val="0"/>
              <w:spacing w:before="0" w:after="283"/>
              <w:jc w:val="left"/>
              <w:rPr/>
            </w:pPr>
            <w:r>
              <w:rPr/>
              <w:t> </w:t>
            </w:r>
          </w:p>
        </w:tc>
      </w:tr>
      <w:tr>
        <w:trPr/>
        <w:tc>
          <w:tcPr>
            <w:tcW w:w="631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deficit:</w:t>
            </w:r>
          </w:p>
        </w:tc>
        <w:tc>
          <w:tcPr>
            <w:tcW w:w="146" w:type="dxa"/>
            <w:tcBorders/>
            <w:shd w:fill="CCECFF" w:val="clear"/>
            <w:vAlign w:val="center"/>
          </w:tcPr>
          <w:p>
            <w:pPr>
              <w:pStyle w:val="TableContents"/>
              <w:bidi w:val="0"/>
              <w:spacing w:before="0" w:after="283"/>
              <w:jc w:val="right"/>
              <w:rPr/>
            </w:pPr>
            <w:r>
              <w:rPr/>
              <w:t> </w:t>
            </w:r>
          </w:p>
        </w:tc>
        <w:tc>
          <w:tcPr>
            <w:tcW w:w="15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8" w:type="dxa"/>
            <w:gridSpan w:val="2"/>
            <w:tcBorders/>
            <w:shd w:fill="CCECFF" w:val="clear"/>
            <w:vAlign w:val="center"/>
          </w:tcPr>
          <w:p>
            <w:pPr>
              <w:pStyle w:val="TableContents"/>
              <w:bidi w:val="0"/>
              <w:spacing w:before="0" w:after="283"/>
              <w:jc w:val="left"/>
              <w:rPr/>
            </w:pPr>
            <w:r>
              <w:rPr/>
              <w:t> </w:t>
            </w:r>
          </w:p>
        </w:tc>
        <w:tc>
          <w:tcPr>
            <w:tcW w:w="414" w:type="dxa"/>
            <w:tcBorders/>
            <w:shd w:fill="CCECFF" w:val="clear"/>
            <w:vAlign w:val="center"/>
          </w:tcPr>
          <w:p>
            <w:pPr>
              <w:pStyle w:val="TableContents"/>
              <w:bidi w:val="0"/>
              <w:spacing w:before="0" w:after="283"/>
              <w:ind w:left="0" w:right="0" w:firstLine="100"/>
              <w:jc w:val="left"/>
              <w:rPr/>
            </w:pPr>
            <w:r>
              <w:rPr/>
              <w:t> </w:t>
            </w:r>
          </w:p>
        </w:tc>
      </w:tr>
      <w:tr>
        <w:trPr/>
        <w:tc>
          <w:tcPr>
            <w:tcW w:w="6313"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Preferred stock, $0.01</w:t>
            </w:r>
            <w:r>
              <w:rPr>
                <w:rFonts w:ascii="Times New Roman" w:hAnsi="Times New Roman"/>
                <w:color w:val="000000"/>
                <w:sz w:val="20"/>
              </w:rPr>
              <w:t> </w:t>
            </w:r>
            <w:r>
              <w:rPr>
                <w:rFonts w:ascii="Times New Roman" w:hAnsi="Times New Roman"/>
                <w:b w:val="false"/>
                <w:color w:val="000000"/>
                <w:sz w:val="20"/>
              </w:rPr>
              <w:t>par value: Authorized shares: 200,000,000;</w:t>
            </w:r>
          </w:p>
        </w:tc>
        <w:tc>
          <w:tcPr>
            <w:tcW w:w="146" w:type="dxa"/>
            <w:tcBorders/>
            <w:shd w:fill="FFFFFF" w:val="clear"/>
            <w:vAlign w:val="center"/>
          </w:tcPr>
          <w:p>
            <w:pPr>
              <w:pStyle w:val="TableContents"/>
              <w:bidi w:val="0"/>
              <w:spacing w:before="0" w:after="283"/>
              <w:jc w:val="right"/>
              <w:rPr/>
            </w:pPr>
            <w:r>
              <w:rPr/>
              <w:t> </w:t>
            </w:r>
          </w:p>
        </w:tc>
        <w:tc>
          <w:tcPr>
            <w:tcW w:w="15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313"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Issued and outstanding shares: 1,146,324</w:t>
            </w:r>
            <w:r>
              <w:rPr>
                <w:rFonts w:ascii="Times New Roman" w:hAnsi="Times New Roman"/>
                <w:color w:val="000000"/>
                <w:sz w:val="20"/>
              </w:rPr>
              <w:t> </w:t>
            </w:r>
            <w:r>
              <w:rPr>
                <w:rFonts w:ascii="Times New Roman" w:hAnsi="Times New Roman"/>
                <w:b w:val="false"/>
                <w:color w:val="000000"/>
                <w:sz w:val="20"/>
              </w:rPr>
              <w:t>and 1,100,310, respectively,</w:t>
              <w:br/>
              <w:t>Series A convertible preferred stock</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100"/>
              <w:jc w:val="left"/>
              <w:rPr/>
            </w:pPr>
            <w:r>
              <w:rPr/>
              <w:t> </w:t>
            </w:r>
          </w:p>
        </w:tc>
      </w:tr>
      <w:tr>
        <w:trPr/>
        <w:tc>
          <w:tcPr>
            <w:tcW w:w="6313" w:type="dxa"/>
            <w:tcBorders/>
            <w:shd w:fill="CCEC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Common stock, $0.01</w:t>
            </w:r>
            <w:r>
              <w:rPr>
                <w:rFonts w:ascii="Times New Roman" w:hAnsi="Times New Roman"/>
                <w:color w:val="000000"/>
                <w:sz w:val="20"/>
              </w:rPr>
              <w:t> </w:t>
            </w:r>
            <w:r>
              <w:rPr>
                <w:rFonts w:ascii="Times New Roman" w:hAnsi="Times New Roman"/>
                <w:b w:val="false"/>
                <w:color w:val="000000"/>
                <w:sz w:val="20"/>
              </w:rPr>
              <w:t xml:space="preserve">par value: Authorized shares: 1,300,000,000; </w:t>
              <w:br/>
              <w:t>   Issued and outstanding shares: 211,918,754</w:t>
            </w:r>
            <w:r>
              <w:rPr>
                <w:rFonts w:ascii="Times New Roman" w:hAnsi="Times New Roman"/>
                <w:color w:val="000000"/>
                <w:sz w:val="20"/>
              </w:rPr>
              <w:t> </w:t>
            </w:r>
            <w:r>
              <w:rPr>
                <w:rFonts w:ascii="Times New Roman" w:hAnsi="Times New Roman"/>
                <w:b w:val="false"/>
                <w:color w:val="000000"/>
                <w:sz w:val="20"/>
              </w:rPr>
              <w:t>and 208,371,426, respectively</w:t>
            </w:r>
          </w:p>
        </w:tc>
        <w:tc>
          <w:tcPr>
            <w:tcW w:w="146" w:type="dxa"/>
            <w:tcBorders/>
            <w:shd w:fill="CCECFF" w:val="clear"/>
            <w:vAlign w:val="center"/>
          </w:tcPr>
          <w:p>
            <w:pPr>
              <w:pStyle w:val="TableContents"/>
              <w:bidi w:val="0"/>
              <w:spacing w:before="0" w:after="283"/>
              <w:jc w:val="right"/>
              <w:rPr/>
            </w:pPr>
            <w:r>
              <w:rPr/>
              <w:t> </w:t>
            </w:r>
          </w:p>
        </w:tc>
        <w:tc>
          <w:tcPr>
            <w:tcW w:w="311" w:type="dxa"/>
            <w:tcBorders/>
            <w:shd w:fill="CCECFF" w:val="clear"/>
            <w:vAlign w:val="center"/>
          </w:tcPr>
          <w:p>
            <w:pPr>
              <w:pStyle w:val="TableContents"/>
              <w:bidi w:val="0"/>
              <w:spacing w:before="0" w:after="283"/>
              <w:jc w:val="left"/>
              <w:rPr/>
            </w:pPr>
            <w:r>
              <w:rPr/>
              <w:t> </w:t>
            </w:r>
          </w:p>
        </w:tc>
        <w:tc>
          <w:tcPr>
            <w:tcW w:w="12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shd w:fill="CCECFF" w:val="clear"/>
            <w:vAlign w:val="center"/>
          </w:tcPr>
          <w:p>
            <w:pPr>
              <w:pStyle w:val="TableContents"/>
              <w:bidi w:val="0"/>
              <w:spacing w:before="0" w:after="283"/>
              <w:jc w:val="left"/>
              <w:rPr/>
            </w:pPr>
            <w:r>
              <w:rPr/>
              <w:t> </w:t>
            </w:r>
          </w:p>
        </w:tc>
        <w:tc>
          <w:tcPr>
            <w:tcW w:w="11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414" w:type="dxa"/>
            <w:tcBorders/>
            <w:shd w:fill="CCECFF" w:val="clear"/>
            <w:vAlign w:val="center"/>
          </w:tcPr>
          <w:p>
            <w:pPr>
              <w:pStyle w:val="TableContents"/>
              <w:bidi w:val="0"/>
              <w:spacing w:before="0" w:after="283"/>
              <w:ind w:left="0" w:right="0" w:firstLine="100"/>
              <w:jc w:val="left"/>
              <w:rPr/>
            </w:pPr>
            <w:r>
              <w:rPr/>
              <w:t> </w:t>
            </w:r>
          </w:p>
        </w:tc>
      </w:tr>
      <w:tr>
        <w:trPr/>
        <w:tc>
          <w:tcPr>
            <w:tcW w:w="631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2,542.9</w:t>
            </w:r>
          </w:p>
        </w:tc>
        <w:tc>
          <w:tcPr>
            <w:tcW w:w="414" w:type="dxa"/>
            <w:tcBorders/>
            <w:shd w:fill="FFFFFF" w:val="clear"/>
            <w:vAlign w:val="center"/>
          </w:tcPr>
          <w:p>
            <w:pPr>
              <w:pStyle w:val="TableContents"/>
              <w:bidi w:val="0"/>
              <w:spacing w:before="0" w:after="283"/>
              <w:ind w:left="0" w:right="0" w:firstLine="100"/>
              <w:jc w:val="left"/>
              <w:rPr/>
            </w:pPr>
            <w:r>
              <w:rPr/>
              <w:t> </w:t>
            </w:r>
          </w:p>
        </w:tc>
      </w:tr>
      <w:tr>
        <w:trPr/>
        <w:tc>
          <w:tcPr>
            <w:tcW w:w="6313"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CECFF" w:val="clear"/>
            <w:vAlign w:val="center"/>
          </w:tcPr>
          <w:p>
            <w:pPr>
              <w:pStyle w:val="TableContents"/>
              <w:bidi w:val="0"/>
              <w:spacing w:before="0" w:after="283"/>
              <w:jc w:val="right"/>
              <w:rPr/>
            </w:pPr>
            <w:r>
              <w:rPr/>
              <w:t> </w:t>
            </w:r>
          </w:p>
        </w:tc>
        <w:tc>
          <w:tcPr>
            <w:tcW w:w="311" w:type="dxa"/>
            <w:tcBorders/>
            <w:shd w:fill="CCECFF" w:val="clear"/>
            <w:vAlign w:val="center"/>
          </w:tcPr>
          <w:p>
            <w:pPr>
              <w:pStyle w:val="TableContents"/>
              <w:bidi w:val="0"/>
              <w:spacing w:before="0" w:after="283"/>
              <w:jc w:val="left"/>
              <w:rPr/>
            </w:pPr>
            <w:r>
              <w:rPr/>
              <w:t> </w:t>
            </w:r>
          </w:p>
        </w:tc>
        <w:tc>
          <w:tcPr>
            <w:tcW w:w="12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(4,427.9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302" w:type="dxa"/>
            <w:tcBorders/>
            <w:shd w:fill="CCECFF" w:val="clear"/>
            <w:vAlign w:val="center"/>
          </w:tcPr>
          <w:p>
            <w:pPr>
              <w:pStyle w:val="TableContents"/>
              <w:bidi w:val="0"/>
              <w:spacing w:before="0" w:after="283"/>
              <w:jc w:val="left"/>
              <w:rPr/>
            </w:pPr>
            <w:r>
              <w:rPr/>
              <w:t> </w:t>
            </w:r>
          </w:p>
        </w:tc>
        <w:tc>
          <w:tcPr>
            <w:tcW w:w="11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(3,502.2</w:t>
            </w:r>
          </w:p>
        </w:tc>
        <w:tc>
          <w:tcPr>
            <w:tcW w:w="414"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1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(296.3</w:t>
            </w:r>
          </w:p>
        </w:tc>
        <w:tc>
          <w:tcPr>
            <w:tcW w:w="41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13" w:type="dxa"/>
            <w:tcBorders/>
            <w:shd w:fill="CCEC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Treasury stock, at cost: 14,345,829</w:t>
            </w:r>
            <w:r>
              <w:rPr>
                <w:rFonts w:ascii="Times New Roman" w:hAnsi="Times New Roman"/>
                <w:color w:val="000000"/>
                <w:sz w:val="20"/>
              </w:rPr>
              <w:t> </w:t>
            </w:r>
            <w:r>
              <w:rPr>
                <w:rFonts w:ascii="Times New Roman" w:hAnsi="Times New Roman"/>
                <w:b w:val="false"/>
                <w:color w:val="000000"/>
                <w:sz w:val="20"/>
              </w:rPr>
              <w:t xml:space="preserve">shares and </w:t>
              <w:br/>
              <w:t>   12,726,695</w:t>
            </w:r>
            <w:r>
              <w:rPr>
                <w:rFonts w:ascii="Times New Roman" w:hAnsi="Times New Roman"/>
                <w:color w:val="000000"/>
                <w:sz w:val="20"/>
              </w:rPr>
              <w:t> </w:t>
            </w:r>
            <w:r>
              <w:rPr>
                <w:rFonts w:ascii="Times New Roman" w:hAnsi="Times New Roman"/>
                <w:b w:val="false"/>
                <w:color w:val="000000"/>
                <w:sz w:val="20"/>
              </w:rPr>
              <w:t>shares, respectively</w:t>
            </w:r>
          </w:p>
        </w:tc>
        <w:tc>
          <w:tcPr>
            <w:tcW w:w="146" w:type="dxa"/>
            <w:tcBorders/>
            <w:shd w:fill="CCECFF" w:val="clear"/>
            <w:vAlign w:val="center"/>
          </w:tcPr>
          <w:p>
            <w:pPr>
              <w:pStyle w:val="TableContents"/>
              <w:bidi w:val="0"/>
              <w:spacing w:before="0" w:after="283"/>
              <w:jc w:val="right"/>
              <w:rPr/>
            </w:pPr>
            <w:r>
              <w:rPr/>
              <w:t> </w:t>
            </w:r>
          </w:p>
        </w:tc>
        <w:tc>
          <w:tcPr>
            <w:tcW w:w="311" w:type="dxa"/>
            <w:tcBorders/>
            <w:shd w:fill="CCECFF" w:val="clear"/>
            <w:vAlign w:val="center"/>
          </w:tcPr>
          <w:p>
            <w:pPr>
              <w:pStyle w:val="TableContents"/>
              <w:bidi w:val="0"/>
              <w:spacing w:before="0" w:after="283"/>
              <w:jc w:val="left"/>
              <w:rPr/>
            </w:pPr>
            <w:r>
              <w:rPr/>
              <w:t> </w:t>
            </w:r>
          </w:p>
        </w:tc>
        <w:tc>
          <w:tcPr>
            <w:tcW w:w="12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302" w:type="dxa"/>
            <w:tcBorders/>
            <w:shd w:fill="CCECFF" w:val="clear"/>
            <w:vAlign w:val="center"/>
          </w:tcPr>
          <w:p>
            <w:pPr>
              <w:pStyle w:val="TableContents"/>
              <w:bidi w:val="0"/>
              <w:spacing w:before="0" w:after="283"/>
              <w:jc w:val="left"/>
              <w:rPr/>
            </w:pPr>
            <w:r>
              <w:rPr/>
              <w:t> </w:t>
            </w:r>
          </w:p>
        </w:tc>
        <w:tc>
          <w:tcPr>
            <w:tcW w:w="11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(292.6</w:t>
            </w:r>
          </w:p>
        </w:tc>
        <w:tc>
          <w:tcPr>
            <w:tcW w:w="414"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stockholders' deficit</w:t>
            </w:r>
          </w:p>
        </w:tc>
        <w:tc>
          <w:tcPr>
            <w:tcW w:w="146" w:type="dxa"/>
            <w:tcBorders/>
            <w:shd w:fill="FFFFFF" w:val="clear"/>
            <w:vAlign w:val="center"/>
          </w:tcPr>
          <w:p>
            <w:pPr>
              <w:pStyle w:val="TableContents"/>
              <w:bidi w:val="0"/>
              <w:spacing w:before="0" w:after="283"/>
              <w:jc w:val="right"/>
              <w:rPr/>
            </w:pPr>
            <w:r>
              <w:rPr/>
              <w:t> </w:t>
            </w:r>
          </w:p>
        </w:tc>
        <w:tc>
          <w:tcPr>
            <w:tcW w:w="3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(2,490.1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(1,546.0</w:t>
            </w:r>
          </w:p>
        </w:tc>
        <w:tc>
          <w:tcPr>
            <w:tcW w:w="414"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13"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liabilities and stockholders' deficit</w:t>
            </w:r>
          </w:p>
        </w:tc>
        <w:tc>
          <w:tcPr>
            <w:tcW w:w="146" w:type="dxa"/>
            <w:tcBorders/>
            <w:shd w:fill="CCECFF" w:val="clear"/>
            <w:vAlign w:val="center"/>
          </w:tcPr>
          <w:p>
            <w:pPr>
              <w:pStyle w:val="TableContents"/>
              <w:bidi w:val="0"/>
              <w:spacing w:before="0" w:after="283"/>
              <w:jc w:val="right"/>
              <w:rPr/>
            </w:pPr>
            <w:r>
              <w:rPr/>
              <w:t> </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10,065.6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11,685.4</w:t>
            </w:r>
          </w:p>
        </w:tc>
        <w:tc>
          <w:tcPr>
            <w:tcW w:w="41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See notes to unaudited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bookmarkStart w:id="7" w:name="condensed_consolidated_c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 In millions)</w:t>
      </w:r>
    </w:p>
    <w:p>
      <w:pPr>
        <w:pStyle w:val="TextBody"/>
        <w:bidi w:val="0"/>
        <w:jc w:val="center"/>
        <w:rPr/>
      </w:pPr>
      <w:r>
        <w:rPr/>
        <w:t> </w:t>
      </w:r>
    </w:p>
    <w:tbl>
      <w:tblPr>
        <w:tblW w:w="10099" w:type="dxa"/>
        <w:jc w:val="left"/>
        <w:tblInd w:w="0" w:type="dxa"/>
        <w:tblLayout w:type="fixed"/>
        <w:tblCellMar>
          <w:top w:w="28" w:type="dxa"/>
          <w:left w:w="28" w:type="dxa"/>
          <w:bottom w:w="28" w:type="dxa"/>
          <w:right w:w="28" w:type="dxa"/>
        </w:tblCellMar>
      </w:tblPr>
      <w:tblGrid>
        <w:gridCol w:w="7346"/>
        <w:gridCol w:w="146"/>
        <w:gridCol w:w="211"/>
        <w:gridCol w:w="631"/>
        <w:gridCol w:w="166"/>
        <w:gridCol w:w="146"/>
        <w:gridCol w:w="211"/>
        <w:gridCol w:w="631"/>
        <w:gridCol w:w="611"/>
      </w:tblGrid>
      <w:tr>
        <w:trPr/>
        <w:tc>
          <w:tcPr>
            <w:tcW w:w="7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1" w:type="dxa"/>
            <w:tcBorders/>
            <w:shd w:fill="FFFFFF" w:val="clear"/>
            <w:vAlign w:val="center"/>
          </w:tcPr>
          <w:p>
            <w:pPr>
              <w:pStyle w:val="TableContents"/>
              <w:bidi w:val="0"/>
              <w:spacing w:before="0" w:after="283"/>
              <w:jc w:val="center"/>
              <w:rPr/>
            </w:pPr>
            <w:r>
              <w:rPr/>
              <w:t> </w:t>
            </w:r>
          </w:p>
        </w:tc>
      </w:tr>
      <w:tr>
        <w:trPr/>
        <w:tc>
          <w:tcPr>
            <w:tcW w:w="7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6" w:type="dxa"/>
            <w:tcBorders/>
            <w:shd w:fill="CCEC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611" w:type="dxa"/>
            <w:tcBorders/>
            <w:shd w:fill="CCECFF" w:val="clear"/>
            <w:vAlign w:val="center"/>
          </w:tcPr>
          <w:p>
            <w:pPr>
              <w:pStyle w:val="TableContents"/>
              <w:bidi w:val="0"/>
              <w:spacing w:before="0" w:after="283"/>
              <w:ind w:left="0" w:right="0" w:firstLine="100"/>
              <w:jc w:val="left"/>
              <w:rPr/>
            </w:pPr>
            <w:r>
              <w:rPr/>
              <w:t> </w:t>
            </w:r>
          </w:p>
        </w:tc>
      </w:tr>
      <w:tr>
        <w:trPr/>
        <w:tc>
          <w:tcPr>
            <w:tcW w:w="73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w:t>
            </w:r>
          </w:p>
        </w:tc>
        <w:tc>
          <w:tcPr>
            <w:tcW w:w="6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Adjustments to reconcile net loss to net cash generated by (used in) operating activities:</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611" w:type="dxa"/>
            <w:tcBorders/>
            <w:shd w:fill="CCECFF" w:val="clear"/>
            <w:vAlign w:val="center"/>
          </w:tcPr>
          <w:p>
            <w:pPr>
              <w:pStyle w:val="TableContents"/>
              <w:bidi w:val="0"/>
              <w:spacing w:before="0" w:after="283"/>
              <w:ind w:left="0" w:right="0" w:firstLine="200"/>
              <w:jc w:val="left"/>
              <w:rPr/>
            </w:pPr>
            <w:r>
              <w:rPr/>
              <w:t> </w:t>
            </w:r>
          </w:p>
        </w:tc>
      </w:tr>
      <w:tr>
        <w:trPr/>
        <w:tc>
          <w:tcPr>
            <w:tcW w:w="73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34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611" w:type="dxa"/>
            <w:tcBorders/>
            <w:shd w:fill="CCECFF" w:val="clear"/>
            <w:vAlign w:val="center"/>
          </w:tcPr>
          <w:p>
            <w:pPr>
              <w:pStyle w:val="TableContents"/>
              <w:bidi w:val="0"/>
              <w:spacing w:before="0" w:after="283"/>
              <w:ind w:left="0" w:right="0" w:firstLine="200"/>
              <w:jc w:val="left"/>
              <w:rPr/>
            </w:pPr>
            <w:r>
              <w:rPr/>
              <w:t> </w:t>
            </w:r>
          </w:p>
        </w:tc>
      </w:tr>
      <w:tr>
        <w:trPr/>
        <w:tc>
          <w:tcPr>
            <w:tcW w:w="73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Asset impairments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611" w:type="dxa"/>
            <w:tcBorders/>
            <w:shd w:fill="CCECFF" w:val="clear"/>
            <w:vAlign w:val="center"/>
          </w:tcPr>
          <w:p>
            <w:pPr>
              <w:pStyle w:val="TableContents"/>
              <w:bidi w:val="0"/>
              <w:spacing w:before="0" w:after="283"/>
              <w:ind w:left="0" w:right="0" w:firstLine="200"/>
              <w:jc w:val="left"/>
              <w:rPr/>
            </w:pPr>
            <w:r>
              <w:rPr/>
              <w:t> </w:t>
            </w:r>
          </w:p>
        </w:tc>
      </w:tr>
      <w:tr>
        <w:trPr/>
        <w:tc>
          <w:tcPr>
            <w:tcW w:w="73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346" w:type="dxa"/>
            <w:tcBorders/>
            <w:shd w:fill="CCEC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w:t>
            </w:r>
          </w:p>
        </w:tc>
        <w:tc>
          <w:tcPr>
            <w:tcW w:w="611" w:type="dxa"/>
            <w:tcBorders/>
            <w:shd w:fill="CCEC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611" w:type="dxa"/>
            <w:tcBorders/>
            <w:shd w:fill="CCEC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(154.8</w:t>
            </w:r>
          </w:p>
        </w:tc>
        <w:tc>
          <w:tcPr>
            <w:tcW w:w="6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6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611" w:type="dxa"/>
            <w:tcBorders/>
            <w:shd w:fill="CCECFF" w:val="clear"/>
            <w:vAlign w:val="center"/>
          </w:tcPr>
          <w:p>
            <w:pPr>
              <w:pStyle w:val="TableContents"/>
              <w:bidi w:val="0"/>
              <w:spacing w:before="0" w:after="283"/>
              <w:ind w:left="0" w:right="0" w:firstLine="100"/>
              <w:jc w:val="left"/>
              <w:rPr/>
            </w:pPr>
            <w:r>
              <w:rPr/>
              <w:t> </w:t>
            </w:r>
          </w:p>
        </w:tc>
      </w:tr>
      <w:tr>
        <w:trPr/>
        <w:tc>
          <w:tcPr>
            <w:tcW w:w="73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Additions to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w:t>
            </w:r>
          </w:p>
        </w:tc>
        <w:tc>
          <w:tcPr>
            <w:tcW w:w="6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Proceeds from sale of property, plant and equipment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611" w:type="dxa"/>
            <w:tcBorders/>
            <w:shd w:fill="CCECFF" w:val="clear"/>
            <w:vAlign w:val="center"/>
          </w:tcPr>
          <w:p>
            <w:pPr>
              <w:pStyle w:val="TableContents"/>
              <w:bidi w:val="0"/>
              <w:spacing w:before="0" w:after="283"/>
              <w:ind w:left="0" w:right="0" w:firstLine="100"/>
              <w:jc w:val="left"/>
              <w:rPr/>
            </w:pPr>
            <w:r>
              <w:rPr/>
              <w:t> </w:t>
            </w:r>
          </w:p>
        </w:tc>
      </w:tr>
      <w:tr>
        <w:trPr/>
        <w:tc>
          <w:tcPr>
            <w:tcW w:w="73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investing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w:t>
            </w:r>
          </w:p>
        </w:tc>
        <w:tc>
          <w:tcPr>
            <w:tcW w:w="6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734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Long-term debt repaid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(252.0</w:t>
            </w:r>
          </w:p>
        </w:tc>
        <w:tc>
          <w:tcPr>
            <w:tcW w:w="611"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Long-term debt repurchases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734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Long-term debt proceeds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333.0</w:t>
            </w:r>
          </w:p>
        </w:tc>
        <w:tc>
          <w:tcPr>
            <w:tcW w:w="611" w:type="dxa"/>
            <w:tcBorders/>
            <w:shd w:fill="CCECFF" w:val="clear"/>
            <w:vAlign w:val="center"/>
          </w:tcPr>
          <w:p>
            <w:pPr>
              <w:pStyle w:val="TableContents"/>
              <w:bidi w:val="0"/>
              <w:spacing w:before="0" w:after="283"/>
              <w:ind w:left="0" w:right="0" w:firstLine="100"/>
              <w:jc w:val="left"/>
              <w:rPr/>
            </w:pPr>
            <w:r>
              <w:rPr/>
              <w:t> </w:t>
            </w:r>
          </w:p>
        </w:tc>
      </w:tr>
      <w:tr>
        <w:trPr/>
        <w:tc>
          <w:tcPr>
            <w:tcW w:w="73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Dividends paid on Series A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6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Proceeds from the issuance of common shares under equity-based compensation plans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611" w:type="dxa"/>
            <w:tcBorders/>
            <w:shd w:fill="CCECFF" w:val="clear"/>
            <w:vAlign w:val="center"/>
          </w:tcPr>
          <w:p>
            <w:pPr>
              <w:pStyle w:val="TableContents"/>
              <w:bidi w:val="0"/>
              <w:spacing w:before="0" w:after="283"/>
              <w:ind w:left="0" w:right="0" w:firstLine="100"/>
              <w:jc w:val="left"/>
              <w:rPr/>
            </w:pPr>
            <w:r>
              <w:rPr/>
              <w:t> </w:t>
            </w:r>
          </w:p>
        </w:tc>
      </w:tr>
      <w:tr>
        <w:trPr/>
        <w:tc>
          <w:tcPr>
            <w:tcW w:w="73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Tax withholding payments for vested equity-based compensation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6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6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w:t>
            </w:r>
          </w:p>
        </w:tc>
        <w:tc>
          <w:tcPr>
            <w:tcW w:w="611" w:type="dxa"/>
            <w:tcBorders/>
            <w:shd w:fill="FFFFFF" w:val="clear"/>
            <w:vAlign w:val="center"/>
          </w:tcPr>
          <w:p>
            <w:pPr>
              <w:pStyle w:val="TableContents"/>
              <w:bidi w:val="0"/>
              <w:spacing w:before="0" w:after="283"/>
              <w:jc w:val="left"/>
              <w:rPr/>
            </w:pPr>
            <w:r>
              <w:rPr/>
              <w:t> </w:t>
            </w:r>
          </w:p>
        </w:tc>
      </w:tr>
      <w:tr>
        <w:trPr/>
        <w:tc>
          <w:tcPr>
            <w:tcW w:w="73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 of exchange rate changes on cash and cash equivalents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6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(214.8</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3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360.3</w:t>
            </w:r>
          </w:p>
        </w:tc>
        <w:tc>
          <w:tcPr>
            <w:tcW w:w="6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9488" w:type="dxa"/>
            <w:gridSpan w:val="8"/>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See notes to unaudited condensed consolidated financial statements.</w:t>
            </w:r>
          </w:p>
        </w:tc>
        <w:tc>
          <w:tcPr>
            <w:tcW w:w="61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Normal"/>
        <w:bidi w:val="0"/>
        <w:spacing w:before="0" w:after="0"/>
        <w:jc w:val="left"/>
        <w:rPr>
          <w:sz w:val="4"/>
          <w:szCs w:val="4"/>
        </w:rPr>
      </w:pPr>
      <w:r>
        <w:rPr>
          <w:sz w:val="4"/>
          <w:szCs w:val="4"/>
        </w:rPr>
      </w:r>
      <w:bookmarkStart w:id="8" w:name="item_1_stmt_stkholders_equity"/>
      <w:bookmarkStart w:id="9" w:name="item_1_stmt_stkholders_equity"/>
      <w:bookmarkEnd w:id="9"/>
    </w:p>
    <w:tbl>
      <w:tblPr>
        <w:tblW w:w="10205" w:type="dxa"/>
        <w:jc w:val="left"/>
        <w:tblInd w:w="0" w:type="dxa"/>
        <w:tblLayout w:type="fixed"/>
        <w:tblCellMar>
          <w:top w:w="28" w:type="dxa"/>
          <w:left w:w="28" w:type="dxa"/>
          <w:bottom w:w="28" w:type="dxa"/>
          <w:right w:w="28" w:type="dxa"/>
        </w:tblCellMar>
      </w:tblPr>
      <w:tblGrid>
        <w:gridCol w:w="3404"/>
        <w:gridCol w:w="146"/>
        <w:gridCol w:w="211"/>
        <w:gridCol w:w="1141"/>
        <w:gridCol w:w="166"/>
        <w:gridCol w:w="146"/>
        <w:gridCol w:w="211"/>
        <w:gridCol w:w="1141"/>
        <w:gridCol w:w="166"/>
        <w:gridCol w:w="146"/>
        <w:gridCol w:w="211"/>
        <w:gridCol w:w="1141"/>
        <w:gridCol w:w="166"/>
        <w:gridCol w:w="146"/>
        <w:gridCol w:w="211"/>
        <w:gridCol w:w="1141"/>
        <w:gridCol w:w="311"/>
      </w:tblGrid>
      <w:tr>
        <w:trPr/>
        <w:tc>
          <w:tcPr>
            <w:tcW w:w="3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894" w:type="dxa"/>
            <w:gridSpan w:val="1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CommScope Holding Company, Inc.</w:t>
            </w:r>
          </w:p>
        </w:tc>
        <w:tc>
          <w:tcPr>
            <w:tcW w:w="311" w:type="dxa"/>
            <w:tcBorders/>
            <w:shd w:fill="FFFFFF" w:val="clear"/>
            <w:vAlign w:val="center"/>
          </w:tcPr>
          <w:p>
            <w:pPr>
              <w:pStyle w:val="TableContents"/>
              <w:bidi w:val="0"/>
              <w:spacing w:before="0" w:after="283"/>
              <w:jc w:val="center"/>
              <w:rPr/>
            </w:pPr>
            <w:r>
              <w:rPr/>
              <w:t> </w:t>
            </w:r>
          </w:p>
        </w:tc>
      </w:tr>
      <w:tr>
        <w:trPr/>
        <w:tc>
          <w:tcPr>
            <w:tcW w:w="9894" w:type="dxa"/>
            <w:gridSpan w:val="16"/>
            <w:tcBorders/>
            <w:shd w:fill="FFFFFF" w:val="clear"/>
            <w:vAlign w:val="center"/>
          </w:tcPr>
          <w:p>
            <w:pPr>
              <w:pStyle w:val="TableContents"/>
              <w:bidi w:val="0"/>
              <w:spacing w:before="0" w:after="283"/>
              <w:jc w:val="center"/>
              <w:rPr>
                <w:rFonts w:ascii="Times New Roman" w:hAnsi="Times New Roman"/>
                <w:b/>
                <w:color w:val="000000"/>
                <w:sz w:val="20"/>
              </w:rPr>
            </w:pPr>
            <w:bookmarkStart w:id="10" w:name="item_1_stmt_stk_equity"/>
            <w:bookmarkEnd w:id="10"/>
            <w:r>
              <w:rPr>
                <w:rFonts w:ascii="Times New Roman" w:hAnsi="Times New Roman"/>
                <w:b/>
                <w:color w:val="000000"/>
                <w:sz w:val="20"/>
              </w:rPr>
              <w:t>Condensed Consolidated Statements of Stockholders' Deficit</w:t>
            </w:r>
          </w:p>
        </w:tc>
        <w:tc>
          <w:tcPr>
            <w:tcW w:w="311" w:type="dxa"/>
            <w:tcBorders/>
            <w:shd w:fill="FFFFFF" w:val="clear"/>
            <w:vAlign w:val="center"/>
          </w:tcPr>
          <w:p>
            <w:pPr>
              <w:pStyle w:val="TableContents"/>
              <w:bidi w:val="0"/>
              <w:spacing w:before="0" w:after="283"/>
              <w:jc w:val="center"/>
              <w:rPr/>
            </w:pPr>
            <w:r>
              <w:rPr/>
              <w:t> </w:t>
            </w:r>
          </w:p>
        </w:tc>
      </w:tr>
      <w:tr>
        <w:trPr/>
        <w:tc>
          <w:tcPr>
            <w:tcW w:w="9894" w:type="dxa"/>
            <w:gridSpan w:val="1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share amounts)</w:t>
            </w:r>
          </w:p>
        </w:tc>
        <w:tc>
          <w:tcPr>
            <w:tcW w:w="311" w:type="dxa"/>
            <w:tcBorders/>
            <w:shd w:fill="FFFFFF" w:val="clear"/>
            <w:vAlign w:val="center"/>
          </w:tcPr>
          <w:p>
            <w:pPr>
              <w:pStyle w:val="TableContents"/>
              <w:bidi w:val="0"/>
              <w:spacing w:before="0" w:after="283"/>
              <w:jc w:val="center"/>
              <w:rPr/>
            </w:pPr>
            <w:r>
              <w:rPr/>
              <w:t> </w:t>
            </w:r>
          </w:p>
        </w:tc>
      </w:tr>
      <w:tr>
        <w:trPr/>
        <w:tc>
          <w:tcPr>
            <w:tcW w:w="3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34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11" w:type="dxa"/>
            <w:tcBorders/>
            <w:shd w:fill="FFFFFF" w:val="clear"/>
            <w:vAlign w:val="center"/>
          </w:tcPr>
          <w:p>
            <w:pPr>
              <w:pStyle w:val="TableContents"/>
              <w:bidi w:val="0"/>
              <w:spacing w:before="0" w:after="283"/>
              <w:jc w:val="center"/>
              <w:rPr/>
            </w:pPr>
            <w:r>
              <w:rPr/>
              <w:t> </w:t>
            </w:r>
          </w:p>
        </w:tc>
      </w:tr>
      <w:tr>
        <w:trPr/>
        <w:tc>
          <w:tcPr>
            <w:tcW w:w="34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Number of common shares outstanding:</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211,912,464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208,162,986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208,371,426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204,567,294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Issuance of shares under equity-based compensation plans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9,362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46,467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5,166,462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5,305,926</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Shares surrendered under equity-based compensation plans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(1,619,134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(1,674,977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211,918,754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208,198,243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211,918,754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208,198,243</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Issuance of shares under equity-based compensation plans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2,558.7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2,540.7</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Issuance of shares under equity-based compensation plans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Dividends on Series A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2,542.0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(2,215.3</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w:t>
            </w:r>
          </w:p>
        </w:tc>
        <w:tc>
          <w:tcPr>
            <w:tcW w:w="311"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(4,427.9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(2,393.3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(4,427.9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(2,393.3</w:t>
            </w:r>
          </w:p>
        </w:tc>
        <w:tc>
          <w:tcPr>
            <w:tcW w:w="3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comprehensive loss, net of tax</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(190.7</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Treasury stock, at cost:</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shares surrendered under equity-based</w:t>
              <w:br/>
              <w:t>   compensation plans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deficit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(2,490.1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(2,490.1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(538.0</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9894" w:type="dxa"/>
            <w:gridSpan w:val="1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See notes to unaudited condensed consolidated financial statements.</w:t>
            </w:r>
          </w:p>
        </w:tc>
        <w:tc>
          <w:tcPr>
            <w:tcW w:w="31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jc w:val="left"/>
        <w:rPr>
          <w:rFonts w:ascii="Times New Roman" w:hAnsi="Times New Roman"/>
          <w:sz w:val="20"/>
        </w:rPr>
      </w:pPr>
      <w:bookmarkStart w:id="11" w:name="notes_to_unaudited_condensed_consolidate"/>
      <w:bookmarkEnd w:id="11"/>
      <w:r>
        <w:rPr>
          <w:rFonts w:ascii="Times New Roman" w:hAnsi="Times New Roman"/>
          <w:b/>
          <w:color w:val="000000"/>
          <w:sz w:val="20"/>
        </w:rPr>
        <w:t>1. BACKGROUND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CommScope Holding Company, Inc., along with its direct and indirect subsidiaries (CommScope or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2022 (the 2022 Annual Report). The significant accounting policies followed by the Company are set forth in Note 2 within the Company’s audited consolidated financial statements included in the 2022 Annual Report. There were no material changes in the Company’s significant accounting policies during the three or nine months ended September 30,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Concentrations of Risk and Related Party Transactions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direct customer accounted for 10% or more of the Company’s total net sales during the three or nine months ended September 30, 2023. Net sales to Comcast Corporation and affiliates (Comcast) accounted for 11% of the Company's total net sales during the three months ended September 30, 2022. No direct customer accounted for 10% or more of the Company’s total net sales during the nine months ended September 30, 2022. Accounts receivable from Charter Communications, Inc. (Charter) represented approximately 10% of accounts receivable as of September 30, 2023. Other than Charter, no</w:t>
      </w:r>
      <w:r>
        <w:rPr>
          <w:rFonts w:ascii="Times New Roman" w:hAnsi="Times New Roman"/>
          <w:color w:val="000000"/>
          <w:sz w:val="20"/>
        </w:rPr>
        <w:t xml:space="preserve"> </w:t>
      </w:r>
      <w:r>
        <w:rPr>
          <w:rFonts w:ascii="Times New Roman" w:hAnsi="Times New Roman"/>
          <w:b w:val="false"/>
          <w:color w:val="000000"/>
          <w:sz w:val="20"/>
        </w:rPr>
        <w:t>direct customer accounted for 10% or more of the Company’s accounts receivable.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funds affiliated with Carlyle Partners VII S1 Holdings, L.P. (Carlyle) owned 100% of the Series A convertible preferred stock (the Convertible Preferred Stock), which was sold to Carlyle to fund a portion of the acquisition of ARRIS International plc (ARRIS) in 2019. See Note 9 for further discussion of the Convertible Preferred Stock. Other than transactions related to the Convertible Preferred Stock, there were no</w:t>
      </w:r>
      <w:r>
        <w:rPr>
          <w:rFonts w:ascii="Times New Roman" w:hAnsi="Times New Roman"/>
          <w:color w:val="000000"/>
          <w:sz w:val="20"/>
        </w:rPr>
        <w:t xml:space="preserve"> </w:t>
      </w:r>
      <w:r>
        <w:rPr>
          <w:rFonts w:ascii="Times New Roman" w:hAnsi="Times New Roman"/>
          <w:b w:val="false"/>
          <w:color w:val="000000"/>
          <w:sz w:val="20"/>
        </w:rPr>
        <w:t>material related party transactions for the three or nine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Product Warranties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following table summarizes the activity in the product warranty accrual, included in accrued and other liabilities and other noncurrent liabilities on the Condensed Consolidated Balance Sheets:</w:t>
      </w:r>
    </w:p>
    <w:tbl>
      <w:tblPr>
        <w:tblW w:w="8022" w:type="dxa"/>
        <w:jc w:val="left"/>
        <w:tblInd w:w="0" w:type="dxa"/>
        <w:tblLayout w:type="fixed"/>
        <w:tblCellMar>
          <w:top w:w="28" w:type="dxa"/>
          <w:left w:w="28" w:type="dxa"/>
          <w:bottom w:w="28" w:type="dxa"/>
          <w:right w:w="28" w:type="dxa"/>
        </w:tblCellMar>
      </w:tblPr>
      <w:tblGrid>
        <w:gridCol w:w="3841"/>
        <w:gridCol w:w="146"/>
        <w:gridCol w:w="211"/>
        <w:gridCol w:w="526"/>
        <w:gridCol w:w="166"/>
        <w:gridCol w:w="146"/>
        <w:gridCol w:w="211"/>
        <w:gridCol w:w="466"/>
        <w:gridCol w:w="166"/>
        <w:gridCol w:w="146"/>
        <w:gridCol w:w="211"/>
        <w:gridCol w:w="526"/>
        <w:gridCol w:w="166"/>
        <w:gridCol w:w="146"/>
        <w:gridCol w:w="211"/>
        <w:gridCol w:w="526"/>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warranty accrual,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w:t>
            </w:r>
          </w:p>
        </w:tc>
        <w:tc>
          <w:tcPr>
            <w:tcW w:w="211" w:type="dxa"/>
            <w:tcBorders/>
            <w:shd w:fill="CCEC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warranty claims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211" w:type="dxa"/>
            <w:tcBorders/>
            <w:shd w:fill="FFFFFF" w:val="clear"/>
            <w:vAlign w:val="center"/>
          </w:tcPr>
          <w:p>
            <w:pPr>
              <w:pStyle w:val="TableContents"/>
              <w:bidi w:val="0"/>
              <w:spacing w:before="0" w:after="283"/>
              <w:jc w:val="left"/>
              <w:rPr/>
            </w:pPr>
            <w:r>
              <w:rPr/>
              <w:t> </w:t>
            </w:r>
          </w:p>
        </w:tc>
      </w:tr>
      <w:tr>
        <w:trPr/>
        <w:tc>
          <w:tcPr>
            <w:tcW w:w="384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Warranty claims paid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exchange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4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warranty accrual,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Third-Party Guarantees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was contingently liable under open standby letters of credit issued by its banks to support performance obligations of a third-party contractor that totaled $44.0</w:t>
      </w:r>
      <w:r>
        <w:rPr>
          <w:rFonts w:ascii="Times New Roman" w:hAnsi="Times New Roman"/>
          <w:color w:val="000000"/>
          <w:sz w:val="20"/>
        </w:rPr>
        <w:t xml:space="preserve"> </w:t>
      </w:r>
      <w:r>
        <w:rPr>
          <w:rFonts w:ascii="Times New Roman" w:hAnsi="Times New Roman"/>
          <w:b w:val="false"/>
          <w:color w:val="000000"/>
          <w:sz w:val="20"/>
        </w:rPr>
        <w:t>million as of September 30, 2023.</w:t>
      </w:r>
      <w:r>
        <w:rPr>
          <w:rFonts w:ascii="Times New Roman" w:hAnsi="Times New Roman"/>
          <w:color w:val="000000"/>
          <w:sz w:val="20"/>
        </w:rPr>
        <w:t xml:space="preserve"> </w:t>
      </w:r>
      <w:r>
        <w:rPr>
          <w:rFonts w:ascii="Times New Roman" w:hAnsi="Times New Roman"/>
          <w:b w:val="false"/>
          <w:color w:val="000000"/>
          <w:sz w:val="20"/>
        </w:rPr>
        <w:t>These amounts represent an estimate of the maximum amounts the Company would expect to incur upon the contractual non-performance of the third-party contractor, but the Company also has cross-indemnities in place that may enable it to recover amounts in the event of non-performance by the third-party contractor. The Company believes the likelihood of having to perform under these guarantees is remote. There were no</w:t>
      </w:r>
      <w:r>
        <w:rPr>
          <w:rFonts w:ascii="Times New Roman" w:hAnsi="Times New Roman"/>
          <w:color w:val="000000"/>
          <w:sz w:val="20"/>
        </w:rPr>
        <w:t xml:space="preserve"> </w:t>
      </w:r>
      <w:r>
        <w:rPr>
          <w:rFonts w:ascii="Times New Roman" w:hAnsi="Times New Roman"/>
          <w:b w:val="false"/>
          <w:color w:val="000000"/>
          <w:sz w:val="20"/>
        </w:rPr>
        <w:t>material amounts recorded in the condensed consolidated financial statements related to third-party guarantee agreements for the three or nine months ended September 30, 2023 or 2022 or as of September 30, 2023 or December 31, 2022. As of September 30, 2023, these instruments reduced the available borrowings under the senior secured asset-based revolving credit facility (the Revolving Credit Facility).</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Non-cancellable Purchase Obligations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2023, the Company entered into a long-term supply contract with a third party to secure the supply of certain raw materials. Under the terms of the contract, the Company will make advance payments through 2026 totaling $120.0</w:t>
      </w:r>
      <w:r>
        <w:rPr>
          <w:rFonts w:ascii="Times New Roman" w:hAnsi="Times New Roman"/>
          <w:color w:val="000000"/>
          <w:sz w:val="20"/>
        </w:rPr>
        <w:t xml:space="preserve"> </w:t>
      </w:r>
      <w:r>
        <w:rPr>
          <w:rFonts w:ascii="Times New Roman" w:hAnsi="Times New Roman"/>
          <w:b w:val="false"/>
          <w:color w:val="000000"/>
          <w:sz w:val="20"/>
        </w:rPr>
        <w:t>million (undiscounted) and based on meeting certain minimum purchase requirements through 2031, such advance payments will be credited and applied to future orders on a quarterly basis beginning in 2027 through 2031. The advance payments are capitalized as other noncurrent assets in the Condensed Consolidated Balance Sheets. The Company has committed to purchases of raw materials under this agreement beginning in 2023 and growing to a level of approximately $137</w:t>
      </w:r>
      <w:r>
        <w:rPr>
          <w:rFonts w:ascii="Times New Roman" w:hAnsi="Times New Roman"/>
          <w:color w:val="000000"/>
          <w:sz w:val="20"/>
        </w:rPr>
        <w:t xml:space="preserve"> </w:t>
      </w:r>
      <w:r>
        <w:rPr>
          <w:rFonts w:ascii="Times New Roman" w:hAnsi="Times New Roman"/>
          <w:b w:val="false"/>
          <w:color w:val="000000"/>
          <w:sz w:val="20"/>
        </w:rPr>
        <w:t>million per year by 2026 and continuing through 2032.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Legal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defend and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had liabilities of $25.4</w:t>
      </w:r>
      <w:r>
        <w:rPr>
          <w:rFonts w:ascii="Times New Roman" w:hAnsi="Times New Roman"/>
          <w:color w:val="000000"/>
          <w:sz w:val="20"/>
        </w:rPr>
        <w:t xml:space="preserve"> </w:t>
      </w:r>
      <w:r>
        <w:rPr>
          <w:rFonts w:ascii="Times New Roman" w:hAnsi="Times New Roman"/>
          <w:b w:val="false"/>
          <w:color w:val="000000"/>
          <w:sz w:val="20"/>
        </w:rPr>
        <w:t>million and $37.1</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 recorded in accrued and other liabilities and noncurrent liabilities on the Condensed Consolidated Balance Sheets related to certain intellectual property assertions that have been settled or are in the process of settlement. For the three and nine months ended September 30, 2023, the Company recorded a $3.5</w:t>
      </w:r>
      <w:r>
        <w:rPr>
          <w:rFonts w:ascii="Times New Roman" w:hAnsi="Times New Roman"/>
          <w:color w:val="000000"/>
          <w:sz w:val="20"/>
        </w:rPr>
        <w:t xml:space="preserve"> </w:t>
      </w:r>
      <w:r>
        <w:rPr>
          <w:rFonts w:ascii="Times New Roman" w:hAnsi="Times New Roman"/>
          <w:b w:val="false"/>
          <w:color w:val="000000"/>
          <w:sz w:val="20"/>
        </w:rPr>
        <w:t>million gain related to the settlement of an intellectual property claim, and for the nine months ended September 30, 2023, the Company also released $11.0</w:t>
      </w:r>
      <w:r>
        <w:rPr>
          <w:rFonts w:ascii="Times New Roman" w:hAnsi="Times New Roman"/>
          <w:color w:val="000000"/>
          <w:sz w:val="20"/>
        </w:rPr>
        <w:t xml:space="preserve"> </w:t>
      </w:r>
      <w:r>
        <w:rPr>
          <w:rFonts w:ascii="Times New Roman" w:hAnsi="Times New Roman"/>
          <w:b w:val="false"/>
          <w:color w:val="000000"/>
          <w:sz w:val="20"/>
        </w:rPr>
        <w:t>million in accrued liabilities related to an intellectual property claim that was settled at an amount that was lower than estimated. Charges related to intellectual property assertions were not material for the three or nine months ended September 30, 2023</w:t>
      </w:r>
      <w:r>
        <w:rPr>
          <w:rFonts w:ascii="Times New Roman" w:hAnsi="Times New Roman"/>
          <w:color w:val="000000"/>
          <w:sz w:val="20"/>
        </w:rPr>
        <w:t xml:space="preserve"> </w:t>
      </w:r>
      <w:r>
        <w:rPr>
          <w:rFonts w:ascii="Times New Roman" w:hAnsi="Times New Roman"/>
          <w:b w:val="false"/>
          <w:color w:val="000000"/>
          <w:sz w:val="20"/>
        </w:rPr>
        <w:t>or 2022. The Company received $3.5</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2023 and paid $2.0</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2023 to settle intellectual property claims and assertions. The Company paid $11.2</w:t>
      </w:r>
      <w:r>
        <w:rPr>
          <w:rFonts w:ascii="Times New Roman" w:hAnsi="Times New Roman"/>
          <w:color w:val="000000"/>
          <w:sz w:val="20"/>
        </w:rPr>
        <w:t xml:space="preserve"> </w:t>
      </w:r>
      <w:r>
        <w:rPr>
          <w:rFonts w:ascii="Times New Roman" w:hAnsi="Times New Roman"/>
          <w:b w:val="false"/>
          <w:color w:val="000000"/>
          <w:sz w:val="20"/>
        </w:rPr>
        <w:t>million and $21.0</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2022, respectively, to settle intellectual property claims and assertions.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is also either a plaintiff or a defendant in certain other pending legal matters in the normal course of business. Management believes that, upon final disposition, none of these other pending legal matters will have a material adverse effect on the Company’s business or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Derivative Instruments and Hedging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utilized a hedging strategy to mitigate a portion of the exposure to changes in cash flows resulting from variable interest rates on the senior secured term loan due 2026 (2026 Term Loan). In conjunction with the amendment to its 2026 Term Loan due to reference rate reform, on June 28, 2023, the Company settled its cash flow hedges with a notional value of $300.0</w:t>
      </w:r>
      <w:r>
        <w:rPr>
          <w:rFonts w:ascii="Times New Roman" w:hAnsi="Times New Roman"/>
          <w:color w:val="000000"/>
          <w:sz w:val="20"/>
        </w:rPr>
        <w:t xml:space="preserve"> </w:t>
      </w:r>
      <w:r>
        <w:rPr>
          <w:rFonts w:ascii="Times New Roman" w:hAnsi="Times New Roman"/>
          <w:b w:val="false"/>
          <w:color w:val="000000"/>
          <w:sz w:val="20"/>
        </w:rPr>
        <w:t>million and received cash of $6.8</w:t>
      </w:r>
      <w:r>
        <w:rPr>
          <w:rFonts w:ascii="Times New Roman" w:hAnsi="Times New Roman"/>
          <w:color w:val="000000"/>
          <w:sz w:val="20"/>
        </w:rPr>
        <w:t xml:space="preserve"> </w:t>
      </w:r>
      <w:r>
        <w:rPr>
          <w:rFonts w:ascii="Times New Roman" w:hAnsi="Times New Roman"/>
          <w:b w:val="false"/>
          <w:color w:val="000000"/>
          <w:sz w:val="20"/>
        </w:rPr>
        <w:t>million which is included within operating cash flow activity in accordance with the Company's accounting policy. The cash flow hedges were derecognized, and the gain of $6.1</w:t>
      </w:r>
      <w:r>
        <w:rPr>
          <w:rFonts w:ascii="Times New Roman" w:hAnsi="Times New Roman"/>
          <w:color w:val="000000"/>
          <w:sz w:val="20"/>
        </w:rPr>
        <w:t xml:space="preserve"> </w:t>
      </w:r>
      <w:r>
        <w:rPr>
          <w:rFonts w:ascii="Times New Roman" w:hAnsi="Times New Roman"/>
          <w:b w:val="false"/>
          <w:color w:val="000000"/>
          <w:sz w:val="20"/>
        </w:rPr>
        <w:t>million remaining as a component of accumulated comprehensive loss in the Condensed Consolidated Balance Sheets will continue to be reclassified to earnings through interest expense as the interest payments are made on the 2026 Term Loan unless the forecasted hedged transaction becomes probable of not occurring. See Note 5 for further discussion of the amendment to the 2026 Term Loan.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Following the amendment to the 2026 Term Loan and settlement of the cash flow hedges noted above, during the three months ended September 30, 2023, the Company reenacted its hedging strategy to mitigate the interest rate risk from its variable rate debt, initially associated with its amended 2026 Term Loan and extending to future borrowings or debt issued, to fix a portion of the future interest cash flows by designating qualifying receive-variable and pay-fixed interest rate swaps as a cash flow hedge for accounting and financial reporting purposes. The total notional amount of the interest rate swap derivatives as of September 30, 2023 was $700.0</w:t>
      </w:r>
      <w:r>
        <w:rPr>
          <w:rFonts w:ascii="Times New Roman" w:hAnsi="Times New Roman"/>
          <w:color w:val="000000"/>
          <w:sz w:val="20"/>
        </w:rPr>
        <w:t xml:space="preserve"> </w:t>
      </w:r>
      <w:r>
        <w:rPr>
          <w:rFonts w:ascii="Times New Roman" w:hAnsi="Times New Roman"/>
          <w:b w:val="false"/>
          <w:color w:val="000000"/>
          <w:sz w:val="20"/>
        </w:rPr>
        <w:t>million with outstanding maturities up to thirty-six months.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 Impairments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Goodwill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Goodwill is tested for impairment annually or at other times if events have occurred or circumstances exist that indicate the carrying value of the reporting unit may exceed its fair value. See Notes 2 and 6 for discussion of goodwill impairment tests and charges during the three and nine months ended September 30, 2023. There were no</w:t>
      </w:r>
      <w:r>
        <w:rPr>
          <w:rFonts w:ascii="Times New Roman" w:hAnsi="Times New Roman"/>
          <w:color w:val="000000"/>
          <w:sz w:val="20"/>
        </w:rPr>
        <w:t xml:space="preserve"> </w:t>
      </w:r>
      <w:r>
        <w:rPr>
          <w:rFonts w:ascii="Times New Roman" w:hAnsi="Times New Roman"/>
          <w:b w:val="false"/>
          <w:color w:val="000000"/>
          <w:sz w:val="20"/>
        </w:rPr>
        <w:t>goodwill impairments identified during the three or nine months ended September 30,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Considering the low headroom going forward for each of the Access Network Solutions (ANS) and Building and Data Center Connectivity (BDCC) reporting units, there is a risk for future impairment in the event of declines in general economic, market or business conditions or any significant unfavorable change in the forecasted cash flows, weighted average cost of capital or growth rates. If current and long-term projections for the ANS and BDCC reporting units are not realized or decrease materially, the Company may be required to recognize additional goodwill impairment charges, and these charges could be material to the Company's results of operations.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Long-lived Assets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Long-lived assets, which include 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See Notes 2 and 6 for discussion of definite-lived intangible asset impairment tests and charges during the three and nine months ended September 30, 2023. There were no</w:t>
      </w:r>
      <w:r>
        <w:rPr>
          <w:rFonts w:ascii="Times New Roman" w:hAnsi="Times New Roman"/>
          <w:color w:val="000000"/>
          <w:sz w:val="20"/>
        </w:rPr>
        <w:t xml:space="preserve"> </w:t>
      </w:r>
      <w:r>
        <w:rPr>
          <w:rFonts w:ascii="Times New Roman" w:hAnsi="Times New Roman"/>
          <w:b w:val="false"/>
          <w:color w:val="000000"/>
          <w:sz w:val="20"/>
        </w:rPr>
        <w:t>additional definite-lived intangible or other long-lived asset impairments identified during the three or nine months ended September 30, 2023 or 2022, other than certain assets impaired as a result of restructuring 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the Company recognized an income tax benefit of $158.6</w:t>
      </w:r>
      <w:r>
        <w:rPr>
          <w:rFonts w:ascii="Times New Roman" w:hAnsi="Times New Roman"/>
          <w:color w:val="000000"/>
          <w:sz w:val="20"/>
        </w:rPr>
        <w:t xml:space="preserve"> </w:t>
      </w:r>
      <w:r>
        <w:rPr>
          <w:rFonts w:ascii="Times New Roman" w:hAnsi="Times New Roman"/>
          <w:b w:val="false"/>
          <w:color w:val="000000"/>
          <w:sz w:val="20"/>
        </w:rPr>
        <w:t>million on a pretax loss of $987.3</w:t>
      </w:r>
      <w:r>
        <w:rPr>
          <w:rFonts w:ascii="Times New Roman" w:hAnsi="Times New Roman"/>
          <w:color w:val="000000"/>
          <w:sz w:val="20"/>
        </w:rPr>
        <w:t xml:space="preserve"> </w:t>
      </w:r>
      <w:r>
        <w:rPr>
          <w:rFonts w:ascii="Times New Roman" w:hAnsi="Times New Roman"/>
          <w:b w:val="false"/>
          <w:color w:val="000000"/>
          <w:sz w:val="20"/>
        </w:rPr>
        <w:t>million and an income tax benefit of $158.0</w:t>
      </w:r>
      <w:r>
        <w:rPr>
          <w:rFonts w:ascii="Times New Roman" w:hAnsi="Times New Roman"/>
          <w:color w:val="000000"/>
          <w:sz w:val="20"/>
        </w:rPr>
        <w:t xml:space="preserve"> </w:t>
      </w:r>
      <w:r>
        <w:rPr>
          <w:rFonts w:ascii="Times New Roman" w:hAnsi="Times New Roman"/>
          <w:b w:val="false"/>
          <w:color w:val="000000"/>
          <w:sz w:val="20"/>
        </w:rPr>
        <w:t>million on a pretax loss of $1,083.7</w:t>
      </w:r>
      <w:r>
        <w:rPr>
          <w:rFonts w:ascii="Times New Roman" w:hAnsi="Times New Roman"/>
          <w:color w:val="000000"/>
          <w:sz w:val="20"/>
        </w:rPr>
        <w:t xml:space="preserve"> </w:t>
      </w:r>
      <w:r>
        <w:rPr>
          <w:rFonts w:ascii="Times New Roman" w:hAnsi="Times New Roman"/>
          <w:b w:val="false"/>
          <w:color w:val="000000"/>
          <w:sz w:val="20"/>
        </w:rPr>
        <w:t>million, respectively. The Company’s tax benefit was less than the statutory rate of 21% for the three and nine months ended September 30, 2023 primarily due to the unfavorable impact related to a goodwill impairment charge of $425.9</w:t>
      </w:r>
      <w:r>
        <w:rPr>
          <w:rFonts w:ascii="Times New Roman" w:hAnsi="Times New Roman"/>
          <w:color w:val="000000"/>
          <w:sz w:val="20"/>
        </w:rPr>
        <w:t xml:space="preserve"> </w:t>
      </w:r>
      <w:r>
        <w:rPr>
          <w:rFonts w:ascii="Times New Roman" w:hAnsi="Times New Roman"/>
          <w:b w:val="false"/>
          <w:color w:val="000000"/>
          <w:sz w:val="20"/>
        </w:rPr>
        <w:t>million for which minimal tax benefits were recorded. The Company's tax benefit was favorably impacted by $4.1</w:t>
      </w:r>
      <w:r>
        <w:rPr>
          <w:rFonts w:ascii="Times New Roman" w:hAnsi="Times New Roman"/>
          <w:color w:val="000000"/>
          <w:sz w:val="20"/>
        </w:rPr>
        <w:t xml:space="preserve"> </w:t>
      </w:r>
      <w:r>
        <w:rPr>
          <w:rFonts w:ascii="Times New Roman" w:hAnsi="Times New Roman"/>
          <w:b w:val="false"/>
          <w:color w:val="000000"/>
          <w:sz w:val="20"/>
        </w:rPr>
        <w:t>million related to tax law changes for the three and nine months ended September 30, 2023. In addition to the unfavorable impact of the goodwill impairment charge mentioned above, for the nine months ended September 30, 2023, the Company's tax benefit was also unfavorably impacted by excess tax costs of $7.1</w:t>
      </w:r>
      <w:r>
        <w:rPr>
          <w:rFonts w:ascii="Times New Roman" w:hAnsi="Times New Roman"/>
          <w:color w:val="000000"/>
          <w:sz w:val="20"/>
        </w:rPr>
        <w:t xml:space="preserve"> </w:t>
      </w:r>
      <w:r>
        <w:rPr>
          <w:rFonts w:ascii="Times New Roman" w:hAnsi="Times New Roman"/>
          <w:b w:val="false"/>
          <w:color w:val="000000"/>
          <w:sz w:val="20"/>
        </w:rPr>
        <w:t>million related to equity compensation awards but</w:t>
      </w:r>
      <w:r>
        <w:rPr>
          <w:rFonts w:ascii="Times New Roman" w:hAnsi="Times New Roman"/>
          <w:color w:val="000000"/>
          <w:sz w:val="20"/>
        </w:rPr>
        <w:t xml:space="preserve"> </w:t>
      </w:r>
      <w:r>
        <w:rPr>
          <w:rFonts w:ascii="Times New Roman" w:hAnsi="Times New Roman"/>
          <w:b w:val="false"/>
          <w:color w:val="000000"/>
          <w:sz w:val="20"/>
        </w:rPr>
        <w:t>favorably impacted by $9.6</w:t>
      </w:r>
      <w:r>
        <w:rPr>
          <w:rFonts w:ascii="Times New Roman" w:hAnsi="Times New Roman"/>
          <w:color w:val="000000"/>
          <w:sz w:val="20"/>
        </w:rPr>
        <w:t xml:space="preserve"> </w:t>
      </w:r>
      <w:r>
        <w:rPr>
          <w:rFonts w:ascii="Times New Roman" w:hAnsi="Times New Roman"/>
          <w:b w:val="false"/>
          <w:color w:val="000000"/>
          <w:sz w:val="20"/>
        </w:rPr>
        <w:t>million related to the release of various uncertain tax positions.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2022, the Company recognized a tax benefit of $12.2</w:t>
      </w:r>
      <w:r>
        <w:rPr>
          <w:rFonts w:ascii="Times New Roman" w:hAnsi="Times New Roman"/>
          <w:color w:val="000000"/>
          <w:sz w:val="20"/>
        </w:rPr>
        <w:t xml:space="preserve"> </w:t>
      </w:r>
      <w:r>
        <w:rPr>
          <w:rFonts w:ascii="Times New Roman" w:hAnsi="Times New Roman"/>
          <w:b w:val="false"/>
          <w:color w:val="000000"/>
          <w:sz w:val="20"/>
        </w:rPr>
        <w:t>million on pretax income of $10.7</w:t>
      </w:r>
      <w:r>
        <w:rPr>
          <w:rFonts w:ascii="Times New Roman" w:hAnsi="Times New Roman"/>
          <w:color w:val="000000"/>
          <w:sz w:val="20"/>
        </w:rPr>
        <w:t xml:space="preserve"> </w:t>
      </w:r>
      <w:r>
        <w:rPr>
          <w:rFonts w:ascii="Times New Roman" w:hAnsi="Times New Roman"/>
          <w:b w:val="false"/>
          <w:color w:val="000000"/>
          <w:sz w:val="20"/>
        </w:rPr>
        <w:t>million and $4.2</w:t>
      </w:r>
      <w:r>
        <w:rPr>
          <w:rFonts w:ascii="Times New Roman" w:hAnsi="Times New Roman"/>
          <w:color w:val="000000"/>
          <w:sz w:val="20"/>
        </w:rPr>
        <w:t xml:space="preserve"> </w:t>
      </w:r>
      <w:r>
        <w:rPr>
          <w:rFonts w:ascii="Times New Roman" w:hAnsi="Times New Roman"/>
          <w:b w:val="false"/>
          <w:color w:val="000000"/>
          <w:sz w:val="20"/>
        </w:rPr>
        <w:t>million of income tax expense on a pretax loss of $173.8</w:t>
      </w:r>
      <w:r>
        <w:rPr>
          <w:rFonts w:ascii="Times New Roman" w:hAnsi="Times New Roman"/>
          <w:color w:val="000000"/>
          <w:sz w:val="20"/>
        </w:rPr>
        <w:t xml:space="preserve"> </w:t>
      </w:r>
      <w:r>
        <w:rPr>
          <w:rFonts w:ascii="Times New Roman" w:hAnsi="Times New Roman"/>
          <w:b w:val="false"/>
          <w:color w:val="000000"/>
          <w:sz w:val="20"/>
        </w:rPr>
        <w:t>million, respectively. For the three months ended September 30, 2022, the Company’s tax benefit was driven by the impacts of federal tax credits, partially offset by unfavorable impacts of U.S. anti-deferral provisions, non-creditable withholding taxes and $3.7</w:t>
      </w:r>
      <w:r>
        <w:rPr>
          <w:rFonts w:ascii="Times New Roman" w:hAnsi="Times New Roman"/>
          <w:color w:val="000000"/>
          <w:sz w:val="20"/>
        </w:rPr>
        <w:t xml:space="preserve"> </w:t>
      </w:r>
      <w:r>
        <w:rPr>
          <w:rFonts w:ascii="Times New Roman" w:hAnsi="Times New Roman"/>
          <w:b w:val="false"/>
          <w:color w:val="000000"/>
          <w:sz w:val="20"/>
        </w:rPr>
        <w:t>million of tax expense related to state law changes. For the nine months ended September 30, 2022, the Company's tax expense was driven by the unfavorable impacts of U.S. anti-deferral provisions, non-creditable withholding taxes and the tax expense related to state law changes, partially offset by the impacts of federal tax credits.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(Loss) Per Share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Basic earnings (loss) per share (EPS) is computed by dividing net income (loss), less any dividends and deemed dividends related to the Convertible Preferred Stock, by the weighted average number of common shares outstanding during the period. The numerator in diluted EPS is based on the basic EPS numerator, adjusted to add back any dividends and deemed dividends related to the Convertible Preferred Stock, subject to antidilution requirements. The denominator used in diluted EPS is based on the basic EPS computation plus the effect of potentially dilutive common shares related to the Convertible Preferred Stock and equity-based compensation plans, subject to antidilution requirements.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18.9</w:t>
      </w:r>
      <w:r>
        <w:rPr>
          <w:rFonts w:ascii="Times New Roman" w:hAnsi="Times New Roman"/>
          <w:color w:val="000000"/>
          <w:sz w:val="20"/>
        </w:rPr>
        <w:t xml:space="preserve"> </w:t>
      </w:r>
      <w:r>
        <w:rPr>
          <w:rFonts w:ascii="Times New Roman" w:hAnsi="Times New Roman"/>
          <w:b w:val="false"/>
          <w:color w:val="000000"/>
          <w:sz w:val="20"/>
        </w:rPr>
        <w:t>million and 17.2</w:t>
      </w:r>
      <w:r>
        <w:rPr>
          <w:rFonts w:ascii="Times New Roman" w:hAnsi="Times New Roman"/>
          <w:color w:val="000000"/>
          <w:sz w:val="20"/>
        </w:rPr>
        <w:t xml:space="preserve"> </w:t>
      </w:r>
      <w:r>
        <w:rPr>
          <w:rFonts w:ascii="Times New Roman" w:hAnsi="Times New Roman"/>
          <w:b w:val="false"/>
          <w:color w:val="000000"/>
          <w:sz w:val="20"/>
        </w:rPr>
        <w:t>million shares, respectively, of outstanding equity-based compensation awards were not included in the computation of diluted EPS because the effect was antidilutive or the performance conditions were not met. Of those amounts, for the three and nine months ended September 30, 2023, 0.6</w:t>
      </w:r>
      <w:r>
        <w:rPr>
          <w:rFonts w:ascii="Times New Roman" w:hAnsi="Times New Roman"/>
          <w:color w:val="000000"/>
          <w:sz w:val="20"/>
        </w:rPr>
        <w:t xml:space="preserve"> </w:t>
      </w:r>
      <w:r>
        <w:rPr>
          <w:rFonts w:ascii="Times New Roman" w:hAnsi="Times New Roman"/>
          <w:b w:val="false"/>
          <w:color w:val="000000"/>
          <w:sz w:val="20"/>
        </w:rPr>
        <w:t>million and 2.0</w:t>
      </w:r>
      <w:r>
        <w:rPr>
          <w:rFonts w:ascii="Times New Roman" w:hAnsi="Times New Roman"/>
          <w:color w:val="000000"/>
          <w:sz w:val="20"/>
        </w:rPr>
        <w:t xml:space="preserve"> </w:t>
      </w:r>
      <w:r>
        <w:rPr>
          <w:rFonts w:ascii="Times New Roman" w:hAnsi="Times New Roman"/>
          <w:b w:val="false"/>
          <w:color w:val="000000"/>
          <w:sz w:val="20"/>
        </w:rPr>
        <w:t>million shares, respectively, would have been considered dilutive if the Company had not been in a net loss attributable to common stockholders position. For the three and nine months ended September 30, 2022, 7.7</w:t>
      </w:r>
      <w:r>
        <w:rPr>
          <w:rFonts w:ascii="Times New Roman" w:hAnsi="Times New Roman"/>
          <w:color w:val="000000"/>
          <w:sz w:val="20"/>
        </w:rPr>
        <w:t xml:space="preserve"> </w:t>
      </w:r>
      <w:r>
        <w:rPr>
          <w:rFonts w:ascii="Times New Roman" w:hAnsi="Times New Roman"/>
          <w:b w:val="false"/>
          <w:color w:val="000000"/>
          <w:sz w:val="20"/>
        </w:rPr>
        <w:t>million and 11.6</w:t>
      </w:r>
      <w:r>
        <w:rPr>
          <w:rFonts w:ascii="Times New Roman" w:hAnsi="Times New Roman"/>
          <w:color w:val="000000"/>
          <w:sz w:val="20"/>
        </w:rPr>
        <w:t xml:space="preserve"> </w:t>
      </w:r>
      <w:r>
        <w:rPr>
          <w:rFonts w:ascii="Times New Roman" w:hAnsi="Times New Roman"/>
          <w:b w:val="false"/>
          <w:color w:val="000000"/>
          <w:sz w:val="20"/>
        </w:rPr>
        <w:t>million shares, respectively, of outstanding equity-based compensation awards were not included in the computation of diluted EPS because the effect was antidilutive or the performance conditions were not met. Of those amounts, for the nine months ended September 30, 2022, 2.6</w:t>
      </w:r>
      <w:r>
        <w:rPr>
          <w:rFonts w:ascii="Times New Roman" w:hAnsi="Times New Roman"/>
          <w:color w:val="000000"/>
          <w:sz w:val="20"/>
        </w:rPr>
        <w:t xml:space="preserve"> </w:t>
      </w:r>
      <w:r>
        <w:rPr>
          <w:rFonts w:ascii="Times New Roman" w:hAnsi="Times New Roman"/>
          <w:b w:val="false"/>
          <w:color w:val="000000"/>
          <w:sz w:val="20"/>
        </w:rPr>
        <w:t>million shares would have been considered dilutive if the Company had not been in a net loss attributable to common stockholders position.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41.1</w:t>
      </w:r>
      <w:r>
        <w:rPr>
          <w:rFonts w:ascii="Times New Roman" w:hAnsi="Times New Roman"/>
          <w:color w:val="000000"/>
          <w:sz w:val="20"/>
        </w:rPr>
        <w:t xml:space="preserve"> </w:t>
      </w:r>
      <w:r>
        <w:rPr>
          <w:rFonts w:ascii="Times New Roman" w:hAnsi="Times New Roman"/>
          <w:b w:val="false"/>
          <w:color w:val="000000"/>
          <w:sz w:val="20"/>
        </w:rPr>
        <w:t>million and 40.6</w:t>
      </w:r>
      <w:r>
        <w:rPr>
          <w:rFonts w:ascii="Times New Roman" w:hAnsi="Times New Roman"/>
          <w:color w:val="000000"/>
          <w:sz w:val="20"/>
        </w:rPr>
        <w:t xml:space="preserve"> </w:t>
      </w:r>
      <w:r>
        <w:rPr>
          <w:rFonts w:ascii="Times New Roman" w:hAnsi="Times New Roman"/>
          <w:b w:val="false"/>
          <w:color w:val="000000"/>
          <w:sz w:val="20"/>
        </w:rPr>
        <w:t>million, respectively, of as-if converted shares related to the Convertible Preferred Stock were excluded from the diluted share count because they were antidilutive. For the three and nine months ended September 30, 2022, 39.5</w:t>
      </w:r>
      <w:r>
        <w:rPr>
          <w:rFonts w:ascii="Times New Roman" w:hAnsi="Times New Roman"/>
          <w:color w:val="000000"/>
          <w:sz w:val="20"/>
        </w:rPr>
        <w:t xml:space="preserve"> </w:t>
      </w:r>
      <w:r>
        <w:rPr>
          <w:rFonts w:ascii="Times New Roman" w:hAnsi="Times New Roman"/>
          <w:b w:val="false"/>
          <w:color w:val="000000"/>
          <w:sz w:val="20"/>
        </w:rPr>
        <w:t>and 38.9</w:t>
      </w:r>
      <w:r>
        <w:rPr>
          <w:rFonts w:ascii="Times New Roman" w:hAnsi="Times New Roman"/>
          <w:color w:val="000000"/>
          <w:sz w:val="20"/>
        </w:rPr>
        <w:t xml:space="preserve"> </w:t>
      </w:r>
      <w:r>
        <w:rPr>
          <w:rFonts w:ascii="Times New Roman" w:hAnsi="Times New Roman"/>
          <w:b w:val="false"/>
          <w:color w:val="000000"/>
          <w:sz w:val="20"/>
        </w:rPr>
        <w:t>million, respectively, of as-if converted shares related to the Convertible Preferred Stock were excluded from the diluted share count because they were antidilutive. For the nine months ended September 30, 2022, these shares may have been considered dilutive if the Company had not been in a net loss attributable to common stockholders position.</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The following table presents the basis for the EPS computations (in millions, except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324"/>
        <w:gridCol w:w="146"/>
        <w:gridCol w:w="211"/>
        <w:gridCol w:w="631"/>
        <w:gridCol w:w="166"/>
        <w:gridCol w:w="146"/>
        <w:gridCol w:w="211"/>
        <w:gridCol w:w="571"/>
        <w:gridCol w:w="166"/>
        <w:gridCol w:w="146"/>
        <w:gridCol w:w="211"/>
        <w:gridCol w:w="631"/>
        <w:gridCol w:w="166"/>
        <w:gridCol w:w="146"/>
        <w:gridCol w:w="211"/>
        <w:gridCol w:w="631"/>
        <w:gridCol w:w="491"/>
      </w:tblGrid>
      <w:tr>
        <w:trPr/>
        <w:tc>
          <w:tcPr>
            <w:tcW w:w="5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vAlign w:val="center"/>
          </w:tcPr>
          <w:p>
            <w:pPr>
              <w:pStyle w:val="TableContents"/>
              <w:bidi w:val="0"/>
              <w:spacing w:before="0" w:after="283"/>
              <w:jc w:val="center"/>
              <w:rPr/>
            </w:pPr>
            <w:r>
              <w:rPr/>
              <w:t> </w:t>
            </w:r>
          </w:p>
        </w:tc>
      </w:tr>
      <w:tr>
        <w:trPr/>
        <w:tc>
          <w:tcPr>
            <w:tcW w:w="5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ind w:left="0" w:right="0" w:firstLine="100"/>
              <w:jc w:val="left"/>
              <w:rPr/>
            </w:pPr>
            <w:r>
              <w:rPr/>
              <w:t> </w:t>
            </w:r>
          </w:p>
        </w:tc>
      </w:tr>
      <w:tr>
        <w:trPr/>
        <w:tc>
          <w:tcPr>
            <w:tcW w:w="532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532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Dividends on Series A convertible preferred stock</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491"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532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income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(222.1</w:t>
            </w:r>
          </w:p>
        </w:tc>
        <w:tc>
          <w:tcPr>
            <w:tcW w:w="491"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5324" w:type="dxa"/>
            <w:tcBorders/>
            <w:shd w:fill="CCECFF" w:val="clear"/>
            <w:vAlign w:val="center"/>
          </w:tcPr>
          <w:p>
            <w:pPr>
              <w:pStyle w:val="TableContents"/>
              <w:bidi w:val="0"/>
              <w:spacing w:before="0" w:after="283"/>
              <w:ind w:left="100" w:right="0" w:firstLine="100"/>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32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Weighted average common shares outstanding – basic</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207.1</w:t>
            </w:r>
          </w:p>
        </w:tc>
        <w:tc>
          <w:tcPr>
            <w:tcW w:w="491" w:type="dxa"/>
            <w:tcBorders/>
            <w:shd w:fill="CCECFF" w:val="clear"/>
            <w:vAlign w:val="center"/>
          </w:tcPr>
          <w:p>
            <w:pPr>
              <w:pStyle w:val="TableContents"/>
              <w:bidi w:val="0"/>
              <w:spacing w:before="0" w:after="283"/>
              <w:ind w:left="0" w:right="0" w:firstLine="300"/>
              <w:jc w:val="left"/>
              <w:rPr/>
            </w:pPr>
            <w:r>
              <w:rPr/>
              <w:t> </w:t>
            </w:r>
          </w:p>
        </w:tc>
      </w:tr>
      <w:tr>
        <w:trPr/>
        <w:tc>
          <w:tcPr>
            <w:tcW w:w="5324"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Dilutive effect of as-if converted Series A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5324" w:type="dxa"/>
            <w:tcBorders/>
            <w:shd w:fill="CCEC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Dilutive effect of equity-based awards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2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Weighted average common shares outstanding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4"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(loss) per share:</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324"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491"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532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4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4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i/>
          <w:color w:val="000000"/>
          <w:sz w:val="20"/>
        </w:rPr>
      </w:pPr>
      <w:r>
        <w:rPr>
          <w:rFonts w:ascii="Times New Roman" w:hAnsi="Times New Roman"/>
          <w:b w:val="false"/>
          <w:i/>
          <w:color w:val="000000"/>
          <w:sz w:val="20"/>
        </w:rPr>
        <w:t>Adopted During the Nine Months Ended September 30,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On January 1, 2023, the Company adopted Accounting Standards Update (ASU) No. 2022-04, </w:t>
      </w:r>
      <w:r>
        <w:rPr>
          <w:rFonts w:ascii="Times New Roman" w:hAnsi="Times New Roman"/>
          <w:b w:val="false"/>
          <w:i/>
          <w:color w:val="000000"/>
          <w:sz w:val="20"/>
        </w:rPr>
        <w:t>Liabilities—Supplier Finance Programs (Subtopic 405-50): Disclosure of Supplier Finance Program Obligations</w:t>
      </w:r>
      <w:r>
        <w:rPr>
          <w:rFonts w:ascii="Times New Roman" w:hAnsi="Times New Roman"/>
          <w:b w:val="false"/>
          <w:color w:val="000000"/>
          <w:sz w:val="20"/>
        </w:rPr>
        <w:t>. The new guidance improves the transparency of supplier finance programs by requiring that a buyer in a supplier finance program disclose sufficient qualitative and quantitative information about the program to allow a user of its financial statements to understand the program's nature, activity during the period, changes from period to period and potential effect on an entity's financial statements. This guidance has been applied retrospectively to all periods in which a balance sheet is presented, except for the requirement to disclose rollforward information, which is effective prospectively for the Company as of January 1, 2024. The impact of adopting this new guidance was not material to the condensed consolidated financial statements.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 June 2023, the Company adopted ASU No. 2020-04, </w:t>
      </w:r>
      <w:r>
        <w:rPr>
          <w:rFonts w:ascii="Times New Roman" w:hAnsi="Times New Roman"/>
          <w:b w:val="false"/>
          <w:i/>
          <w:color w:val="000000"/>
          <w:sz w:val="20"/>
        </w:rPr>
        <w:t xml:space="preserve">Reference Rate Reform (Topic 848): Facilitation of the Effects of Reference Rate Reform on Financial Reporting </w:t>
      </w:r>
      <w:r>
        <w:rPr>
          <w:rFonts w:ascii="Times New Roman" w:hAnsi="Times New Roman"/>
          <w:b w:val="false"/>
          <w:color w:val="000000"/>
          <w:sz w:val="20"/>
        </w:rPr>
        <w:t>and the related updates, ASU No. 2021-01</w:t>
      </w:r>
      <w:r>
        <w:rPr>
          <w:rFonts w:ascii="Times New Roman" w:hAnsi="Times New Roman"/>
          <w:b w:val="false"/>
          <w:i/>
          <w:color w:val="000000"/>
          <w:sz w:val="20"/>
        </w:rPr>
        <w:t xml:space="preserve">, Reference Rate Reform (Topic 848): Scope </w:t>
      </w:r>
      <w:r>
        <w:rPr>
          <w:rFonts w:ascii="Times New Roman" w:hAnsi="Times New Roman"/>
          <w:b w:val="false"/>
          <w:color w:val="000000"/>
          <w:sz w:val="20"/>
        </w:rPr>
        <w:t xml:space="preserve">and ASU No. 2022-06, </w:t>
      </w:r>
      <w:r>
        <w:rPr>
          <w:rFonts w:ascii="Times New Roman" w:hAnsi="Times New Roman"/>
          <w:b w:val="false"/>
          <w:i/>
          <w:color w:val="000000"/>
          <w:sz w:val="20"/>
        </w:rPr>
        <w:t>Reference Rate Reform (Topic 848): Deferral of the Sunset Date of Topic 848</w:t>
      </w:r>
      <w:r>
        <w:rPr>
          <w:rFonts w:ascii="Times New Roman" w:hAnsi="Times New Roman"/>
          <w:b w:val="false"/>
          <w:color w:val="000000"/>
          <w:sz w:val="20"/>
        </w:rPr>
        <w:t>. Together, the ASUs provide temporary optional guidance to ease the potential burden in accounting for reference rate reform. The guidance provides optional expedients and exceptions for applying GAAP to transactions affected by reference rate reform if certain criteria are met. The Company adopted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reference rate reform guidance in connection with its amendment of the 2026 Term Loan on June 8, 2023 to transition from the Eurodollar Rate based on LIBOR to a Secured Overnight Financing Rate (SOFR), effective as of July 1, 2023, as the reference interest rate in anticipation of the cessation of LIBOR in 2023 (see Note 5 for further discussion). The impact of adopting this guidance was not material to the condensed consolidated financial statements. The Company continues to evaluate and monitor developments and its assessment of this guidance during the LIBOR transition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GOODWILL AND OTHER INTANGIBLE ASSETS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third quarter of 2023, the Company determined there was an indicator of impairment for long-lived assets in the Home Networks (Home) segment. The Company’s assessment utilized a held in use framework, giving consideration to the expectation that, more likely than not, its Home segment (asset group) would be sold before the end of its previously estimated useful life, due to the impending divestiture as further discussed in Note 11. As a result, for the three and nine months ended September 30, 2023, the Company recorded a partial impairment of $469.2</w:t>
      </w:r>
      <w:r>
        <w:rPr>
          <w:rFonts w:ascii="Times New Roman" w:hAnsi="Times New Roman"/>
          <w:color w:val="000000"/>
          <w:sz w:val="20"/>
        </w:rPr>
        <w:t xml:space="preserve"> </w:t>
      </w:r>
      <w:r>
        <w:rPr>
          <w:rFonts w:ascii="Times New Roman" w:hAnsi="Times New Roman"/>
          <w:b w:val="false"/>
          <w:color w:val="000000"/>
          <w:sz w:val="20"/>
        </w:rPr>
        <w:t>million related to the Home segment's intangible assets in asset impairments in the Condensed Consolidated Statements of Operations. See Note 6 for further discussion of the assumptions used in the valuation.</w:t>
      </w:r>
    </w:p>
    <w:p>
      <w:pPr>
        <w:pStyle w:val="TextBody"/>
        <w:bidi w:val="0"/>
        <w:spacing w:before="240" w:after="200"/>
        <w:jc w:val="left"/>
        <w:rPr>
          <w:rFonts w:ascii="Times New Roman" w:hAnsi="Times New Roman"/>
          <w:b w:val="false"/>
          <w:color w:val="000000"/>
          <w:sz w:val="20"/>
        </w:rPr>
      </w:pPr>
      <w:r>
        <w:rPr>
          <w:rFonts w:ascii="Times New Roman" w:hAnsi="Times New Roman"/>
          <w:b w:val="false"/>
          <w:color w:val="000000"/>
          <w:sz w:val="20"/>
        </w:rPr>
        <w:t>The following table presents the activity in goodwill by reportable segment:</w:t>
      </w:r>
    </w:p>
    <w:tbl>
      <w:tblPr>
        <w:tblW w:w="11545" w:type="dxa"/>
        <w:jc w:val="left"/>
        <w:tblInd w:w="0" w:type="dxa"/>
        <w:tblLayout w:type="fixed"/>
        <w:tblCellMar>
          <w:top w:w="28" w:type="dxa"/>
          <w:left w:w="28" w:type="dxa"/>
          <w:bottom w:w="28" w:type="dxa"/>
          <w:right w:w="28" w:type="dxa"/>
        </w:tblCellMar>
      </w:tblPr>
      <w:tblGrid>
        <w:gridCol w:w="601"/>
        <w:gridCol w:w="146"/>
        <w:gridCol w:w="211"/>
        <w:gridCol w:w="721"/>
        <w:gridCol w:w="146"/>
        <w:gridCol w:w="146"/>
        <w:gridCol w:w="211"/>
        <w:gridCol w:w="781"/>
        <w:gridCol w:w="166"/>
        <w:gridCol w:w="146"/>
        <w:gridCol w:w="211"/>
        <w:gridCol w:w="721"/>
        <w:gridCol w:w="146"/>
        <w:gridCol w:w="146"/>
        <w:gridCol w:w="329"/>
        <w:gridCol w:w="542"/>
        <w:gridCol w:w="146"/>
        <w:gridCol w:w="146"/>
        <w:gridCol w:w="218"/>
        <w:gridCol w:w="653"/>
        <w:gridCol w:w="166"/>
        <w:gridCol w:w="146"/>
        <w:gridCol w:w="211"/>
        <w:gridCol w:w="526"/>
        <w:gridCol w:w="166"/>
        <w:gridCol w:w="146"/>
        <w:gridCol w:w="211"/>
        <w:gridCol w:w="721"/>
        <w:gridCol w:w="146"/>
        <w:gridCol w:w="146"/>
        <w:gridCol w:w="211"/>
        <w:gridCol w:w="781"/>
        <w:gridCol w:w="166"/>
        <w:gridCol w:w="146"/>
        <w:gridCol w:w="211"/>
        <w:gridCol w:w="721"/>
        <w:gridCol w:w="19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Activity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Impairment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Additions (Deductions)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Foreign Exchange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Impairment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CCS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2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3"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2,222.7</w:t>
            </w:r>
          </w:p>
        </w:tc>
        <w:tc>
          <w:tcPr>
            <w:tcW w:w="191" w:type="dxa"/>
            <w:tcBorders/>
            <w:shd w:fill="CCECFF" w:val="clear"/>
            <w:vAlign w:val="center"/>
          </w:tcPr>
          <w:p>
            <w:pPr>
              <w:pStyle w:val="TableContents"/>
              <w:bidi w:val="0"/>
              <w:spacing w:before="0" w:after="283"/>
              <w:jc w:val="left"/>
              <w:rPr/>
            </w:pPr>
            <w:r>
              <w:rPr/>
              <w:t> </w:t>
            </w:r>
          </w:p>
        </w:tc>
      </w:tr>
      <w:tr>
        <w:trPr/>
        <w:tc>
          <w:tcPr>
            <w:tcW w:w="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OWN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499.3</w:t>
            </w:r>
          </w:p>
        </w:tc>
        <w:tc>
          <w:tcPr>
            <w:tcW w:w="191" w:type="dxa"/>
            <w:tcBorders/>
            <w:shd w:fill="FFFFFF" w:val="clear"/>
            <w:vAlign w:val="center"/>
          </w:tcPr>
          <w:p>
            <w:pPr>
              <w:pStyle w:val="TableContents"/>
              <w:bidi w:val="0"/>
              <w:spacing w:before="0" w:after="283"/>
              <w:jc w:val="left"/>
              <w:rPr/>
            </w:pPr>
            <w:r>
              <w:rPr/>
              <w:t> </w:t>
            </w:r>
          </w:p>
        </w:tc>
      </w:tr>
      <w:tr>
        <w:trPr/>
        <w:tc>
          <w:tcPr>
            <w:tcW w:w="60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NICS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29"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653"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606.9</w:t>
            </w:r>
          </w:p>
        </w:tc>
        <w:tc>
          <w:tcPr>
            <w:tcW w:w="191" w:type="dxa"/>
            <w:tcBorders/>
            <w:shd w:fill="CCECFF" w:val="clear"/>
            <w:vAlign w:val="center"/>
          </w:tcPr>
          <w:p>
            <w:pPr>
              <w:pStyle w:val="TableContents"/>
              <w:bidi w:val="0"/>
              <w:spacing w:before="0" w:after="283"/>
              <w:jc w:val="left"/>
              <w:rPr/>
            </w:pPr>
            <w:r>
              <w:rPr/>
              <w:t> </w:t>
            </w:r>
          </w:p>
        </w:tc>
      </w:tr>
      <w:tr>
        <w:trPr/>
        <w:tc>
          <w:tcPr>
            <w:tcW w:w="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(1,687.6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306.8</w:t>
            </w:r>
          </w:p>
        </w:tc>
        <w:tc>
          <w:tcPr>
            <w:tcW w:w="191" w:type="dxa"/>
            <w:tcBorders/>
            <w:shd w:fill="FFFFFF" w:val="clear"/>
            <w:vAlign w:val="center"/>
          </w:tcPr>
          <w:p>
            <w:pPr>
              <w:pStyle w:val="TableContents"/>
              <w:bidi w:val="0"/>
              <w:spacing w:before="0" w:after="283"/>
              <w:jc w:val="left"/>
              <w:rPr/>
            </w:pPr>
            <w:r>
              <w:rPr/>
              <w:t> </w:t>
            </w:r>
          </w:p>
        </w:tc>
      </w:tr>
      <w:tr>
        <w:trPr/>
        <w:tc>
          <w:tcPr>
            <w:tcW w:w="60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Home</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Primarily due to a sustained decrease in the market value of the Company’s debt and common stock affecting the overall business and changes in expected future cash flows due to reduced earnings forecasts and current macroeconomic conditions, including a rising interest rate environment, during the third quarter of 2023, the Company concluded that a triggering event occurred and performed an interim quantitative goodwill impairment test as of September 30, 2023 for its ANS and BDCC reporting units, which were most sensitive to negative performance and outlook, to compare the fair values of the reporting units to their carrying amounts, including the goodwill.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result, for the three and nine months ended September 30, 2023, the Company recorded a goodwill impairment charge of $425.9</w:t>
      </w:r>
      <w:r>
        <w:rPr>
          <w:rFonts w:ascii="Times New Roman" w:hAnsi="Times New Roman"/>
          <w:color w:val="000000"/>
          <w:sz w:val="20"/>
        </w:rPr>
        <w:t xml:space="preserve"> </w:t>
      </w:r>
      <w:r>
        <w:rPr>
          <w:rFonts w:ascii="Times New Roman" w:hAnsi="Times New Roman"/>
          <w:b w:val="false"/>
          <w:color w:val="000000"/>
          <w:sz w:val="20"/>
        </w:rPr>
        <w:t>million in asset impairments in the Condensed Consolidated Statements of Operations to partially write down the carrying amount of the ANS reporting unit goodwill. There was no impairment identified in the BDCC reporting unit as of September 30, 2023. The BDCC reporting unit is in the CCS reportable segment. See Note 6 for further discussion of the assumptions used in the valuation.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REVENUE FROM CONTRACTS WITH CUSTOMERS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Disaggregated Net Sales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Note 7 for the presentation of net sales by segment and geographic region.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Allowance for Doubtful Accounts</w:t>
      </w:r>
    </w:p>
    <w:tbl>
      <w:tblPr>
        <w:tblW w:w="8547" w:type="dxa"/>
        <w:jc w:val="left"/>
        <w:tblInd w:w="0" w:type="dxa"/>
        <w:tblLayout w:type="fixed"/>
        <w:tblCellMar>
          <w:top w:w="28" w:type="dxa"/>
          <w:left w:w="28" w:type="dxa"/>
          <w:bottom w:w="28" w:type="dxa"/>
          <w:right w:w="28" w:type="dxa"/>
        </w:tblCellMar>
      </w:tblPr>
      <w:tblGrid>
        <w:gridCol w:w="4486"/>
        <w:gridCol w:w="146"/>
        <w:gridCol w:w="211"/>
        <w:gridCol w:w="466"/>
        <w:gridCol w:w="166"/>
        <w:gridCol w:w="146"/>
        <w:gridCol w:w="211"/>
        <w:gridCol w:w="466"/>
        <w:gridCol w:w="166"/>
        <w:gridCol w:w="146"/>
        <w:gridCol w:w="211"/>
        <w:gridCol w:w="526"/>
        <w:gridCol w:w="166"/>
        <w:gridCol w:w="146"/>
        <w:gridCol w:w="211"/>
        <w:gridCol w:w="466"/>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Allowance for doubtful accounts,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w:t>
            </w:r>
          </w:p>
        </w:tc>
        <w:tc>
          <w:tcPr>
            <w:tcW w:w="211" w:type="dxa"/>
            <w:tcBorders/>
            <w:shd w:fill="CCEC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Write-offs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exchange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8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Allowance for doubtful accounts,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nine months ended September 30, 2023, the Company wrote off $18.5</w:t>
      </w:r>
      <w:r>
        <w:rPr>
          <w:rFonts w:ascii="Times New Roman" w:hAnsi="Times New Roman"/>
          <w:color w:val="000000"/>
          <w:sz w:val="20"/>
        </w:rPr>
        <w:t xml:space="preserve"> </w:t>
      </w:r>
      <w:r>
        <w:rPr>
          <w:rFonts w:ascii="Times New Roman" w:hAnsi="Times New Roman"/>
          <w:b w:val="false"/>
          <w:color w:val="000000"/>
          <w:sz w:val="20"/>
        </w:rPr>
        <w:t>million related to an accounts receivable balance that had previously been fully reserved during the year ended December 31, 2022. The balance related to a distributor in the Outdoor Wireless Networks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 Contract Balances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provides the balance sheet location and amounts of contract assets, or unbilled accounts receivable, and contract liabilities, or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2367"/>
        <w:gridCol w:w="146"/>
        <w:gridCol w:w="4494"/>
        <w:gridCol w:w="146"/>
        <w:gridCol w:w="309"/>
        <w:gridCol w:w="838"/>
        <w:gridCol w:w="146"/>
        <w:gridCol w:w="146"/>
        <w:gridCol w:w="381"/>
        <w:gridCol w:w="1038"/>
        <w:gridCol w:w="194"/>
      </w:tblGrid>
      <w:tr>
        <w:trPr/>
        <w:tc>
          <w:tcPr>
            <w:tcW w:w="2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Balance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Unbilled accounts receivable</w:t>
            </w:r>
          </w:p>
        </w:tc>
        <w:tc>
          <w:tcPr>
            <w:tcW w:w="146" w:type="dxa"/>
            <w:tcBorders/>
            <w:shd w:fill="CCECFF" w:val="clear"/>
            <w:vAlign w:val="center"/>
          </w:tcPr>
          <w:p>
            <w:pPr>
              <w:pStyle w:val="TableContents"/>
              <w:bidi w:val="0"/>
              <w:spacing w:before="0" w:after="283"/>
              <w:jc w:val="left"/>
              <w:rPr/>
            </w:pPr>
            <w:r>
              <w:rPr/>
              <w:t> </w:t>
            </w:r>
          </w:p>
        </w:tc>
        <w:tc>
          <w:tcPr>
            <w:tcW w:w="449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net of allowance for doubtful accounts</w:t>
            </w:r>
          </w:p>
        </w:tc>
        <w:tc>
          <w:tcPr>
            <w:tcW w:w="146" w:type="dxa"/>
            <w:tcBorders/>
            <w:shd w:fill="CCECFF" w:val="clear"/>
            <w:vAlign w:val="center"/>
          </w:tcPr>
          <w:p>
            <w:pPr>
              <w:pStyle w:val="TableContents"/>
              <w:bidi w:val="0"/>
              <w:spacing w:before="0" w:after="283"/>
              <w:jc w:val="left"/>
              <w:rPr/>
            </w:pPr>
            <w:r>
              <w:rPr/>
              <w:t> </w:t>
            </w:r>
          </w:p>
        </w:tc>
        <w:tc>
          <w:tcPr>
            <w:tcW w:w="30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w:t>
            </w:r>
          </w:p>
        </w:tc>
        <w:tc>
          <w:tcPr>
            <w:tcW w:w="194" w:type="dxa"/>
            <w:tcBorders/>
            <w:shd w:fill="CCECFF"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236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 current</w:t>
            </w:r>
          </w:p>
        </w:tc>
        <w:tc>
          <w:tcPr>
            <w:tcW w:w="146" w:type="dxa"/>
            <w:tcBorders/>
            <w:shd w:fill="CCECFF" w:val="clear"/>
            <w:vAlign w:val="center"/>
          </w:tcPr>
          <w:p>
            <w:pPr>
              <w:pStyle w:val="TableContents"/>
              <w:bidi w:val="0"/>
              <w:spacing w:before="0" w:after="283"/>
              <w:jc w:val="left"/>
              <w:rPr/>
            </w:pPr>
            <w:r>
              <w:rPr/>
              <w:t> </w:t>
            </w:r>
          </w:p>
        </w:tc>
        <w:tc>
          <w:tcPr>
            <w:tcW w:w="449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and other liabilities</w:t>
            </w:r>
          </w:p>
        </w:tc>
        <w:tc>
          <w:tcPr>
            <w:tcW w:w="146" w:type="dxa"/>
            <w:tcBorders/>
            <w:shd w:fill="CCECFF" w:val="clear"/>
            <w:vAlign w:val="center"/>
          </w:tcPr>
          <w:p>
            <w:pPr>
              <w:pStyle w:val="TableContents"/>
              <w:bidi w:val="0"/>
              <w:spacing w:before="0" w:after="283"/>
              <w:jc w:val="left"/>
              <w:rPr/>
            </w:pPr>
            <w:r>
              <w:rPr/>
              <w:t> </w:t>
            </w:r>
          </w:p>
        </w:tc>
        <w:tc>
          <w:tcPr>
            <w:tcW w:w="30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w:t>
            </w:r>
          </w:p>
        </w:tc>
        <w:tc>
          <w:tcPr>
            <w:tcW w:w="194" w:type="dxa"/>
            <w:tcBorders/>
            <w:shd w:fill="CCECFF"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 noncurrent</w:t>
            </w:r>
          </w:p>
        </w:tc>
        <w:tc>
          <w:tcPr>
            <w:tcW w:w="146" w:type="dxa"/>
            <w:tcBorders/>
            <w:shd w:fill="FFFFFF" w:val="clear"/>
            <w:vAlign w:val="center"/>
          </w:tcPr>
          <w:p>
            <w:pPr>
              <w:pStyle w:val="TableContents"/>
              <w:bidi w:val="0"/>
              <w:spacing w:before="0" w:after="283"/>
              <w:jc w:val="left"/>
              <w:rPr/>
            </w:pPr>
            <w:r>
              <w:rPr/>
              <w:t> </w:t>
            </w:r>
          </w:p>
        </w:tc>
        <w:tc>
          <w:tcPr>
            <w:tcW w:w="44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7"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contract liabilities</w:t>
            </w:r>
          </w:p>
        </w:tc>
        <w:tc>
          <w:tcPr>
            <w:tcW w:w="146" w:type="dxa"/>
            <w:tcBorders/>
            <w:shd w:fill="CCECFF" w:val="clear"/>
            <w:vAlign w:val="center"/>
          </w:tcPr>
          <w:p>
            <w:pPr>
              <w:pStyle w:val="TableContents"/>
              <w:bidi w:val="0"/>
              <w:spacing w:before="0" w:after="283"/>
              <w:jc w:val="left"/>
              <w:rPr/>
            </w:pPr>
            <w:r>
              <w:rPr/>
              <w:t> </w:t>
            </w:r>
          </w:p>
        </w:tc>
        <w:tc>
          <w:tcPr>
            <w:tcW w:w="4494"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161.3</w:t>
            </w:r>
          </w:p>
        </w:tc>
        <w:tc>
          <w:tcPr>
            <w:tcW w:w="19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There were no material changes to contract asset balances for the nine months ended September 30, 2023 as a result of changes in estimates or impairments. The change in the contract liability balance from December 31, 2022 to September 30, 2023 was primarily due to upfront support billings to be recognized over the support term. During the three and nine months ended September 30, 2023, the Company recognized $18.6</w:t>
      </w:r>
      <w:r>
        <w:rPr>
          <w:rFonts w:ascii="Times New Roman" w:hAnsi="Times New Roman"/>
          <w:color w:val="000000"/>
          <w:sz w:val="20"/>
        </w:rPr>
        <w:t xml:space="preserve"> </w:t>
      </w:r>
      <w:r>
        <w:rPr>
          <w:rFonts w:ascii="Times New Roman" w:hAnsi="Times New Roman"/>
          <w:b w:val="false"/>
          <w:color w:val="000000"/>
          <w:sz w:val="20"/>
        </w:rPr>
        <w:t>million and $82.5</w:t>
      </w:r>
      <w:r>
        <w:rPr>
          <w:rFonts w:ascii="Times New Roman" w:hAnsi="Times New Roman"/>
          <w:color w:val="000000"/>
          <w:sz w:val="20"/>
        </w:rPr>
        <w:t xml:space="preserve"> </w:t>
      </w:r>
      <w:r>
        <w:rPr>
          <w:rFonts w:ascii="Times New Roman" w:hAnsi="Times New Roman"/>
          <w:b w:val="false"/>
          <w:color w:val="000000"/>
          <w:sz w:val="20"/>
        </w:rPr>
        <w:t>million, respectively, of revenue related to contract liabilities recorded as of December 31,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SUPPLEMENTAL FINANCIAL STATEMENT INFORMATION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Accounts Receivable</w:t>
      </w:r>
    </w:p>
    <w:tbl>
      <w:tblPr>
        <w:tblW w:w="5725" w:type="dxa"/>
        <w:jc w:val="left"/>
        <w:tblInd w:w="0" w:type="dxa"/>
        <w:tblLayout w:type="fixed"/>
        <w:tblCellMar>
          <w:top w:w="28" w:type="dxa"/>
          <w:left w:w="28" w:type="dxa"/>
          <w:bottom w:w="28" w:type="dxa"/>
          <w:right w:w="28" w:type="dxa"/>
        </w:tblCellMar>
      </w:tblPr>
      <w:tblGrid>
        <w:gridCol w:w="2776"/>
        <w:gridCol w:w="146"/>
        <w:gridCol w:w="268"/>
        <w:gridCol w:w="917"/>
        <w:gridCol w:w="166"/>
        <w:gridCol w:w="146"/>
        <w:gridCol w:w="248"/>
        <w:gridCol w:w="847"/>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 trade</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1,180.0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1,545.3</w:t>
            </w:r>
          </w:p>
        </w:tc>
        <w:tc>
          <w:tcPr>
            <w:tcW w:w="211" w:type="dxa"/>
            <w:tcBorders/>
            <w:shd w:fill="CCECFF"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 other</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Allowance for doubtful accounts</w:t>
            </w:r>
          </w:p>
        </w:tc>
        <w:tc>
          <w:tcPr>
            <w:tcW w:w="146" w:type="dxa"/>
            <w:tcBorders/>
            <w:shd w:fill="CCECFF" w:val="clear"/>
            <w:vAlign w:val="center"/>
          </w:tcPr>
          <w:p>
            <w:pPr>
              <w:pStyle w:val="TableContents"/>
              <w:bidi w:val="0"/>
              <w:spacing w:before="0" w:after="283"/>
              <w:jc w:val="left"/>
              <w:rPr/>
            </w:pPr>
            <w:r>
              <w:rPr/>
              <w:t> </w:t>
            </w:r>
          </w:p>
        </w:tc>
        <w:tc>
          <w:tcPr>
            <w:tcW w:w="2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accounts receivable, net</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Inventories</w:t>
      </w:r>
    </w:p>
    <w:tbl>
      <w:tblPr>
        <w:tblW w:w="4770" w:type="dxa"/>
        <w:jc w:val="left"/>
        <w:tblInd w:w="0" w:type="dxa"/>
        <w:tblLayout w:type="fixed"/>
        <w:tblCellMar>
          <w:top w:w="28" w:type="dxa"/>
          <w:left w:w="28" w:type="dxa"/>
          <w:bottom w:w="28" w:type="dxa"/>
          <w:right w:w="28" w:type="dxa"/>
        </w:tblCellMar>
      </w:tblPr>
      <w:tblGrid>
        <w:gridCol w:w="1861"/>
        <w:gridCol w:w="146"/>
        <w:gridCol w:w="268"/>
        <w:gridCol w:w="917"/>
        <w:gridCol w:w="146"/>
        <w:gridCol w:w="146"/>
        <w:gridCol w:w="248"/>
        <w:gridCol w:w="847"/>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535.8</w:t>
            </w:r>
          </w:p>
        </w:tc>
        <w:tc>
          <w:tcPr>
            <w:tcW w:w="191" w:type="dxa"/>
            <w:tcBorders/>
            <w:shd w:fill="CCECFF"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212.7</w:t>
            </w:r>
          </w:p>
        </w:tc>
        <w:tc>
          <w:tcPr>
            <w:tcW w:w="191" w:type="dxa"/>
            <w:tcBorders/>
            <w:shd w:fill="FFFFFF" w:val="clear"/>
            <w:vAlign w:val="center"/>
          </w:tcPr>
          <w:p>
            <w:pPr>
              <w:pStyle w:val="TableContents"/>
              <w:bidi w:val="0"/>
              <w:spacing w:before="0" w:after="283"/>
              <w:jc w:val="left"/>
              <w:rPr/>
            </w:pPr>
            <w:r>
              <w:rPr/>
              <w:t> </w:t>
            </w:r>
          </w:p>
        </w:tc>
      </w:tr>
      <w:tr>
        <w:trPr/>
        <w:tc>
          <w:tcPr>
            <w:tcW w:w="18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CCECFF" w:val="clear"/>
            <w:vAlign w:val="center"/>
          </w:tcPr>
          <w:p>
            <w:pPr>
              <w:pStyle w:val="TableContents"/>
              <w:bidi w:val="0"/>
              <w:spacing w:before="0" w:after="283"/>
              <w:jc w:val="left"/>
              <w:rPr/>
            </w:pPr>
            <w:r>
              <w:rPr/>
              <w:t> </w:t>
            </w:r>
          </w:p>
        </w:tc>
        <w:tc>
          <w:tcPr>
            <w:tcW w:w="2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839.6</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inventories, net</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Accrued and Other Liabilities</w:t>
      </w:r>
    </w:p>
    <w:tbl>
      <w:tblPr>
        <w:tblW w:w="7500" w:type="dxa"/>
        <w:jc w:val="left"/>
        <w:tblInd w:w="0" w:type="dxa"/>
        <w:tblLayout w:type="fixed"/>
        <w:tblCellMar>
          <w:top w:w="28" w:type="dxa"/>
          <w:left w:w="28" w:type="dxa"/>
          <w:bottom w:w="28" w:type="dxa"/>
          <w:right w:w="28" w:type="dxa"/>
        </w:tblCellMar>
      </w:tblPr>
      <w:tblGrid>
        <w:gridCol w:w="4591"/>
        <w:gridCol w:w="146"/>
        <w:gridCol w:w="319"/>
        <w:gridCol w:w="866"/>
        <w:gridCol w:w="146"/>
        <w:gridCol w:w="146"/>
        <w:gridCol w:w="248"/>
        <w:gridCol w:w="847"/>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Compensation and employee benefit liabilities</w:t>
            </w:r>
          </w:p>
        </w:tc>
        <w:tc>
          <w:tcPr>
            <w:tcW w:w="146" w:type="dxa"/>
            <w:tcBorders/>
            <w:shd w:fill="CCECFF" w:val="clear"/>
            <w:vAlign w:val="center"/>
          </w:tcPr>
          <w:p>
            <w:pPr>
              <w:pStyle w:val="TableContents"/>
              <w:bidi w:val="0"/>
              <w:spacing w:before="0" w:after="283"/>
              <w:jc w:val="left"/>
              <w:rPr/>
            </w:pPr>
            <w:r>
              <w:rPr/>
              <w:t> </w:t>
            </w:r>
          </w:p>
        </w:tc>
        <w:tc>
          <w:tcPr>
            <w:tcW w:w="31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301.3</w:t>
            </w:r>
          </w:p>
        </w:tc>
        <w:tc>
          <w:tcPr>
            <w:tcW w:w="191" w:type="dxa"/>
            <w:tcBorders/>
            <w:shd w:fill="CCECFF"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CCECFF" w:val="clear"/>
            <w:vAlign w:val="center"/>
          </w:tcPr>
          <w:p>
            <w:pPr>
              <w:pStyle w:val="TableContents"/>
              <w:bidi w:val="0"/>
              <w:spacing w:before="0" w:after="283"/>
              <w:jc w:val="left"/>
              <w:rPr/>
            </w:pPr>
            <w:r>
              <w:rPr/>
              <w:t> </w:t>
            </w:r>
          </w:p>
        </w:tc>
        <w:tc>
          <w:tcPr>
            <w:tcW w:w="319" w:type="dxa"/>
            <w:tcBorders/>
            <w:shd w:fill="CCECFF" w:val="clear"/>
            <w:vAlign w:val="center"/>
          </w:tcPr>
          <w:p>
            <w:pPr>
              <w:pStyle w:val="TableContents"/>
              <w:bidi w:val="0"/>
              <w:spacing w:before="0" w:after="283"/>
              <w:jc w:val="left"/>
              <w:rPr/>
            </w:pPr>
            <w:r>
              <w:rPr/>
              <w:t> </w:t>
            </w:r>
          </w:p>
        </w:tc>
        <w:tc>
          <w:tcPr>
            <w:tcW w:w="8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w:t>
            </w:r>
          </w:p>
        </w:tc>
        <w:tc>
          <w:tcPr>
            <w:tcW w:w="191" w:type="dxa"/>
            <w:tcBorders/>
            <w:shd w:fill="CCECFF"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47.7</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warranty accrual</w:t>
            </w:r>
          </w:p>
        </w:tc>
        <w:tc>
          <w:tcPr>
            <w:tcW w:w="146" w:type="dxa"/>
            <w:tcBorders/>
            <w:shd w:fill="CCECFF" w:val="clear"/>
            <w:vAlign w:val="center"/>
          </w:tcPr>
          <w:p>
            <w:pPr>
              <w:pStyle w:val="TableContents"/>
              <w:bidi w:val="0"/>
              <w:spacing w:before="0" w:after="283"/>
              <w:jc w:val="left"/>
              <w:rPr/>
            </w:pPr>
            <w:r>
              <w:rPr/>
              <w:t> </w:t>
            </w:r>
          </w:p>
        </w:tc>
        <w:tc>
          <w:tcPr>
            <w:tcW w:w="319" w:type="dxa"/>
            <w:tcBorders/>
            <w:shd w:fill="CCECFF" w:val="clear"/>
            <w:vAlign w:val="center"/>
          </w:tcPr>
          <w:p>
            <w:pPr>
              <w:pStyle w:val="TableContents"/>
              <w:bidi w:val="0"/>
              <w:spacing w:before="0" w:after="283"/>
              <w:jc w:val="left"/>
              <w:rPr/>
            </w:pPr>
            <w:r>
              <w:rPr/>
              <w:t> </w:t>
            </w:r>
          </w:p>
        </w:tc>
        <w:tc>
          <w:tcPr>
            <w:tcW w:w="8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w:t>
            </w:r>
          </w:p>
        </w:tc>
        <w:tc>
          <w:tcPr>
            <w:tcW w:w="191" w:type="dxa"/>
            <w:tcBorders/>
            <w:shd w:fill="CCECFF"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liabilities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manufacturer inventory repurchase obligation</w:t>
            </w:r>
          </w:p>
        </w:tc>
        <w:tc>
          <w:tcPr>
            <w:tcW w:w="146" w:type="dxa"/>
            <w:tcBorders/>
            <w:shd w:fill="CCECFF" w:val="clear"/>
            <w:vAlign w:val="center"/>
          </w:tcPr>
          <w:p>
            <w:pPr>
              <w:pStyle w:val="TableContents"/>
              <w:bidi w:val="0"/>
              <w:spacing w:before="0" w:after="283"/>
              <w:jc w:val="left"/>
              <w:rPr/>
            </w:pPr>
            <w:r>
              <w:rPr/>
              <w:t> </w:t>
            </w:r>
          </w:p>
        </w:tc>
        <w:tc>
          <w:tcPr>
            <w:tcW w:w="319" w:type="dxa"/>
            <w:tcBorders/>
            <w:shd w:fill="CCECFF" w:val="clear"/>
            <w:vAlign w:val="center"/>
          </w:tcPr>
          <w:p>
            <w:pPr>
              <w:pStyle w:val="TableContents"/>
              <w:bidi w:val="0"/>
              <w:spacing w:before="0" w:after="283"/>
              <w:jc w:val="left"/>
              <w:rPr/>
            </w:pPr>
            <w:r>
              <w:rPr/>
              <w:t> </w:t>
            </w:r>
          </w:p>
        </w:tc>
        <w:tc>
          <w:tcPr>
            <w:tcW w:w="8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79.1</w:t>
            </w:r>
          </w:p>
        </w:tc>
        <w:tc>
          <w:tcPr>
            <w:tcW w:w="191" w:type="dxa"/>
            <w:tcBorders/>
            <w:shd w:fill="CCECFF"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and other liabilities</w:t>
            </w:r>
          </w:p>
        </w:tc>
        <w:tc>
          <w:tcPr>
            <w:tcW w:w="146" w:type="dxa"/>
            <w:tcBorders/>
            <w:shd w:fill="CCECFF" w:val="clear"/>
            <w:vAlign w:val="center"/>
          </w:tcPr>
          <w:p>
            <w:pPr>
              <w:pStyle w:val="TableContents"/>
              <w:bidi w:val="0"/>
              <w:spacing w:before="0" w:after="283"/>
              <w:jc w:val="lef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1,050.0</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 Information</w:t>
      </w:r>
    </w:p>
    <w:p>
      <w:pPr>
        <w:pStyle w:val="TextBody"/>
        <w:bidi w:val="0"/>
        <w:jc w:val="left"/>
        <w:rPr/>
      </w:pPr>
      <w:r>
        <w:rPr/>
        <w:t> </w:t>
      </w:r>
    </w:p>
    <w:tbl>
      <w:tblPr>
        <w:tblW w:w="7831" w:type="dxa"/>
        <w:jc w:val="left"/>
        <w:tblInd w:w="0" w:type="dxa"/>
        <w:tblLayout w:type="fixed"/>
        <w:tblCellMar>
          <w:top w:w="28" w:type="dxa"/>
          <w:left w:w="28" w:type="dxa"/>
          <w:bottom w:w="28" w:type="dxa"/>
          <w:right w:w="28" w:type="dxa"/>
        </w:tblCellMar>
      </w:tblPr>
      <w:tblGrid>
        <w:gridCol w:w="2446"/>
        <w:gridCol w:w="2476"/>
        <w:gridCol w:w="146"/>
        <w:gridCol w:w="319"/>
        <w:gridCol w:w="866"/>
        <w:gridCol w:w="146"/>
        <w:gridCol w:w="146"/>
        <w:gridCol w:w="294"/>
        <w:gridCol w:w="80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 of use assets</w:t>
            </w:r>
          </w:p>
        </w:tc>
        <w:tc>
          <w:tcPr>
            <w:tcW w:w="247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Other noncurrent assets</w:t>
            </w:r>
          </w:p>
        </w:tc>
        <w:tc>
          <w:tcPr>
            <w:tcW w:w="146" w:type="dxa"/>
            <w:tcBorders/>
            <w:shd w:fill="CCECFF" w:val="clear"/>
            <w:vAlign w:val="center"/>
          </w:tcPr>
          <w:p>
            <w:pPr>
              <w:pStyle w:val="TableContents"/>
              <w:bidi w:val="0"/>
              <w:spacing w:before="0" w:after="283"/>
              <w:jc w:val="left"/>
              <w:rPr/>
            </w:pPr>
            <w:r>
              <w:rPr/>
              <w:t> </w:t>
            </w:r>
          </w:p>
        </w:tc>
        <w:tc>
          <w:tcPr>
            <w:tcW w:w="31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149.0</w:t>
            </w:r>
          </w:p>
        </w:tc>
        <w:tc>
          <w:tcPr>
            <w:tcW w:w="191" w:type="dxa"/>
            <w:tcBorders/>
            <w:shd w:fill="CCEC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 - current</w:t>
            </w:r>
          </w:p>
        </w:tc>
        <w:tc>
          <w:tcPr>
            <w:tcW w:w="247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Accrued and other liabilities</w:t>
            </w:r>
          </w:p>
        </w:tc>
        <w:tc>
          <w:tcPr>
            <w:tcW w:w="146" w:type="dxa"/>
            <w:tcBorders/>
            <w:shd w:fill="CCECFF" w:val="clear"/>
            <w:vAlign w:val="center"/>
          </w:tcPr>
          <w:p>
            <w:pPr>
              <w:pStyle w:val="TableContents"/>
              <w:bidi w:val="0"/>
              <w:spacing w:before="0" w:after="283"/>
              <w:jc w:val="left"/>
              <w:rPr/>
            </w:pPr>
            <w:r>
              <w:rPr/>
              <w:t> </w:t>
            </w:r>
          </w:p>
        </w:tc>
        <w:tc>
          <w:tcPr>
            <w:tcW w:w="31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47.7</w:t>
            </w:r>
          </w:p>
        </w:tc>
        <w:tc>
          <w:tcPr>
            <w:tcW w:w="191" w:type="dxa"/>
            <w:tcBorders/>
            <w:shd w:fill="CCEC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 - noncurrent</w:t>
            </w:r>
          </w:p>
        </w:tc>
        <w:tc>
          <w:tcPr>
            <w:tcW w:w="24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247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171.2</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00"/>
        <w:jc w:val="left"/>
        <w:rPr>
          <w:rFonts w:ascii="Times New Roman" w:hAnsi="Times New Roman"/>
          <w:b/>
          <w:color w:val="000000"/>
          <w:sz w:val="20"/>
        </w:rPr>
      </w:pPr>
      <w:r>
        <w:rPr>
          <w:rFonts w:ascii="Times New Roman" w:hAnsi="Times New Roman"/>
          <w:b/>
          <w:color w:val="000000"/>
          <w:sz w:val="20"/>
        </w:rPr>
        <w:t>Accumulated Other Comprehensive Loss</w:t>
      </w:r>
    </w:p>
    <w:p>
      <w:pPr>
        <w:pStyle w:val="TextBody"/>
        <w:bidi w:val="0"/>
        <w:spacing w:before="120" w:after="200"/>
        <w:jc w:val="left"/>
        <w:rPr>
          <w:rFonts w:ascii="Times New Roman" w:hAnsi="Times New Roman"/>
          <w:b w:val="false"/>
          <w:color w:val="000000"/>
          <w:sz w:val="20"/>
        </w:rPr>
      </w:pPr>
      <w:r>
        <w:rPr>
          <w:rFonts w:ascii="Times New Roman" w:hAnsi="Times New Roman"/>
          <w:b w:val="false"/>
          <w:color w:val="000000"/>
          <w:sz w:val="20"/>
        </w:rPr>
        <w:t>The following table presents changes in accumulated other comprehensive loss (AOCL), net of tax:</w:t>
      </w:r>
    </w:p>
    <w:tbl>
      <w:tblPr>
        <w:tblW w:w="7632" w:type="dxa"/>
        <w:jc w:val="left"/>
        <w:tblInd w:w="0" w:type="dxa"/>
        <w:tblLayout w:type="fixed"/>
        <w:tblCellMar>
          <w:top w:w="28" w:type="dxa"/>
          <w:left w:w="28" w:type="dxa"/>
          <w:bottom w:w="28" w:type="dxa"/>
          <w:right w:w="28" w:type="dxa"/>
        </w:tblCellMar>
      </w:tblPr>
      <w:tblGrid>
        <w:gridCol w:w="2971"/>
        <w:gridCol w:w="146"/>
        <w:gridCol w:w="211"/>
        <w:gridCol w:w="631"/>
        <w:gridCol w:w="166"/>
        <w:gridCol w:w="146"/>
        <w:gridCol w:w="211"/>
        <w:gridCol w:w="631"/>
        <w:gridCol w:w="166"/>
        <w:gridCol w:w="146"/>
        <w:gridCol w:w="211"/>
        <w:gridCol w:w="631"/>
        <w:gridCol w:w="166"/>
        <w:gridCol w:w="146"/>
        <w:gridCol w:w="211"/>
        <w:gridCol w:w="631"/>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CFF" w:val="cle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Foreign currency translation</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(370.7</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Defined benefit plan activity</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Amounts reclassified from AOCL</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Hedging instruments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AOCL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Amounts reclassified from net AOCL related to defined benefit plans are recorded in other income, net in the Condensed Consolidated Statements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Cash Flow Information</w:t>
      </w:r>
    </w:p>
    <w:tbl>
      <w:tblPr>
        <w:tblW w:w="5009" w:type="dxa"/>
        <w:jc w:val="left"/>
        <w:tblInd w:w="0" w:type="dxa"/>
        <w:tblLayout w:type="fixed"/>
        <w:tblCellMar>
          <w:top w:w="28" w:type="dxa"/>
          <w:left w:w="28" w:type="dxa"/>
          <w:bottom w:w="28" w:type="dxa"/>
          <w:right w:w="28" w:type="dxa"/>
        </w:tblCellMar>
      </w:tblPr>
      <w:tblGrid>
        <w:gridCol w:w="2716"/>
        <w:gridCol w:w="146"/>
        <w:gridCol w:w="211"/>
        <w:gridCol w:w="571"/>
        <w:gridCol w:w="146"/>
        <w:gridCol w:w="146"/>
        <w:gridCol w:w="211"/>
        <w:gridCol w:w="571"/>
        <w:gridCol w:w="2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91" w:type="dxa"/>
            <w:tcBorders/>
            <w:shd w:fill="FFFFFF" w:val="cle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during the period for:</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27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Income taxes, net of refunds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71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469.6</w:t>
            </w:r>
          </w:p>
        </w:tc>
        <w:tc>
          <w:tcPr>
            <w:tcW w:w="291"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5. FINANCING</w:t>
      </w:r>
    </w:p>
    <w:tbl>
      <w:tblPr>
        <w:tblW w:w="7045" w:type="dxa"/>
        <w:jc w:val="left"/>
        <w:tblInd w:w="0" w:type="dxa"/>
        <w:tblLayout w:type="fixed"/>
        <w:tblCellMar>
          <w:top w:w="28" w:type="dxa"/>
          <w:left w:w="28" w:type="dxa"/>
          <w:bottom w:w="28" w:type="dxa"/>
          <w:right w:w="28" w:type="dxa"/>
        </w:tblCellMar>
      </w:tblPr>
      <w:tblGrid>
        <w:gridCol w:w="4096"/>
        <w:gridCol w:w="146"/>
        <w:gridCol w:w="268"/>
        <w:gridCol w:w="917"/>
        <w:gridCol w:w="166"/>
        <w:gridCol w:w="146"/>
        <w:gridCol w:w="248"/>
        <w:gridCol w:w="847"/>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7.125% senior notes due July 2028</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5.00% senior notes due March 2027</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w:t>
            </w:r>
          </w:p>
        </w:tc>
        <w:tc>
          <w:tcPr>
            <w:tcW w:w="211" w:type="dxa"/>
            <w:tcBorders/>
            <w:shd w:fill="FFFFFF" w:val="clear"/>
            <w:vAlign w:val="center"/>
          </w:tcPr>
          <w:p>
            <w:pPr>
              <w:pStyle w:val="TableContents"/>
              <w:bidi w:val="0"/>
              <w:spacing w:before="0" w:after="283"/>
              <w:jc w:val="left"/>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8.25% senior notes due March 2027</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91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6.00% senior notes due June 2025</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1,300.0</w:t>
            </w:r>
          </w:p>
        </w:tc>
        <w:tc>
          <w:tcPr>
            <w:tcW w:w="211" w:type="dxa"/>
            <w:tcBorders/>
            <w:shd w:fill="FFFFFF" w:val="clear"/>
            <w:vAlign w:val="center"/>
          </w:tcPr>
          <w:p>
            <w:pPr>
              <w:pStyle w:val="TableContents"/>
              <w:bidi w:val="0"/>
              <w:spacing w:before="0" w:after="283"/>
              <w:jc w:val="left"/>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4.75% senior secured notes due September 2029</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91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6.00% senior secured notes due March 2026</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211" w:type="dxa"/>
            <w:tcBorders/>
            <w:shd w:fill="FFFFFF" w:val="clear"/>
            <w:vAlign w:val="center"/>
          </w:tcPr>
          <w:p>
            <w:pPr>
              <w:pStyle w:val="TableContents"/>
              <w:bidi w:val="0"/>
              <w:spacing w:before="0" w:after="283"/>
              <w:jc w:val="left"/>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secured term loan due April 2026</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91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3,096.0</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secured revolving credit facility</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principal amount of debt</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91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9,460.9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9,596.0</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Original issue discount, net of amortization</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Debt issuance costs, net of amortization</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91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long-term debt</w:t>
            </w:r>
          </w:p>
        </w:tc>
        <w:tc>
          <w:tcPr>
            <w:tcW w:w="146" w:type="dxa"/>
            <w:tcBorders/>
            <w:shd w:fill="CCECFF" w:val="clear"/>
            <w:vAlign w:val="center"/>
          </w:tcPr>
          <w:p>
            <w:pPr>
              <w:pStyle w:val="TableContents"/>
              <w:bidi w:val="0"/>
              <w:spacing w:before="0" w:after="283"/>
              <w:jc w:val="left"/>
              <w:rPr/>
            </w:pPr>
            <w:r>
              <w:rPr/>
              <w:t> </w:t>
            </w:r>
          </w:p>
        </w:tc>
        <w:tc>
          <w:tcPr>
            <w:tcW w:w="26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9,469.6</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See Note 7 within the Company’s audited consolidated financial statements included in the 2022 Annual Report for additional information on the terms and conditions of the Company’s debt obligations.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Senior Secured Credit Facilities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June 8, 2023, the Company amended its 2026 Term Loan to transition from the Eurodollar Rate based on LIBOR to SOFR, effective as of July 1, 2023, as the reference interest rate in anticipation of the cessation of LIBOR in 2023. As a result, the 2026 Term Loan will bear interest at (1) an adjusted Term SOFR rate, subject to certain adjustments, plus an applicable margin of 3.25% or (2) at the option of the Company, a base rate plus an applicable margin of 2.25%.</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made the quarterly scheduled amortization payments totaling $8.0</w:t>
      </w:r>
      <w:r>
        <w:rPr>
          <w:rFonts w:ascii="Times New Roman" w:hAnsi="Times New Roman"/>
          <w:color w:val="000000"/>
          <w:sz w:val="20"/>
        </w:rPr>
        <w:t xml:space="preserve"> </w:t>
      </w:r>
      <w:r>
        <w:rPr>
          <w:rFonts w:ascii="Times New Roman" w:hAnsi="Times New Roman"/>
          <w:b w:val="false"/>
          <w:color w:val="000000"/>
          <w:sz w:val="20"/>
        </w:rPr>
        <w:t>million and $24.0</w:t>
      </w:r>
      <w:r>
        <w:rPr>
          <w:rFonts w:ascii="Times New Roman" w:hAnsi="Times New Roman"/>
          <w:color w:val="000000"/>
          <w:sz w:val="20"/>
        </w:rPr>
        <w:t xml:space="preserve"> </w:t>
      </w:r>
      <w:r>
        <w:rPr>
          <w:rFonts w:ascii="Times New Roman" w:hAnsi="Times New Roman"/>
          <w:b w:val="false"/>
          <w:color w:val="000000"/>
          <w:sz w:val="20"/>
        </w:rPr>
        <w:t>million, respectively, on the 2026 Term Loan. The current portion of long-term debt reflects $32.0</w:t>
      </w:r>
      <w:r>
        <w:rPr>
          <w:rFonts w:ascii="Times New Roman" w:hAnsi="Times New Roman"/>
          <w:color w:val="000000"/>
          <w:sz w:val="20"/>
        </w:rPr>
        <w:t xml:space="preserve"> </w:t>
      </w:r>
      <w:r>
        <w:rPr>
          <w:rFonts w:ascii="Times New Roman" w:hAnsi="Times New Roman"/>
          <w:b w:val="false"/>
          <w:color w:val="000000"/>
          <w:sz w:val="20"/>
        </w:rPr>
        <w:t>million of repayments due under the 2026 Term Loan.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the Company did not reflect any portion of the 2026 Term Loan as a current portion of long-term debt related to the potentially required excess cash flow payment because the amount that may be payable in 2024, if any, cannot currently be reliably estimated. There is no excess cash flow payment required in 2023 related to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2023, the Company did not borrow under the Revolving Credit Facility. As of September 30, 2023, the Company had no</w:t>
      </w:r>
      <w:r>
        <w:rPr>
          <w:rFonts w:ascii="Times New Roman" w:hAnsi="Times New Roman"/>
          <w:color w:val="000000"/>
          <w:sz w:val="20"/>
        </w:rPr>
        <w:t xml:space="preserve"> </w:t>
      </w:r>
      <w:r>
        <w:rPr>
          <w:rFonts w:ascii="Times New Roman" w:hAnsi="Times New Roman"/>
          <w:b w:val="false"/>
          <w:color w:val="000000"/>
          <w:sz w:val="20"/>
        </w:rPr>
        <w:t>outstanding borrowings under the Revolving Credit Facility and had availability of $771.4</w:t>
      </w:r>
      <w:r>
        <w:rPr>
          <w:rFonts w:ascii="Times New Roman" w:hAnsi="Times New Roman"/>
          <w:color w:val="000000"/>
          <w:sz w:val="20"/>
        </w:rPr>
        <w:t xml:space="preserve"> </w:t>
      </w:r>
      <w:r>
        <w:rPr>
          <w:rFonts w:ascii="Times New Roman" w:hAnsi="Times New Roman"/>
          <w:b w:val="false"/>
          <w:color w:val="000000"/>
          <w:sz w:val="20"/>
        </w:rPr>
        <w:t>million, after giving effect to borrowing base limitations and outstanding letters of credit.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Matters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table below summarizes the debt repurchase activity during the nine months ended September 30, 2023:</w:t>
      </w:r>
    </w:p>
    <w:tbl>
      <w:tblPr>
        <w:tblW w:w="5544" w:type="dxa"/>
        <w:jc w:val="left"/>
        <w:tblInd w:w="0" w:type="dxa"/>
        <w:tblLayout w:type="fixed"/>
        <w:tblCellMar>
          <w:top w:w="28" w:type="dxa"/>
          <w:left w:w="28" w:type="dxa"/>
          <w:bottom w:w="28" w:type="dxa"/>
          <w:right w:w="28" w:type="dxa"/>
        </w:tblCellMar>
      </w:tblPr>
      <w:tblGrid>
        <w:gridCol w:w="3046"/>
        <w:gridCol w:w="279"/>
        <w:gridCol w:w="757"/>
        <w:gridCol w:w="146"/>
        <w:gridCol w:w="349"/>
        <w:gridCol w:w="776"/>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 xml:space="preserve">Principal </w:t>
              <w:br/>
              <w:t>Repurchased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Reacquisition </w:t>
              <w:br/>
              <w:t>Cost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7.125% senior notes due July 2028</w:t>
            </w:r>
          </w:p>
        </w:tc>
        <w:tc>
          <w:tcPr>
            <w:tcW w:w="27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46" w:type="dxa"/>
            <w:tcBorders/>
            <w:shd w:fill="CCECFF" w:val="clear"/>
            <w:vAlign w:val="center"/>
          </w:tcPr>
          <w:p>
            <w:pPr>
              <w:pStyle w:val="TableContents"/>
              <w:bidi w:val="0"/>
              <w:spacing w:before="0" w:after="283"/>
              <w:jc w:val="left"/>
              <w:rPr/>
            </w:pPr>
            <w:r>
              <w:rPr/>
              <w:t> </w:t>
            </w:r>
          </w:p>
        </w:tc>
        <w:tc>
          <w:tcPr>
            <w:tcW w:w="34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91" w:type="dxa"/>
            <w:tcBorders/>
            <w:shd w:fill="CCECFF"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8.25% senior notes due March 2027</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6.00% senior notes due June 2025</w:t>
            </w:r>
          </w:p>
        </w:tc>
        <w:tc>
          <w:tcPr>
            <w:tcW w:w="2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color w:val="000000"/>
          <w:sz w:val="20"/>
        </w:rPr>
        <w:t>For the three and nine months ended September 30, 2023, the repurchase of debt resulted in gains on the early extinguishment of debt of $8.6</w:t>
      </w:r>
      <w:r>
        <w:rPr>
          <w:rFonts w:ascii="Times New Roman" w:hAnsi="Times New Roman"/>
          <w:color w:val="000000"/>
          <w:sz w:val="20"/>
        </w:rPr>
        <w:t xml:space="preserve"> </w:t>
      </w:r>
      <w:r>
        <w:rPr>
          <w:rFonts w:ascii="Times New Roman" w:hAnsi="Times New Roman"/>
          <w:b w:val="false"/>
          <w:color w:val="000000"/>
          <w:sz w:val="20"/>
        </w:rPr>
        <w:t>million and $19.0</w:t>
      </w:r>
      <w:r>
        <w:rPr>
          <w:rFonts w:ascii="Times New Roman" w:hAnsi="Times New Roman"/>
          <w:color w:val="000000"/>
          <w:sz w:val="20"/>
        </w:rPr>
        <w:t xml:space="preserve"> </w:t>
      </w:r>
      <w:r>
        <w:rPr>
          <w:rFonts w:ascii="Times New Roman" w:hAnsi="Times New Roman"/>
          <w:b w:val="false"/>
          <w:color w:val="000000"/>
          <w:sz w:val="20"/>
        </w:rPr>
        <w:t>million, respectively, reflected in other income, net, and the write-off of debt issuance costs of $1.0</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reflected in interest expense, in the Condensed Consolidated Statements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The Company’s non-guarantor subsidiaries held $2,834</w:t>
      </w:r>
      <w:r>
        <w:rPr>
          <w:rFonts w:ascii="Times New Roman" w:hAnsi="Times New Roman"/>
          <w:color w:val="000000"/>
          <w:sz w:val="20"/>
        </w:rPr>
        <w:t xml:space="preserve"> </w:t>
      </w:r>
      <w:r>
        <w:rPr>
          <w:rFonts w:ascii="Times New Roman" w:hAnsi="Times New Roman"/>
          <w:b w:val="false"/>
          <w:color w:val="000000"/>
          <w:sz w:val="20"/>
        </w:rPr>
        <w:t>million, or 28%, of total assets and $799</w:t>
      </w:r>
      <w:r>
        <w:rPr>
          <w:rFonts w:ascii="Times New Roman" w:hAnsi="Times New Roman"/>
          <w:color w:val="000000"/>
          <w:sz w:val="20"/>
        </w:rPr>
        <w:t xml:space="preserve"> </w:t>
      </w:r>
      <w:r>
        <w:rPr>
          <w:rFonts w:ascii="Times New Roman" w:hAnsi="Times New Roman"/>
          <w:b w:val="false"/>
          <w:color w:val="000000"/>
          <w:sz w:val="20"/>
        </w:rPr>
        <w:t>million, or 7%, of total liabilities as of September 30, 2023</w:t>
      </w:r>
      <w:r>
        <w:rPr>
          <w:rFonts w:ascii="Times New Roman" w:hAnsi="Times New Roman"/>
          <w:color w:val="000000"/>
          <w:sz w:val="20"/>
        </w:rPr>
        <w:t xml:space="preserve"> </w:t>
      </w:r>
      <w:r>
        <w:rPr>
          <w:rFonts w:ascii="Times New Roman" w:hAnsi="Times New Roman"/>
          <w:b w:val="false"/>
          <w:color w:val="000000"/>
          <w:sz w:val="20"/>
        </w:rPr>
        <w:t>and accounted for $521</w:t>
      </w:r>
      <w:r>
        <w:rPr>
          <w:rFonts w:ascii="Times New Roman" w:hAnsi="Times New Roman"/>
          <w:color w:val="000000"/>
          <w:sz w:val="20"/>
        </w:rPr>
        <w:t xml:space="preserve"> </w:t>
      </w:r>
      <w:r>
        <w:rPr>
          <w:rFonts w:ascii="Times New Roman" w:hAnsi="Times New Roman"/>
          <w:b w:val="false"/>
          <w:color w:val="000000"/>
          <w:sz w:val="20"/>
        </w:rPr>
        <w:t>million, or 33%, and $1,657</w:t>
      </w:r>
      <w:r>
        <w:rPr>
          <w:rFonts w:ascii="Times New Roman" w:hAnsi="Times New Roman"/>
          <w:color w:val="000000"/>
          <w:sz w:val="20"/>
        </w:rPr>
        <w:t xml:space="preserve"> </w:t>
      </w:r>
      <w:r>
        <w:rPr>
          <w:rFonts w:ascii="Times New Roman" w:hAnsi="Times New Roman"/>
          <w:b w:val="false"/>
          <w:color w:val="000000"/>
          <w:sz w:val="20"/>
        </w:rPr>
        <w:t>million, or 30%, of net sales for the three and nine months ended September 30, 2023, respectively. All amounts presented exclude intercompany balances.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weighted average effective interest rate on outstanding borrowings, including the impact of the interest rate swap contracts and the amortization of debt issuance costs and original issue discount, was 7.23% and 6.91% as of September 30, 2023 and December 31, 2022,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FAIR VALUE MEASUREMENTS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September 30, 2023 and December 31, 2022 were considered representative of their fair values due to their short terms to maturity. The fair values of the Company’s debt instruments, interest rate swap contracts and foreign currency contracts were based on indicative quotes.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carrying amounts, estimated fair values and valuation input levels of the Company’s debt instruments, interest rate swap contracts and foreign currency contracts as of September 30, 2023 and December 31, 2022, are as follows:</w:t>
      </w:r>
    </w:p>
    <w:p>
      <w:pPr>
        <w:pStyle w:val="TextBody"/>
        <w:bidi w:val="0"/>
        <w:jc w:val="left"/>
        <w:rPr/>
      </w:pPr>
      <w:r>
        <w:rPr/>
        <w:t> </w:t>
      </w:r>
    </w:p>
    <w:tbl>
      <w:tblPr>
        <w:tblW w:w="9249" w:type="dxa"/>
        <w:jc w:val="left"/>
        <w:tblInd w:w="0" w:type="dxa"/>
        <w:tblLayout w:type="fixed"/>
        <w:tblCellMar>
          <w:top w:w="28" w:type="dxa"/>
          <w:left w:w="28" w:type="dxa"/>
          <w:bottom w:w="28" w:type="dxa"/>
          <w:right w:w="28" w:type="dxa"/>
        </w:tblCellMar>
      </w:tblPr>
      <w:tblGrid>
        <w:gridCol w:w="3236"/>
        <w:gridCol w:w="246"/>
        <w:gridCol w:w="211"/>
        <w:gridCol w:w="721"/>
        <w:gridCol w:w="146"/>
        <w:gridCol w:w="146"/>
        <w:gridCol w:w="211"/>
        <w:gridCol w:w="721"/>
        <w:gridCol w:w="146"/>
        <w:gridCol w:w="146"/>
        <w:gridCol w:w="211"/>
        <w:gridCol w:w="721"/>
        <w:gridCol w:w="146"/>
        <w:gridCol w:w="146"/>
        <w:gridCol w:w="211"/>
        <w:gridCol w:w="721"/>
        <w:gridCol w:w="146"/>
        <w:gridCol w:w="146"/>
        <w:gridCol w:w="871"/>
      </w:tblGrid>
      <w:tr>
        <w:trPr/>
        <w:tc>
          <w:tcPr>
            <w:tcW w:w="32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Inputs</w:t>
            </w:r>
          </w:p>
        </w:tc>
      </w:tr>
      <w:tr>
        <w:trPr/>
        <w:tc>
          <w:tcPr>
            <w:tcW w:w="323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pPr>
            <w:r>
              <w:rPr/>
              <w:t> </w:t>
            </w:r>
          </w:p>
        </w:tc>
      </w:tr>
      <w:tr>
        <w:trPr/>
        <w:tc>
          <w:tcPr>
            <w:tcW w:w="323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Foreign currency contracts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Interest rate swap contracts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pPr>
            <w:r>
              <w:rPr/>
              <w:t> </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7.125% senior notes due 2028</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5.00% senior notes due 2027</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8.25% senior notes due 2027</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6.00% senior notes due 2025</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4.75% senior secured notes due 2029</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6.00% senior secured notes due 2026</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Senior secured term loan due 2026</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Level 2</w:t>
            </w:r>
          </w:p>
        </w:tc>
      </w:tr>
      <w:tr>
        <w:trPr/>
        <w:tc>
          <w:tcPr>
            <w:tcW w:w="323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Foreign currency contracts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Non-Recurring Fair Value Measurements</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 the third quarter of 2023, a goodwill impairment charge of $425.9</w:t>
      </w:r>
      <w:r>
        <w:rPr>
          <w:rFonts w:ascii="Times New Roman" w:hAnsi="Times New Roman"/>
          <w:color w:val="000000"/>
          <w:sz w:val="20"/>
        </w:rPr>
        <w:t xml:space="preserve"> </w:t>
      </w:r>
      <w:r>
        <w:rPr>
          <w:rFonts w:ascii="Times New Roman" w:hAnsi="Times New Roman"/>
          <w:b w:val="false"/>
          <w:color w:val="000000"/>
          <w:sz w:val="20"/>
        </w:rPr>
        <w:t>million was recorded related to the ANS reporting unit in the ANS segment. The fair value of the reporting unit was determined using a discounted cash flow (DCF) model and a guideline public company approach, with 75% of the value determined using the DCF model and 25% of the value determined using the guideline public company approach. Under the DCF method, the fair value of a reporting unit is based on the present value of estimated future cash flows. Under the guideline public company method, the fair value is based upon market multiples of revenue and earnings derived from publicly-traded companies with similar operating and investment characteristics as the reporting unit. The inputs to both the DCF model and the guideline public company analysis are Level 3 valuation inputs. Changes in any of these inputs, among other factors, could negatively affect the fair value of the ANS reporting unit and result in a material impairment charge in the future.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also recorded a partial impairment of $469.2</w:t>
      </w:r>
      <w:r>
        <w:rPr>
          <w:rFonts w:ascii="Times New Roman" w:hAnsi="Times New Roman"/>
          <w:color w:val="000000"/>
          <w:sz w:val="20"/>
        </w:rPr>
        <w:t xml:space="preserve"> </w:t>
      </w:r>
      <w:r>
        <w:rPr>
          <w:rFonts w:ascii="Times New Roman" w:hAnsi="Times New Roman"/>
          <w:b w:val="false"/>
          <w:color w:val="000000"/>
          <w:sz w:val="20"/>
        </w:rPr>
        <w:t>million related to the Home segment's intangible assets during the third quarter of 2023. The Company estimated the fair value of the asset group using Company-specific inputs, including estimates of consideration to be received upon the impending divestiture, as well as other market participant assumptions. The determination of the impairment charge was based on Level 3 valuation inputs.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SEGMENTS AND GEOGRAPHIC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five reportable segments as described below.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Connectivity and Cable Solutions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Outdoor Wireless Networks (OWN) segment focuses on the macro and metro cell markets. The segment includes base station antennas, radio frequency (RF) filters, tower connectivity, microwave antennas, metro cell products, cabinets, steel, accessories and the wireless spectrum management business, Comsearch.</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Networking, Intelligent Cellular and Security Solutions (NICS) segment provides wireless networks for enterprises and service providers. Product offerings include 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Access Network Solutions (ANS) segment’s product solutions include cable modem termination systems, video infrastructure, distribution and transmission equipment and cloud solutions that enable facility-based service providers to construct a state-of-the-art residential and metro distribution network.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Home Networks (Home) segment includes subscriber-based solutions that support broadband and video applications. The broadband offerings in the Home segment include devices that provide residential connectivity to a service provider’s network, such as digital subscriber line and cable modems and telephony and data gateways which incorporate routing and Wi-Fi functionality. Video offerings include set top boxes that support cable, satellite and IP television content delivery and include products such as digital video recorders, high definition set top boxes and hybrid set top devices.</w:t>
      </w:r>
    </w:p>
    <w:p>
      <w:pPr>
        <w:pStyle w:val="TextBody"/>
        <w:bidi w:val="0"/>
        <w:spacing w:before="240" w:after="200"/>
        <w:jc w:val="left"/>
        <w:rPr>
          <w:rFonts w:ascii="Times New Roman" w:hAnsi="Times New Roman"/>
          <w:b w:val="false"/>
          <w:color w:val="000000"/>
          <w:sz w:val="20"/>
        </w:rPr>
      </w:pPr>
      <w:r>
        <w:rPr>
          <w:rFonts w:ascii="Times New Roman" w:hAnsi="Times New Roman"/>
          <w:b w:val="false"/>
          <w:color w:val="000000"/>
          <w:sz w:val="20"/>
        </w:rPr>
        <w:t>The following table provides summary financial information by reportable segment:</w:t>
      </w:r>
    </w:p>
    <w:tbl>
      <w:tblPr>
        <w:tblW w:w="6400" w:type="dxa"/>
        <w:jc w:val="left"/>
        <w:tblInd w:w="0" w:type="dxa"/>
        <w:tblLayout w:type="fixed"/>
        <w:tblCellMar>
          <w:top w:w="28" w:type="dxa"/>
          <w:left w:w="28" w:type="dxa"/>
          <w:bottom w:w="28" w:type="dxa"/>
          <w:right w:w="28" w:type="dxa"/>
        </w:tblCellMar>
      </w:tblPr>
      <w:tblGrid>
        <w:gridCol w:w="3391"/>
        <w:gridCol w:w="146"/>
        <w:gridCol w:w="241"/>
        <w:gridCol w:w="944"/>
        <w:gridCol w:w="146"/>
        <w:gridCol w:w="146"/>
        <w:gridCol w:w="223"/>
        <w:gridCol w:w="872"/>
        <w:gridCol w:w="2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Identifiable segment-related assets:</w:t>
            </w:r>
          </w:p>
        </w:tc>
        <w:tc>
          <w:tcPr>
            <w:tcW w:w="146" w:type="dxa"/>
            <w:tcBorders/>
            <w:shd w:fill="CCECFF" w:val="clear"/>
            <w:vAlign w:val="center"/>
          </w:tcPr>
          <w:p>
            <w:pPr>
              <w:pStyle w:val="TableContents"/>
              <w:bidi w:val="0"/>
              <w:spacing w:before="0" w:after="283"/>
              <w:jc w:val="left"/>
              <w:rPr/>
            </w:pPr>
            <w:r>
              <w:rPr/>
              <w:t> </w:t>
            </w:r>
          </w:p>
        </w:tc>
        <w:tc>
          <w:tcPr>
            <w:tcW w:w="1185"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95" w:type="dxa"/>
            <w:gridSpan w:val="2"/>
            <w:tcBorders/>
            <w:shd w:fill="CCECFF" w:val="clear"/>
            <w:vAlign w:val="center"/>
          </w:tcPr>
          <w:p>
            <w:pPr>
              <w:pStyle w:val="TableContents"/>
              <w:bidi w:val="0"/>
              <w:spacing w:before="0" w:after="283"/>
              <w:jc w:val="left"/>
              <w:rPr/>
            </w:pPr>
            <w:r>
              <w:rPr/>
              <w:t> </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3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4,263.8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91"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944"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1,166.8</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3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91"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944"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2,632.6</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3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identifiable segment-related assets</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944"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10,780.6</w:t>
            </w:r>
          </w:p>
        </w:tc>
        <w:tc>
          <w:tcPr>
            <w:tcW w:w="291" w:type="dxa"/>
            <w:tcBorders/>
            <w:shd w:fill="CCECFF"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Reconciliation to total assets:</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91" w:type="dxa"/>
            <w:tcBorders/>
            <w:shd w:fill="CCEC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944"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398.1</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3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Deferred income tax assets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CECFF" w:val="clear"/>
            <w:vAlign w:val="center"/>
          </w:tcPr>
          <w:p>
            <w:pPr>
              <w:pStyle w:val="TableContents"/>
              <w:bidi w:val="0"/>
              <w:spacing w:before="0" w:after="283"/>
              <w:jc w:val="left"/>
              <w:rPr/>
            </w:pPr>
            <w:r>
              <w:rPr/>
              <w:t> </w:t>
            </w:r>
          </w:p>
        </w:tc>
        <w:tc>
          <w:tcPr>
            <w:tcW w:w="2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10,065.6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11,685.4</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b w:val="false"/>
          <w:color w:val="000000"/>
          <w:sz w:val="20"/>
        </w:rPr>
      </w:pPr>
      <w:r>
        <w:rPr>
          <w:rFonts w:ascii="Times New Roman" w:hAnsi="Times New Roman"/>
          <w:b w:val="false"/>
          <w:color w:val="000000"/>
          <w:sz w:val="20"/>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provides net sales, adjusted EBITDA, depreciation expense and additions to property, plant and equipment by reportable segment:</w:t>
      </w:r>
    </w:p>
    <w:tbl>
      <w:tblPr>
        <w:tblW w:w="10205" w:type="dxa"/>
        <w:jc w:val="left"/>
        <w:tblInd w:w="0" w:type="dxa"/>
        <w:tblLayout w:type="fixed"/>
        <w:tblCellMar>
          <w:top w:w="28" w:type="dxa"/>
          <w:left w:w="28" w:type="dxa"/>
          <w:bottom w:w="28" w:type="dxa"/>
          <w:right w:w="28" w:type="dxa"/>
        </w:tblCellMar>
      </w:tblPr>
      <w:tblGrid>
        <w:gridCol w:w="4304"/>
        <w:gridCol w:w="246"/>
        <w:gridCol w:w="211"/>
        <w:gridCol w:w="721"/>
        <w:gridCol w:w="246"/>
        <w:gridCol w:w="246"/>
        <w:gridCol w:w="211"/>
        <w:gridCol w:w="721"/>
        <w:gridCol w:w="266"/>
        <w:gridCol w:w="246"/>
        <w:gridCol w:w="211"/>
        <w:gridCol w:w="721"/>
        <w:gridCol w:w="266"/>
        <w:gridCol w:w="246"/>
        <w:gridCol w:w="211"/>
        <w:gridCol w:w="721"/>
        <w:gridCol w:w="411"/>
      </w:tblGrid>
      <w:tr>
        <w:trPr/>
        <w:tc>
          <w:tcPr>
            <w:tcW w:w="43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0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3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430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1,007.7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210.3</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382.1</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697.5</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1,163.1</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651.3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342.3</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850.5</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952.4</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net sales</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1,599.5</w:t>
            </w:r>
          </w:p>
        </w:tc>
        <w:tc>
          <w:tcPr>
            <w:tcW w:w="2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2,381.4</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5,519.4</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6,910.2</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adjusted EBITDA:</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228.6</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174.9</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189.9</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segment adjusted EBITDA</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248.6</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347.6</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820.2</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900.5</w:t>
            </w:r>
          </w:p>
        </w:tc>
        <w:tc>
          <w:tcPr>
            <w:tcW w:w="411" w:type="dxa"/>
            <w:tcBorders/>
            <w:shd w:fill="CCECFF" w:val="clear"/>
            <w:vAlign w:val="center"/>
          </w:tcPr>
          <w:p>
            <w:pPr>
              <w:pStyle w:val="TableContents"/>
              <w:bidi w:val="0"/>
              <w:spacing w:before="0" w:after="283"/>
              <w:jc w:val="left"/>
              <w:rPr/>
            </w:pPr>
            <w:r>
              <w:rPr/>
              <w:t> </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(329.1</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(414.3</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costs, net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2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2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4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impairments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2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color w:val="000000"/>
              </w:rPr>
            </w:pPr>
            <w:r>
              <w:rPr>
                <w:color w:val="000000"/>
              </w:rPr>
              <w:t>—</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2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color w:val="000000"/>
              </w:rPr>
            </w:pPr>
            <w:r>
              <w:rPr>
                <w:color w:val="000000"/>
              </w:rPr>
              <w:t>—</w:t>
            </w:r>
          </w:p>
        </w:tc>
        <w:tc>
          <w:tcPr>
            <w:tcW w:w="411" w:type="dxa"/>
            <w:tcBorders/>
            <w:shd w:fill="CCECFF" w:val="clear"/>
            <w:vAlign w:val="center"/>
          </w:tcPr>
          <w:p>
            <w:pPr>
              <w:pStyle w:val="TableContents"/>
              <w:bidi w:val="0"/>
              <w:spacing w:before="0" w:after="283"/>
              <w:jc w:val="left"/>
              <w:rPr/>
            </w:pPr>
            <w:r>
              <w:rPr/>
              <w:t> </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 transformation and integration costs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Acquisition accounting adjustments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4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claims and litigation settlements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Recovery (reserve) of Russian accounts receivable</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color w:val="000000"/>
              </w:rPr>
            </w:pPr>
            <w:r>
              <w:rPr>
                <w:color w:val="000000"/>
              </w:rPr>
              <w:t>—</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4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Cyber incident costs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430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(95.5</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operating income (loss)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jc w:val="left"/>
              <w:rPr/>
            </w:pPr>
            <w:r>
              <w:rPr/>
              <w:t> </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expense:</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depreciation expense</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4" w:type="dxa"/>
            <w:tcBorders/>
            <w:shd w:fill="CCECFF" w:val="clear"/>
            <w:vAlign w:val="center"/>
          </w:tcPr>
          <w:p>
            <w:pPr>
              <w:pStyle w:val="TableContents"/>
              <w:bidi w:val="0"/>
              <w:spacing w:before="0" w:after="283"/>
              <w:ind w:left="100" w:right="0" w:firstLine="100"/>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jc w:val="left"/>
              <w:rPr/>
            </w:pPr>
            <w:r>
              <w:rPr/>
              <w:t> </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Additions to property, plant and equipment:</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30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04"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additions to property, plant and equipment</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00"/>
        <w:jc w:val="left"/>
        <w:rPr>
          <w:rFonts w:ascii="Times New Roman" w:hAnsi="Times New Roman"/>
          <w:sz w:val="20"/>
        </w:rPr>
      </w:pPr>
      <w:r>
        <w:rPr>
          <w:rFonts w:ascii="Times New Roman" w:hAnsi="Times New Roman"/>
          <w:b w:val="false"/>
          <w:color w:val="000000"/>
          <w:sz w:val="20"/>
        </w:rPr>
        <w:t>Sales to customers located outside of the U.S. comprised 40.1%</w:t>
      </w:r>
      <w:r>
        <w:rPr>
          <w:rFonts w:ascii="Times New Roman" w:hAnsi="Times New Roman"/>
          <w:color w:val="000000"/>
          <w:sz w:val="20"/>
        </w:rPr>
        <w:t xml:space="preserve"> </w:t>
      </w:r>
      <w:r>
        <w:rPr>
          <w:rFonts w:ascii="Times New Roman" w:hAnsi="Times New Roman"/>
          <w:b w:val="false"/>
          <w:color w:val="000000"/>
          <w:sz w:val="20"/>
        </w:rPr>
        <w:t>and 38.7%</w:t>
      </w:r>
      <w:r>
        <w:rPr>
          <w:rFonts w:ascii="Times New Roman" w:hAnsi="Times New Roman"/>
          <w:color w:val="000000"/>
          <w:sz w:val="20"/>
        </w:rPr>
        <w:t xml:space="preserve"> </w:t>
      </w:r>
      <w:r>
        <w:rPr>
          <w:rFonts w:ascii="Times New Roman" w:hAnsi="Times New Roman"/>
          <w:b w:val="false"/>
          <w:color w:val="000000"/>
          <w:sz w:val="20"/>
        </w:rPr>
        <w:t>of total net sales for the three and nine months ended September 30, 2023, respectively, compared to 37.2%</w:t>
      </w:r>
      <w:r>
        <w:rPr>
          <w:rFonts w:ascii="Times New Roman" w:hAnsi="Times New Roman"/>
          <w:color w:val="000000"/>
          <w:sz w:val="20"/>
        </w:rPr>
        <w:t xml:space="preserve"> </w:t>
      </w:r>
      <w:r>
        <w:rPr>
          <w:rFonts w:ascii="Times New Roman" w:hAnsi="Times New Roman"/>
          <w:b w:val="false"/>
          <w:color w:val="000000"/>
          <w:sz w:val="20"/>
        </w:rPr>
        <w:t>and 38.3%</w:t>
      </w:r>
      <w:r>
        <w:rPr>
          <w:rFonts w:ascii="Times New Roman" w:hAnsi="Times New Roman"/>
          <w:color w:val="000000"/>
          <w:sz w:val="20"/>
        </w:rPr>
        <w:t xml:space="preserve"> </w:t>
      </w:r>
      <w:r>
        <w:rPr>
          <w:rFonts w:ascii="Times New Roman" w:hAnsi="Times New Roman"/>
          <w:b w:val="false"/>
          <w:color w:val="000000"/>
          <w:sz w:val="20"/>
        </w:rPr>
        <w:t>of total net sales for the three and nine months ended September 30, 2022, respectively. Sales by geographic region, based on the destination of product shipments or service provided, were as follows:</w:t>
      </w:r>
    </w:p>
    <w:tbl>
      <w:tblPr>
        <w:tblW w:w="9460" w:type="dxa"/>
        <w:jc w:val="left"/>
        <w:tblInd w:w="0" w:type="dxa"/>
        <w:tblLayout w:type="fixed"/>
        <w:tblCellMar>
          <w:top w:w="28" w:type="dxa"/>
          <w:left w:w="28" w:type="dxa"/>
          <w:bottom w:w="28" w:type="dxa"/>
          <w:right w:w="28" w:type="dxa"/>
        </w:tblCellMar>
      </w:tblPr>
      <w:tblGrid>
        <w:gridCol w:w="2671"/>
        <w:gridCol w:w="146"/>
        <w:gridCol w:w="211"/>
        <w:gridCol w:w="72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72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Geographic Region:</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957.4</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Europe, Middle East and Africa</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297.8</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172.2</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Caribbean and Latin America</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net sales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1,599.5</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Geographic Region:</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1,495.1</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Europe, Middle East and Africa</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396.0</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210.9</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Caribbean and Latin America</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148.6</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net sales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1,007.7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257.9</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760" w:type="dxa"/>
        <w:jc w:val="left"/>
        <w:tblInd w:w="0" w:type="dxa"/>
        <w:tblLayout w:type="fixed"/>
        <w:tblCellMar>
          <w:top w:w="28" w:type="dxa"/>
          <w:left w:w="28" w:type="dxa"/>
          <w:bottom w:w="28" w:type="dxa"/>
          <w:right w:w="28" w:type="dxa"/>
        </w:tblCellMar>
      </w:tblPr>
      <w:tblGrid>
        <w:gridCol w:w="2671"/>
        <w:gridCol w:w="146"/>
        <w:gridCol w:w="211"/>
        <w:gridCol w:w="721"/>
        <w:gridCol w:w="146"/>
        <w:gridCol w:w="146"/>
        <w:gridCol w:w="211"/>
        <w:gridCol w:w="721"/>
        <w:gridCol w:w="146"/>
        <w:gridCol w:w="146"/>
        <w:gridCol w:w="211"/>
        <w:gridCol w:w="571"/>
        <w:gridCol w:w="146"/>
        <w:gridCol w:w="146"/>
        <w:gridCol w:w="211"/>
        <w:gridCol w:w="571"/>
        <w:gridCol w:w="146"/>
        <w:gridCol w:w="146"/>
        <w:gridCol w:w="211"/>
        <w:gridCol w:w="721"/>
        <w:gridCol w:w="146"/>
        <w:gridCol w:w="146"/>
        <w:gridCol w:w="211"/>
        <w:gridCol w:w="72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Geographic Region:</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3,380.8</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Europe, Middle East and Africa</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994.1</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526.1</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Caribbean and Latin America</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311.0</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net sales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Geographic Region:</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4,266.5</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Europe, Middle East and Africa</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1,180.8</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637.4</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Caribbean and Latin America</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461.3</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net sales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651.3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1,311.0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6,910.2</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RESTRUCTURING COSTS,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00"/>
        <w:jc w:val="left"/>
        <w:rPr>
          <w:rFonts w:ascii="Times New Roman" w:hAnsi="Times New Roman"/>
          <w:b w:val="false"/>
          <w:color w:val="000000"/>
          <w:sz w:val="20"/>
        </w:rPr>
      </w:pPr>
      <w:r>
        <w:rPr>
          <w:rFonts w:ascii="Times New Roman" w:hAnsi="Times New Roman"/>
          <w:b w:val="false"/>
          <w:color w:val="000000"/>
          <w:sz w:val="20"/>
        </w:rPr>
        <w:t>The Company’s net pretax restructuring activity included in restructuring costs, net on the Condensed Consolidated Statements of Operations, by segment, was as follows:</w:t>
      </w:r>
    </w:p>
    <w:tbl>
      <w:tblPr>
        <w:tblW w:w="4480" w:type="dxa"/>
        <w:jc w:val="left"/>
        <w:tblInd w:w="0" w:type="dxa"/>
        <w:tblLayout w:type="fixed"/>
        <w:tblCellMar>
          <w:top w:w="28" w:type="dxa"/>
          <w:left w:w="28" w:type="dxa"/>
          <w:bottom w:w="28" w:type="dxa"/>
          <w:right w:w="28" w:type="dxa"/>
        </w:tblCellMar>
      </w:tblPr>
      <w:tblGrid>
        <w:gridCol w:w="601"/>
        <w:gridCol w:w="146"/>
        <w:gridCol w:w="217"/>
        <w:gridCol w:w="479"/>
        <w:gridCol w:w="170"/>
        <w:gridCol w:w="150"/>
        <w:gridCol w:w="217"/>
        <w:gridCol w:w="371"/>
        <w:gridCol w:w="146"/>
        <w:gridCol w:w="146"/>
        <w:gridCol w:w="211"/>
        <w:gridCol w:w="466"/>
        <w:gridCol w:w="146"/>
        <w:gridCol w:w="146"/>
        <w:gridCol w:w="211"/>
        <w:gridCol w:w="466"/>
        <w:gridCol w:w="19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CCS</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170" w:type="dxa"/>
            <w:tcBorders/>
            <w:shd w:fill="CCECFF" w:val="clear"/>
            <w:vAlign w:val="center"/>
          </w:tcPr>
          <w:p>
            <w:pPr>
              <w:pStyle w:val="TableContents"/>
              <w:bidi w:val="0"/>
              <w:spacing w:before="0" w:after="283"/>
              <w:jc w:val="left"/>
              <w:rPr/>
            </w:pPr>
            <w:r>
              <w:rPr/>
              <w:t> </w:t>
            </w:r>
          </w:p>
        </w:tc>
        <w:tc>
          <w:tcPr>
            <w:tcW w:w="150"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191" w:type="dxa"/>
            <w:tcBorders/>
            <w:shd w:fill="CCECFF" w:val="clear"/>
            <w:vAlign w:val="center"/>
          </w:tcPr>
          <w:p>
            <w:pPr>
              <w:pStyle w:val="TableContents"/>
              <w:bidi w:val="0"/>
              <w:spacing w:before="0" w:after="283"/>
              <w:jc w:val="left"/>
              <w:rPr/>
            </w:pPr>
            <w:r>
              <w:rPr/>
              <w:t> </w:t>
            </w:r>
          </w:p>
        </w:tc>
      </w:tr>
      <w:tr>
        <w:trPr/>
        <w:tc>
          <w:tcPr>
            <w:tcW w:w="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OWN</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191" w:type="dxa"/>
            <w:tcBorders/>
            <w:shd w:fill="FFFFFF" w:val="clear"/>
            <w:vAlign w:val="center"/>
          </w:tcPr>
          <w:p>
            <w:pPr>
              <w:pStyle w:val="TableContents"/>
              <w:bidi w:val="0"/>
              <w:spacing w:before="0" w:after="283"/>
              <w:jc w:val="left"/>
              <w:rPr/>
            </w:pPr>
            <w:r>
              <w:rPr/>
              <w:t> </w:t>
            </w:r>
          </w:p>
        </w:tc>
      </w:tr>
      <w:tr>
        <w:trPr/>
        <w:tc>
          <w:tcPr>
            <w:tcW w:w="60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NICS</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47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7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3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91" w:type="dxa"/>
            <w:tcBorders/>
            <w:shd w:fill="CCECFF" w:val="clear"/>
            <w:vAlign w:val="center"/>
          </w:tcPr>
          <w:p>
            <w:pPr>
              <w:pStyle w:val="TableContents"/>
              <w:bidi w:val="0"/>
              <w:spacing w:before="0" w:after="283"/>
              <w:jc w:val="left"/>
              <w:rPr/>
            </w:pPr>
            <w:r>
              <w:rPr/>
              <w:t> </w:t>
            </w:r>
          </w:p>
        </w:tc>
      </w:tr>
      <w:tr>
        <w:trPr/>
        <w:tc>
          <w:tcPr>
            <w:tcW w:w="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91" w:type="dxa"/>
            <w:tcBorders/>
            <w:shd w:fill="FFFFFF" w:val="clear"/>
            <w:vAlign w:val="center"/>
          </w:tcPr>
          <w:p>
            <w:pPr>
              <w:pStyle w:val="TableContents"/>
              <w:bidi w:val="0"/>
              <w:spacing w:before="0" w:after="283"/>
              <w:jc w:val="left"/>
              <w:rPr/>
            </w:pPr>
            <w:r>
              <w:rPr/>
              <w:t> </w:t>
            </w:r>
          </w:p>
        </w:tc>
      </w:tr>
      <w:tr>
        <w:trPr/>
        <w:tc>
          <w:tcPr>
            <w:tcW w:w="60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Home</w:t>
            </w:r>
          </w:p>
        </w:tc>
        <w:tc>
          <w:tcPr>
            <w:tcW w:w="146" w:type="dxa"/>
            <w:tcBorders/>
            <w:shd w:fill="CCECFF" w:val="clear"/>
            <w:vAlign w:val="center"/>
          </w:tcPr>
          <w:p>
            <w:pPr>
              <w:pStyle w:val="TableContents"/>
              <w:bidi w:val="0"/>
              <w:spacing w:before="0" w:after="283"/>
              <w:jc w:val="left"/>
              <w:rPr/>
            </w:pPr>
            <w:r>
              <w:rPr/>
              <w:t> </w:t>
            </w:r>
          </w:p>
        </w:tc>
        <w:tc>
          <w:tcPr>
            <w:tcW w:w="2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CECFF" w:val="clear"/>
            <w:vAlign w:val="center"/>
          </w:tcPr>
          <w:p>
            <w:pPr>
              <w:pStyle w:val="TableContents"/>
              <w:bidi w:val="0"/>
              <w:spacing w:before="0" w:after="283"/>
              <w:jc w:val="left"/>
              <w:rPr/>
            </w:pPr>
            <w:r>
              <w:rPr/>
              <w:t> </w:t>
            </w:r>
          </w:p>
        </w:tc>
        <w:tc>
          <w:tcPr>
            <w:tcW w:w="2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b w:val="false"/>
          <w:color w:val="000000"/>
          <w:sz w:val="20"/>
        </w:rPr>
      </w:pPr>
      <w:r>
        <w:rPr>
          <w:rFonts w:ascii="Times New Roman" w:hAnsi="Times New Roman"/>
          <w:b w:val="false"/>
          <w:color w:val="000000"/>
          <w:sz w:val="20"/>
        </w:rPr>
        <w:t>Restructuring liabilities were included in the Company’s Condensed Consolidated Balance Sheets as follows:</w:t>
      </w:r>
    </w:p>
    <w:tbl>
      <w:tblPr>
        <w:tblW w:w="5370" w:type="dxa"/>
        <w:jc w:val="left"/>
        <w:tblInd w:w="0" w:type="dxa"/>
        <w:tblLayout w:type="fixed"/>
        <w:tblCellMar>
          <w:top w:w="28" w:type="dxa"/>
          <w:left w:w="28" w:type="dxa"/>
          <w:bottom w:w="28" w:type="dxa"/>
          <w:right w:w="28" w:type="dxa"/>
        </w:tblCellMar>
      </w:tblPr>
      <w:tblGrid>
        <w:gridCol w:w="2461"/>
        <w:gridCol w:w="146"/>
        <w:gridCol w:w="369"/>
        <w:gridCol w:w="816"/>
        <w:gridCol w:w="146"/>
        <w:gridCol w:w="146"/>
        <w:gridCol w:w="341"/>
        <w:gridCol w:w="754"/>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and other liabilities</w:t>
            </w:r>
          </w:p>
        </w:tc>
        <w:tc>
          <w:tcPr>
            <w:tcW w:w="146" w:type="dxa"/>
            <w:tcBorders/>
            <w:shd w:fill="CCECFF" w:val="clear"/>
            <w:vAlign w:val="center"/>
          </w:tcPr>
          <w:p>
            <w:pPr>
              <w:pStyle w:val="TableContents"/>
              <w:bidi w:val="0"/>
              <w:spacing w:before="0" w:after="283"/>
              <w:jc w:val="left"/>
              <w:rPr/>
            </w:pPr>
            <w:r>
              <w:rPr/>
              <w:t> </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4"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w:t>
            </w:r>
          </w:p>
        </w:tc>
        <w:tc>
          <w:tcPr>
            <w:tcW w:w="191" w:type="dxa"/>
            <w:tcBorders/>
            <w:shd w:fill="CCECFF"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restructuring liabilities</w:t>
            </w:r>
          </w:p>
        </w:tc>
        <w:tc>
          <w:tcPr>
            <w:tcW w:w="146" w:type="dxa"/>
            <w:tcBorders/>
            <w:shd w:fill="CCECFF" w:val="clear"/>
            <w:vAlign w:val="center"/>
          </w:tcPr>
          <w:p>
            <w:pPr>
              <w:pStyle w:val="TableContents"/>
              <w:bidi w:val="0"/>
              <w:spacing w:before="0" w:after="283"/>
              <w:jc w:val="left"/>
              <w:rPr/>
            </w:pPr>
            <w:r>
              <w:rPr/>
              <w:t> </w:t>
            </w:r>
          </w:p>
        </w:tc>
        <w:tc>
          <w:tcPr>
            <w:tcW w:w="3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CommScope NEXT Restructuring Actions</w:t>
      </w:r>
    </w:p>
    <w:p>
      <w:pPr>
        <w:pStyle w:val="TextBody"/>
        <w:bidi w:val="0"/>
        <w:spacing w:before="120" w:after="200"/>
        <w:jc w:val="left"/>
        <w:rPr>
          <w:rFonts w:ascii="Times New Roman" w:hAnsi="Times New Roman"/>
          <w:b w:val="false"/>
          <w:color w:val="000000"/>
          <w:sz w:val="20"/>
        </w:rPr>
      </w:pPr>
      <w:r>
        <w:rPr>
          <w:rFonts w:ascii="Times New Roman" w:hAnsi="Times New Roman"/>
          <w:b w:val="false"/>
          <w:color w:val="000000"/>
          <w:sz w:val="20"/>
        </w:rPr>
        <w:t>In the first quarter of 2021, the Company announced and began implementing a business transformation initiative called CommScope NEXT. This ongoing initiative is designed to drive shareholder value through three pillars: profitable growth, operational efficiency and portfolio optimization. The activity within the liability established for CommScope NEXT restructuring actions was as follows:</w:t>
      </w:r>
    </w:p>
    <w:tbl>
      <w:tblPr>
        <w:tblW w:w="7961" w:type="dxa"/>
        <w:jc w:val="left"/>
        <w:tblInd w:w="0" w:type="dxa"/>
        <w:tblLayout w:type="fixed"/>
        <w:tblCellMar>
          <w:top w:w="28" w:type="dxa"/>
          <w:left w:w="28" w:type="dxa"/>
          <w:bottom w:w="28" w:type="dxa"/>
          <w:right w:w="28" w:type="dxa"/>
        </w:tblCellMar>
      </w:tblPr>
      <w:tblGrid>
        <w:gridCol w:w="3646"/>
        <w:gridCol w:w="146"/>
        <w:gridCol w:w="532"/>
        <w:gridCol w:w="1328"/>
        <w:gridCol w:w="166"/>
        <w:gridCol w:w="146"/>
        <w:gridCol w:w="211"/>
        <w:gridCol w:w="526"/>
        <w:gridCol w:w="166"/>
        <w:gridCol w:w="146"/>
        <w:gridCol w:w="211"/>
        <w:gridCol w:w="526"/>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Employee-Related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June 30, 2023</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3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w:t>
            </w:r>
          </w:p>
        </w:tc>
        <w:tc>
          <w:tcPr>
            <w:tcW w:w="211" w:type="dxa"/>
            <w:tcBorders/>
            <w:shd w:fill="CCECFF"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expense, net</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211" w:type="dxa"/>
            <w:tcBorders/>
            <w:shd w:fill="FFFFFF" w:val="clear"/>
            <w:vAlign w:val="center"/>
          </w:tcPr>
          <w:p>
            <w:pPr>
              <w:pStyle w:val="TableContents"/>
              <w:bidi w:val="0"/>
              <w:spacing w:before="0" w:after="283"/>
              <w:jc w:val="left"/>
              <w:rPr/>
            </w:pPr>
            <w:r>
              <w:rPr/>
              <w:t> </w:t>
            </w:r>
          </w:p>
        </w:tc>
      </w:tr>
      <w:tr>
        <w:trPr/>
        <w:tc>
          <w:tcPr>
            <w:tcW w:w="36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32" w:type="dxa"/>
            <w:tcBorders/>
            <w:shd w:fill="CCECFF" w:val="clear"/>
            <w:vAlign w:val="center"/>
          </w:tcPr>
          <w:p>
            <w:pPr>
              <w:pStyle w:val="TableContents"/>
              <w:bidi w:val="0"/>
              <w:spacing w:before="0" w:after="283"/>
              <w:jc w:val="left"/>
              <w:rPr/>
            </w:pPr>
            <w:r>
              <w:rPr/>
              <w:t> </w:t>
            </w:r>
          </w:p>
        </w:tc>
        <w:tc>
          <w:tcPr>
            <w:tcW w:w="132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exchange and other non-cash items</w:t>
            </w:r>
          </w:p>
        </w:tc>
        <w:tc>
          <w:tcPr>
            <w:tcW w:w="146" w:type="dxa"/>
            <w:tcBorders/>
            <w:shd w:fill="FFFFFF" w:val="cle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6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3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w:t>
            </w:r>
          </w:p>
        </w:tc>
        <w:tc>
          <w:tcPr>
            <w:tcW w:w="211" w:type="dxa"/>
            <w:tcBorders/>
            <w:shd w:fill="CCECFF"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expense (reversals), net</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w:t>
            </w:r>
          </w:p>
        </w:tc>
        <w:tc>
          <w:tcPr>
            <w:tcW w:w="211" w:type="dxa"/>
            <w:tcBorders/>
            <w:shd w:fill="FFFFFF" w:val="clear"/>
            <w:vAlign w:val="center"/>
          </w:tcPr>
          <w:p>
            <w:pPr>
              <w:pStyle w:val="TableContents"/>
              <w:bidi w:val="0"/>
              <w:spacing w:before="0" w:after="283"/>
              <w:jc w:val="left"/>
              <w:rPr/>
            </w:pPr>
            <w:r>
              <w:rPr/>
              <w:t> </w:t>
            </w:r>
          </w:p>
        </w:tc>
      </w:tr>
      <w:tr>
        <w:trPr/>
        <w:tc>
          <w:tcPr>
            <w:tcW w:w="36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received (paid)</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32" w:type="dxa"/>
            <w:tcBorders/>
            <w:shd w:fill="CCECFF" w:val="clear"/>
            <w:vAlign w:val="center"/>
          </w:tcPr>
          <w:p>
            <w:pPr>
              <w:pStyle w:val="TableContents"/>
              <w:bidi w:val="0"/>
              <w:spacing w:before="0" w:after="283"/>
              <w:jc w:val="left"/>
              <w:rPr/>
            </w:pPr>
            <w:r>
              <w:rPr/>
              <w:t> </w:t>
            </w:r>
          </w:p>
        </w:tc>
        <w:tc>
          <w:tcPr>
            <w:tcW w:w="132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exchange and other non-cash items</w:t>
            </w:r>
          </w:p>
        </w:tc>
        <w:tc>
          <w:tcPr>
            <w:tcW w:w="146" w:type="dxa"/>
            <w:tcBorders/>
            <w:shd w:fill="FFFFFF" w:val="cle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val="false"/>
          <w:color w:val="000000"/>
          <w:sz w:val="20"/>
        </w:rPr>
        <w:t>CommScope NEXT actions to date have included the closure of an international manufacturing facility, as well as headcount reductions in other manufacturing locations and engineering, marketing, sales and administrative functions and asset impairments associated with restructuring related actions. During the three months ended September 30, 2023, additional expenses were recorded for severance and other costs, which included an asset impairment for certain leased real estate. During the first quarter of 2023, the Company completed the sale of an international manufacturing facility which is reflected in the nine months ended September 30, 2023. The Company recorded net proceeds of $38.4</w:t>
      </w:r>
      <w:r>
        <w:rPr>
          <w:rFonts w:ascii="Times New Roman" w:hAnsi="Times New Roman"/>
          <w:color w:val="000000"/>
          <w:sz w:val="20"/>
        </w:rPr>
        <w:t xml:space="preserve"> </w:t>
      </w:r>
      <w:r>
        <w:rPr>
          <w:rFonts w:ascii="Times New Roman" w:hAnsi="Times New Roman"/>
          <w:b w:val="false"/>
          <w:color w:val="000000"/>
          <w:sz w:val="20"/>
        </w:rPr>
        <w:t>million related to the sale, resulting in a gain on the sale of $20.2</w:t>
      </w:r>
      <w:r>
        <w:rPr>
          <w:rFonts w:ascii="Times New Roman" w:hAnsi="Times New Roman"/>
          <w:color w:val="000000"/>
          <w:sz w:val="20"/>
        </w:rPr>
        <w:t xml:space="preserve"> </w:t>
      </w:r>
      <w:r>
        <w:rPr>
          <w:rFonts w:ascii="Times New Roman" w:hAnsi="Times New Roman"/>
          <w:b w:val="false"/>
          <w:color w:val="000000"/>
          <w:sz w:val="20"/>
        </w:rPr>
        <w:t>million that was partially offset by severance and other costs, and included in the other category in the table above and in restructuring costs, net</w:t>
      </w:r>
      <w:r>
        <w:rPr>
          <w:rFonts w:ascii="Times New Roman" w:hAnsi="Times New Roman"/>
          <w:color w:val="000000"/>
          <w:sz w:val="20"/>
        </w:rPr>
        <w:t xml:space="preserve"> </w:t>
      </w:r>
      <w:r>
        <w:rPr>
          <w:rFonts w:ascii="Times New Roman" w:hAnsi="Times New Roman"/>
          <w:b w:val="false"/>
          <w:color w:val="000000"/>
          <w:sz w:val="20"/>
        </w:rPr>
        <w:t>on the Condensed Consolidated Statements of Operations. The Company simultaneously entered into a sale leaseback transaction whereby a minor portion of the building used to support research and development operations was leased back for a term of nine years</w:t>
      </w:r>
      <w:r>
        <w:rPr>
          <w:rFonts w:ascii="Calibri;sans-serif" w:hAnsi="Calibri;sans-serif"/>
          <w:color w:val="000000"/>
          <w:sz w:val="22"/>
        </w:rPr>
        <w:t xml:space="preserve"> </w:t>
      </w:r>
      <w:r>
        <w:rPr>
          <w:rFonts w:ascii="Times New Roman" w:hAnsi="Times New Roman"/>
          <w:b w:val="false"/>
          <w:color w:val="000000"/>
          <w:sz w:val="20"/>
        </w:rPr>
        <w:t xml:space="preserve">with annual payments that range from </w:t>
      </w:r>
      <w:r>
        <w:rPr>
          <w:rFonts w:ascii="Calibri;sans-serif" w:hAnsi="Calibri;sans-serif"/>
          <w:color w:val="000000"/>
          <w:sz w:val="22"/>
        </w:rPr>
        <w:t>€</w:t>
      </w:r>
      <w:r>
        <w:rPr>
          <w:rFonts w:ascii="Times New Roman" w:hAnsi="Times New Roman"/>
          <w:b w:val="false"/>
          <w:color w:val="000000"/>
          <w:sz w:val="20"/>
        </w:rPr>
        <w:t>800</w:t>
      </w:r>
      <w:r>
        <w:rPr>
          <w:rFonts w:ascii="Calibri;sans-serif" w:hAnsi="Calibri;sans-serif"/>
          <w:color w:val="000000"/>
          <w:sz w:val="22"/>
        </w:rPr>
        <w:t xml:space="preserve"> </w:t>
      </w:r>
      <w:r>
        <w:rPr>
          <w:rFonts w:ascii="Times New Roman" w:hAnsi="Times New Roman"/>
          <w:b w:val="false"/>
          <w:color w:val="000000"/>
          <w:sz w:val="20"/>
        </w:rPr>
        <w:t xml:space="preserve">thousand to </w:t>
      </w:r>
      <w:r>
        <w:rPr>
          <w:rFonts w:ascii="Calibri;sans-serif" w:hAnsi="Calibri;sans-serif"/>
          <w:color w:val="000000"/>
          <w:sz w:val="22"/>
        </w:rPr>
        <w:t>€</w:t>
      </w:r>
      <w:r>
        <w:rPr>
          <w:rFonts w:ascii="Times New Roman" w:hAnsi="Times New Roman"/>
          <w:b w:val="false"/>
          <w:color w:val="000000"/>
          <w:sz w:val="20"/>
        </w:rPr>
        <w:t>1.5</w:t>
      </w:r>
      <w:r>
        <w:rPr>
          <w:rFonts w:ascii="Calibri;sans-serif" w:hAnsi="Calibri;sans-serif"/>
          <w:color w:val="000000"/>
          <w:sz w:val="22"/>
        </w:rPr>
        <w:t xml:space="preserve"> </w:t>
      </w:r>
      <w:r>
        <w:rPr>
          <w:rFonts w:ascii="Times New Roman" w:hAnsi="Times New Roman"/>
          <w:b w:val="false"/>
          <w:color w:val="000000"/>
          <w:sz w:val="20"/>
        </w:rPr>
        <w:t xml:space="preserve">million. The Company determined the lease to be an operating lease and upon entering into the lease, recognized a right of use asset and operating lease liability of </w:t>
      </w:r>
      <w:r>
        <w:rPr>
          <w:rFonts w:ascii="Calibri;sans-serif" w:hAnsi="Calibri;sans-serif"/>
          <w:color w:val="000000"/>
          <w:sz w:val="22"/>
        </w:rPr>
        <w:t>€</w:t>
      </w:r>
      <w:r>
        <w:rPr>
          <w:rFonts w:ascii="Times New Roman" w:hAnsi="Times New Roman"/>
          <w:b w:val="false"/>
          <w:color w:val="000000"/>
          <w:sz w:val="20"/>
        </w:rPr>
        <w:t>7.5</w:t>
      </w:r>
      <w:r>
        <w:rPr>
          <w:rFonts w:ascii="Calibri;sans-serif" w:hAnsi="Calibri;sans-serif"/>
          <w:color w:val="000000"/>
          <w:sz w:val="22"/>
        </w:rPr>
        <w:t xml:space="preserve"> </w:t>
      </w:r>
      <w:r>
        <w:rPr>
          <w:rFonts w:ascii="Times New Roman" w:hAnsi="Times New Roman"/>
          <w:b w:val="false"/>
          <w:color w:val="000000"/>
          <w:sz w:val="20"/>
        </w:rPr>
        <w:t>million based on the present value of the minimum lease payments discounted using an incremental borrowing rate of 7.15%.</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recognized restructuring charges of $181.6</w:t>
      </w:r>
      <w:r>
        <w:rPr>
          <w:rFonts w:ascii="Times New Roman" w:hAnsi="Times New Roman"/>
          <w:color w:val="000000"/>
          <w:sz w:val="20"/>
        </w:rPr>
        <w:t xml:space="preserve"> </w:t>
      </w:r>
      <w:r>
        <w:rPr>
          <w:rFonts w:ascii="Times New Roman" w:hAnsi="Times New Roman"/>
          <w:b w:val="false"/>
          <w:color w:val="000000"/>
          <w:sz w:val="20"/>
        </w:rPr>
        <w:t>million to date related to CommScope NEXT actions. The Company expects to make cash payments of $21.3</w:t>
      </w:r>
      <w:r>
        <w:rPr>
          <w:rFonts w:ascii="Times New Roman" w:hAnsi="Times New Roman"/>
          <w:color w:val="000000"/>
          <w:sz w:val="20"/>
        </w:rPr>
        <w:t xml:space="preserve"> </w:t>
      </w:r>
      <w:r>
        <w:rPr>
          <w:rFonts w:ascii="Times New Roman" w:hAnsi="Times New Roman"/>
          <w:b w:val="false"/>
          <w:color w:val="000000"/>
          <w:sz w:val="20"/>
        </w:rPr>
        <w:t>million during the remainder of 2023 and additional cash payments of $13.6</w:t>
      </w:r>
      <w:r>
        <w:rPr>
          <w:rFonts w:ascii="Times New Roman" w:hAnsi="Times New Roman"/>
          <w:color w:val="000000"/>
          <w:sz w:val="20"/>
        </w:rPr>
        <w:t xml:space="preserve"> </w:t>
      </w:r>
      <w:r>
        <w:rPr>
          <w:rFonts w:ascii="Times New Roman" w:hAnsi="Times New Roman"/>
          <w:b w:val="false"/>
          <w:color w:val="000000"/>
          <w:sz w:val="20"/>
        </w:rPr>
        <w:t>million in 2024 to settle CommScope NEXT restructuring actions. Additional restructuring actions related to CommScope NEXT are expected to be identified, and the resulting charges and cash requirements could be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SERIES A CONVERTIBLE PREFERRED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4, 2019, the Company issued and sold 1,000,000</w:t>
      </w:r>
      <w:r>
        <w:rPr>
          <w:rFonts w:ascii="Times New Roman" w:hAnsi="Times New Roman"/>
          <w:color w:val="000000"/>
          <w:sz w:val="20"/>
        </w:rPr>
        <w:t xml:space="preserve"> </w:t>
      </w:r>
      <w:r>
        <w:rPr>
          <w:rFonts w:ascii="Times New Roman" w:hAnsi="Times New Roman"/>
          <w:b w:val="false"/>
          <w:color w:val="000000"/>
          <w:sz w:val="20"/>
        </w:rPr>
        <w:t>shares of the Convertible Preferred Stock to Carlyle for $1.0</w:t>
      </w:r>
      <w:r>
        <w:rPr>
          <w:rFonts w:ascii="Times New Roman" w:hAnsi="Times New Roman"/>
          <w:color w:val="000000"/>
          <w:sz w:val="20"/>
        </w:rPr>
        <w:t xml:space="preserve"> </w:t>
      </w:r>
      <w:r>
        <w:rPr>
          <w:rFonts w:ascii="Times New Roman" w:hAnsi="Times New Roman"/>
          <w:b w:val="false"/>
          <w:color w:val="000000"/>
          <w:sz w:val="20"/>
        </w:rPr>
        <w:t>billion, or $1,000</w:t>
      </w:r>
      <w:r>
        <w:rPr>
          <w:rFonts w:ascii="Times New Roman" w:hAnsi="Times New Roman"/>
          <w:color w:val="000000"/>
          <w:sz w:val="20"/>
        </w:rPr>
        <w:t xml:space="preserve"> </w:t>
      </w:r>
      <w:r>
        <w:rPr>
          <w:rFonts w:ascii="Times New Roman" w:hAnsi="Times New Roman"/>
          <w:b w:val="false"/>
          <w:color w:val="000000"/>
          <w:sz w:val="20"/>
        </w:rPr>
        <w:t>per share, pursuant to an Investment Agreement between the Company and Carlyle, dated November 8, 2018. The Convertible Preferred Stock is convertible, at the option of the holders, at any time into shares of CommScope common stock at an initial conversion rate of 36.3636</w:t>
      </w:r>
      <w:r>
        <w:rPr>
          <w:rFonts w:ascii="Times New Roman" w:hAnsi="Times New Roman"/>
          <w:color w:val="000000"/>
          <w:sz w:val="20"/>
        </w:rPr>
        <w:t xml:space="preserve"> </w:t>
      </w:r>
      <w:r>
        <w:rPr>
          <w:rFonts w:ascii="Times New Roman" w:hAnsi="Times New Roman"/>
          <w:b w:val="false"/>
          <w:color w:val="000000"/>
          <w:sz w:val="20"/>
        </w:rPr>
        <w:t>shares of common stock per share of the Convertible Preferred Stock (equivalent to $27.50</w:t>
      </w:r>
      <w:r>
        <w:rPr>
          <w:rFonts w:ascii="Times New Roman" w:hAnsi="Times New Roman"/>
          <w:color w:val="000000"/>
          <w:sz w:val="20"/>
        </w:rPr>
        <w:t xml:space="preserve"> </w:t>
      </w:r>
      <w:r>
        <w:rPr>
          <w:rFonts w:ascii="Times New Roman" w:hAnsi="Times New Roman"/>
          <w:b w:val="false"/>
          <w:color w:val="000000"/>
          <w:sz w:val="20"/>
        </w:rPr>
        <w:t>per common share). The conversion rate is subject to customary antidilution and other adjustments. As of September 30, 2023, the Company had authorized 1,200,000</w:t>
      </w:r>
      <w:r>
        <w:rPr>
          <w:rFonts w:ascii="Times New Roman" w:hAnsi="Times New Roman"/>
          <w:color w:val="000000"/>
          <w:sz w:val="20"/>
        </w:rPr>
        <w:t xml:space="preserve"> </w:t>
      </w:r>
      <w:r>
        <w:rPr>
          <w:rFonts w:ascii="Times New Roman" w:hAnsi="Times New Roman"/>
          <w:b w:val="false"/>
          <w:color w:val="000000"/>
          <w:sz w:val="20"/>
        </w:rPr>
        <w:t>shares of the Convertible Preferred Stock.</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For the three and nine months ended September 30, 2023, the Company paid dividends in-kind of $15.5</w:t>
      </w:r>
      <w:r>
        <w:rPr>
          <w:rFonts w:ascii="Times New Roman" w:hAnsi="Times New Roman"/>
          <w:color w:val="000000"/>
          <w:sz w:val="20"/>
        </w:rPr>
        <w:t xml:space="preserve"> </w:t>
      </w:r>
      <w:r>
        <w:rPr>
          <w:rFonts w:ascii="Times New Roman" w:hAnsi="Times New Roman"/>
          <w:b w:val="false"/>
          <w:color w:val="000000"/>
          <w:sz w:val="20"/>
        </w:rPr>
        <w:t>million and $45.9</w:t>
      </w:r>
      <w:r>
        <w:rPr>
          <w:rFonts w:ascii="Times New Roman" w:hAnsi="Times New Roman"/>
          <w:color w:val="000000"/>
          <w:sz w:val="20"/>
        </w:rPr>
        <w:t xml:space="preserve"> </w:t>
      </w:r>
      <w:r>
        <w:rPr>
          <w:rFonts w:ascii="Times New Roman" w:hAnsi="Times New Roman"/>
          <w:b w:val="false"/>
          <w:color w:val="000000"/>
          <w:sz w:val="20"/>
        </w:rPr>
        <w:t>million, respectively. The Company paid cash dividends of $14.9</w:t>
      </w:r>
      <w:r>
        <w:rPr>
          <w:rFonts w:ascii="Times New Roman" w:hAnsi="Times New Roman"/>
          <w:color w:val="000000"/>
          <w:sz w:val="20"/>
        </w:rPr>
        <w:t xml:space="preserve"> </w:t>
      </w:r>
      <w:r>
        <w:rPr>
          <w:rFonts w:ascii="Times New Roman" w:hAnsi="Times New Roman"/>
          <w:b w:val="false"/>
          <w:color w:val="000000"/>
          <w:sz w:val="20"/>
        </w:rPr>
        <w:t>million during the three months ended September 30, 2022. During the nine months ended September 30, 2022, in addition to the cash dividends of $14.9</w:t>
      </w:r>
      <w:r>
        <w:rPr>
          <w:rFonts w:ascii="Times New Roman" w:hAnsi="Times New Roman"/>
          <w:color w:val="000000"/>
          <w:sz w:val="20"/>
        </w:rPr>
        <w:t xml:space="preserve"> </w:t>
      </w:r>
      <w:r>
        <w:rPr>
          <w:rFonts w:ascii="Times New Roman" w:hAnsi="Times New Roman"/>
          <w:b w:val="false"/>
          <w:color w:val="000000"/>
          <w:sz w:val="20"/>
        </w:rPr>
        <w:t>million, the Company paid dividends in-kind of $29.2</w:t>
      </w:r>
      <w:r>
        <w:rPr>
          <w:rFonts w:ascii="Times New Roman" w:hAnsi="Times New Roman"/>
          <w:color w:val="000000"/>
          <w:sz w:val="20"/>
        </w:rPr>
        <w:t xml:space="preserve"> </w:t>
      </w:r>
      <w:r>
        <w:rPr>
          <w:rFonts w:ascii="Times New Roman" w:hAnsi="Times New Roman"/>
          <w:b w:val="false"/>
          <w:color w:val="000000"/>
          <w:sz w:val="20"/>
        </w:rPr>
        <w:t>million. The dividends paid in-kind were recorded as additional Convertible Preferred Stock in the Condensed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Equity-Based Compensation Plans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$89.5</w:t>
      </w:r>
      <w:r>
        <w:rPr>
          <w:rFonts w:ascii="Times New Roman" w:hAnsi="Times New Roman"/>
          <w:color w:val="000000"/>
          <w:sz w:val="20"/>
        </w:rPr>
        <w:t xml:space="preserve"> </w:t>
      </w:r>
      <w:r>
        <w:rPr>
          <w:rFonts w:ascii="Times New Roman" w:hAnsi="Times New Roman"/>
          <w:b w:val="false"/>
          <w:color w:val="000000"/>
          <w:sz w:val="20"/>
        </w:rPr>
        <w:t>million of total unrecognized compensation expense related to unvested stock options, restricted stock units (RSUs) and performance share units (PSUs) is expected to be recognized over a remaining weighted average period of 2.1</w:t>
      </w:r>
      <w:r>
        <w:rPr>
          <w:rFonts w:ascii="Times New Roman" w:hAnsi="Times New Roman"/>
          <w:color w:val="000000"/>
          <w:sz w:val="20"/>
        </w:rPr>
        <w:t xml:space="preserve"> </w:t>
      </w:r>
      <w:r>
        <w:rPr>
          <w:rFonts w:ascii="Times New Roman" w:hAnsi="Times New Roman"/>
          <w:b w:val="false"/>
          <w:color w:val="000000"/>
          <w:sz w:val="20"/>
        </w:rPr>
        <w:t>years. There were no</w:t>
      </w:r>
      <w:r>
        <w:rPr>
          <w:rFonts w:ascii="Times New Roman" w:hAnsi="Times New Roman"/>
          <w:color w:val="000000"/>
          <w:sz w:val="20"/>
        </w:rPr>
        <w:t xml:space="preserve"> </w:t>
      </w:r>
      <w:r>
        <w:rPr>
          <w:rFonts w:ascii="Times New Roman" w:hAnsi="Times New Roman"/>
          <w:b w:val="false"/>
          <w:color w:val="000000"/>
          <w:sz w:val="20"/>
        </w:rPr>
        <w:t>significant capitalized equity-based compensation costs at September 30, 2023.</w:t>
      </w:r>
    </w:p>
    <w:p>
      <w:pPr>
        <w:pStyle w:val="TextBody"/>
        <w:bidi w:val="0"/>
        <w:spacing w:before="240" w:after="200"/>
        <w:jc w:val="left"/>
        <w:rPr>
          <w:rFonts w:ascii="Times New Roman" w:hAnsi="Times New Roman"/>
          <w:b w:val="false"/>
          <w:color w:val="000000"/>
          <w:sz w:val="20"/>
        </w:rPr>
      </w:pPr>
      <w:r>
        <w:rPr>
          <w:rFonts w:ascii="Times New Roman" w:hAnsi="Times New Roman"/>
          <w:b w:val="false"/>
          <w:color w:val="000000"/>
          <w:sz w:val="20"/>
        </w:rPr>
        <w:t>The following table shows a summary of the equity-based compensation expense included in the Condensed Consolidated Statements of Operations:</w:t>
      </w:r>
    </w:p>
    <w:tbl>
      <w:tblPr>
        <w:tblW w:w="7862" w:type="dxa"/>
        <w:jc w:val="left"/>
        <w:tblInd w:w="0" w:type="dxa"/>
        <w:tblLayout w:type="fixed"/>
        <w:tblCellMar>
          <w:top w:w="28" w:type="dxa"/>
          <w:left w:w="28" w:type="dxa"/>
          <w:bottom w:w="28" w:type="dxa"/>
          <w:right w:w="28" w:type="dxa"/>
        </w:tblCellMar>
      </w:tblPr>
      <w:tblGrid>
        <w:gridCol w:w="3741"/>
        <w:gridCol w:w="146"/>
        <w:gridCol w:w="211"/>
        <w:gridCol w:w="466"/>
        <w:gridCol w:w="146"/>
        <w:gridCol w:w="146"/>
        <w:gridCol w:w="211"/>
        <w:gridCol w:w="466"/>
        <w:gridCol w:w="146"/>
        <w:gridCol w:w="146"/>
        <w:gridCol w:w="211"/>
        <w:gridCol w:w="466"/>
        <w:gridCol w:w="146"/>
        <w:gridCol w:w="146"/>
        <w:gridCol w:w="211"/>
        <w:gridCol w:w="46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391" w:type="dxa"/>
            <w:tcBorders/>
            <w:shd w:fill="CCECFF" w:val="clear"/>
            <w:vAlign w:val="center"/>
          </w:tcPr>
          <w:p>
            <w:pPr>
              <w:pStyle w:val="TableContents"/>
              <w:bidi w:val="0"/>
              <w:spacing w:before="0" w:after="283"/>
              <w:jc w:val="left"/>
              <w:rPr/>
            </w:pPr>
            <w:r>
              <w:rPr/>
              <w:t> </w:t>
            </w:r>
          </w:p>
        </w:tc>
      </w:tr>
      <w:tr>
        <w:trPr/>
        <w:tc>
          <w:tcPr>
            <w:tcW w:w="37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391" w:type="dxa"/>
            <w:tcBorders/>
            <w:shd w:fill="FFFFFF" w:val="clear"/>
            <w:vAlign w:val="center"/>
          </w:tcPr>
          <w:p>
            <w:pPr>
              <w:pStyle w:val="TableContents"/>
              <w:bidi w:val="0"/>
              <w:spacing w:before="0" w:after="283"/>
              <w:jc w:val="left"/>
              <w:rPr/>
            </w:pPr>
            <w:r>
              <w:rPr/>
              <w:t> </w:t>
            </w:r>
          </w:p>
        </w:tc>
      </w:tr>
      <w:tr>
        <w:trPr/>
        <w:tc>
          <w:tcPr>
            <w:tcW w:w="374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sales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equity-based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RSUs entitle the holder to shares of common stock after a vesting period of generally three years. The fair value of the awards is determined on the grant date based on the Company’s stock price.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summarizes the RSU activity (in millions, except per share data):</w:t>
      </w:r>
    </w:p>
    <w:tbl>
      <w:tblPr>
        <w:tblW w:w="6635" w:type="dxa"/>
        <w:jc w:val="left"/>
        <w:tblInd w:w="0" w:type="dxa"/>
        <w:tblLayout w:type="fixed"/>
        <w:tblCellMar>
          <w:top w:w="28" w:type="dxa"/>
          <w:left w:w="28" w:type="dxa"/>
          <w:bottom w:w="28" w:type="dxa"/>
          <w:right w:w="28" w:type="dxa"/>
        </w:tblCellMar>
      </w:tblPr>
      <w:tblGrid>
        <w:gridCol w:w="3826"/>
        <w:gridCol w:w="146"/>
        <w:gridCol w:w="210"/>
        <w:gridCol w:w="675"/>
        <w:gridCol w:w="166"/>
        <w:gridCol w:w="146"/>
        <w:gridCol w:w="343"/>
        <w:gridCol w:w="932"/>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Restricted </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share units at June 30, 2023</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67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share units at September 30, 2023</w:t>
            </w:r>
          </w:p>
        </w:tc>
        <w:tc>
          <w:tcPr>
            <w:tcW w:w="146" w:type="dxa"/>
            <w:tcBorders/>
            <w:shd w:fill="CCECFF" w:val="clear"/>
            <w:vAlign w:val="center"/>
          </w:tcPr>
          <w:p>
            <w:pPr>
              <w:pStyle w:val="TableContents"/>
              <w:bidi w:val="0"/>
              <w:spacing w:before="0" w:after="283"/>
              <w:jc w:val="left"/>
              <w:rPr/>
            </w:pPr>
            <w:r>
              <w:rPr/>
              <w:t> </w:t>
            </w:r>
          </w:p>
        </w:tc>
        <w:tc>
          <w:tcPr>
            <w:tcW w:w="21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share units at December 31, 2022</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67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10.66</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shares issued</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67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34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share units at September 30, 2023</w:t>
            </w:r>
          </w:p>
        </w:tc>
        <w:tc>
          <w:tcPr>
            <w:tcW w:w="146" w:type="dxa"/>
            <w:tcBorders/>
            <w:shd w:fill="CCECFF" w:val="clear"/>
            <w:vAlign w:val="center"/>
          </w:tcPr>
          <w:p>
            <w:pPr>
              <w:pStyle w:val="TableContents"/>
              <w:bidi w:val="0"/>
              <w:spacing w:before="0" w:after="283"/>
              <w:jc w:val="left"/>
              <w:rPr/>
            </w:pPr>
            <w:r>
              <w:rPr/>
              <w:t> </w:t>
            </w:r>
          </w:p>
        </w:tc>
        <w:tc>
          <w:tcPr>
            <w:tcW w:w="21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w:t>
            </w:r>
          </w:p>
        </w:tc>
        <w:tc>
          <w:tcPr>
            <w:tcW w:w="191" w:type="dxa"/>
            <w:tcBorders/>
            <w:shd w:fill="CCECFF" w:val="cle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Performance Share Units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PSUs are stock awards in which the number of shares ultimately received by the employee depends on achievement towards a performance measure. Certain of CommScope’s PSUs have an internal performance measure, and the awards vest at the end of three years. The number of shares issued under these awards can vary between 0% and 300% of the number of PSUs granted. The fair value of these awards is determined on the date of grant based on the Company’s stock price.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CommScope also has PSUs with a market condition performance measure based on stock price milestones over a three-year period. The number of shares issued under these awards can vary between 0% to 100% of the number of PSUs granted. In addition, the Company has PSUs with a market condition based on the Company's total stockholder return (TSR) ranking relative to the S&amp;P 500 TSR for a three-year period. The number of shares issued under these awards can vary between 0% to 200% of the number of PSUs granted. The Company uses a Monte Carlo simulation model to estimate the fair value of PSUs with a market condition performance measure at the date of grant. Key assumptions used in the model include the risk-free interest rate, which reflects the yield on zero-coupon U.S. treasury securities, and stock price volatility, which is derived based on the historical volatility of the Company’s stock.</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presents the weighted average assumptions used to estimate the fair value of the awards granted:</w:t>
      </w:r>
    </w:p>
    <w:tbl>
      <w:tblPr>
        <w:tblW w:w="5789" w:type="dxa"/>
        <w:jc w:val="left"/>
        <w:tblInd w:w="0" w:type="dxa"/>
        <w:tblLayout w:type="fixed"/>
        <w:tblCellMar>
          <w:top w:w="28" w:type="dxa"/>
          <w:left w:w="28" w:type="dxa"/>
          <w:bottom w:w="28" w:type="dxa"/>
          <w:right w:w="28" w:type="dxa"/>
        </w:tblCellMar>
      </w:tblPr>
      <w:tblGrid>
        <w:gridCol w:w="3451"/>
        <w:gridCol w:w="146"/>
        <w:gridCol w:w="211"/>
        <w:gridCol w:w="466"/>
        <w:gridCol w:w="271"/>
        <w:gridCol w:w="146"/>
        <w:gridCol w:w="211"/>
        <w:gridCol w:w="571"/>
        <w:gridCol w:w="31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1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fair value at grant date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11.21</w:t>
            </w:r>
          </w:p>
        </w:tc>
        <w:tc>
          <w:tcPr>
            <w:tcW w:w="316" w:type="dxa"/>
            <w:tcBorders/>
            <w:shd w:fill="CCECFF"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summarizes the PSU activity (in millions, except per share data):</w:t>
      </w:r>
    </w:p>
    <w:tbl>
      <w:tblPr>
        <w:tblW w:w="6801" w:type="dxa"/>
        <w:jc w:val="left"/>
        <w:tblInd w:w="0" w:type="dxa"/>
        <w:tblLayout w:type="fixed"/>
        <w:tblCellMar>
          <w:top w:w="28" w:type="dxa"/>
          <w:left w:w="28" w:type="dxa"/>
          <w:bottom w:w="28" w:type="dxa"/>
          <w:right w:w="28" w:type="dxa"/>
        </w:tblCellMar>
      </w:tblPr>
      <w:tblGrid>
        <w:gridCol w:w="3826"/>
        <w:gridCol w:w="146"/>
        <w:gridCol w:w="270"/>
        <w:gridCol w:w="781"/>
        <w:gridCol w:w="166"/>
        <w:gridCol w:w="146"/>
        <w:gridCol w:w="397"/>
        <w:gridCol w:w="878"/>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br/>
              <w:t>Share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share units at June 30, 2023</w:t>
            </w:r>
          </w:p>
        </w:tc>
        <w:tc>
          <w:tcPr>
            <w:tcW w:w="146" w:type="dxa"/>
            <w:tcBorders/>
            <w:shd w:fill="CCECFF" w:val="clear"/>
            <w:vAlign w:val="center"/>
          </w:tcPr>
          <w:p>
            <w:pPr>
              <w:pStyle w:val="TableContents"/>
              <w:bidi w:val="0"/>
              <w:spacing w:before="0" w:after="283"/>
              <w:jc w:val="left"/>
              <w:rPr/>
            </w:pPr>
            <w:r>
              <w:rPr/>
              <w:t> </w:t>
            </w:r>
          </w:p>
        </w:tc>
        <w:tc>
          <w:tcPr>
            <w:tcW w:w="270"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9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share units at September 30, 2023</w:t>
            </w:r>
          </w:p>
        </w:tc>
        <w:tc>
          <w:tcPr>
            <w:tcW w:w="146" w:type="dxa"/>
            <w:tcBorders/>
            <w:shd w:fill="CCECFF" w:val="clear"/>
            <w:vAlign w:val="center"/>
          </w:tcPr>
          <w:p>
            <w:pPr>
              <w:pStyle w:val="TableContents"/>
              <w:bidi w:val="0"/>
              <w:spacing w:before="0" w:after="283"/>
              <w:jc w:val="left"/>
              <w:rPr/>
            </w:pPr>
            <w:r>
              <w:rPr/>
              <w:t> </w:t>
            </w:r>
          </w:p>
        </w:tc>
        <w:tc>
          <w:tcPr>
            <w:tcW w:w="2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9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6.69</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share units at December 31, 2022</w:t>
            </w:r>
          </w:p>
        </w:tc>
        <w:tc>
          <w:tcPr>
            <w:tcW w:w="146" w:type="dxa"/>
            <w:tcBorders/>
            <w:shd w:fill="CCECFF" w:val="clear"/>
            <w:vAlign w:val="center"/>
          </w:tcPr>
          <w:p>
            <w:pPr>
              <w:pStyle w:val="TableContents"/>
              <w:bidi w:val="0"/>
              <w:spacing w:before="0" w:after="283"/>
              <w:jc w:val="left"/>
              <w:rPr/>
            </w:pPr>
            <w:r>
              <w:rPr/>
              <w:t> </w:t>
            </w:r>
          </w:p>
        </w:tc>
        <w:tc>
          <w:tcPr>
            <w:tcW w:w="270"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9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CCECFF" w:val="clear"/>
            <w:vAlign w:val="center"/>
          </w:tcPr>
          <w:p>
            <w:pPr>
              <w:pStyle w:val="TableContents"/>
              <w:bidi w:val="0"/>
              <w:spacing w:before="0" w:after="283"/>
              <w:jc w:val="left"/>
              <w:rPr/>
            </w:pPr>
            <w:r>
              <w:rPr/>
              <w:t> </w:t>
            </w:r>
          </w:p>
        </w:tc>
        <w:tc>
          <w:tcPr>
            <w:tcW w:w="2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39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share units at September 30, 2023</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2, 2023, the Company and Vantiva SA, a société anonyme organized under the Laws of France (Vantiva), entered into a Call Option Agreement pursuant to which the Company has granted Vantiva a binding call option to acquire the Company’s Home segment and substantially all of the associated segment assets and liabilities. The binding call option allows Vantiva’s works council to be informed and consulted prior to the exercise of the option, as is required in France. Vantiva is expected to exercise the call option upon completion of the consultation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Upon exercise of the call option, the Company and Vantiva will enter into a Purchase Agreement pursuant to which Vantiva will acquire the Home segment in exchange for (i) a 25% equity stake in Vantiva (determined on a fully diluted basis) and (ii) an earn-out of up to $100</w:t>
      </w:r>
      <w:r>
        <w:rPr>
          <w:rFonts w:ascii="Times New Roman" w:hAnsi="Times New Roman"/>
          <w:color w:val="000000"/>
          <w:sz w:val="20"/>
        </w:rPr>
        <w:t xml:space="preserve"> </w:t>
      </w:r>
      <w:r>
        <w:rPr>
          <w:rFonts w:ascii="Times New Roman" w:hAnsi="Times New Roman"/>
          <w:b w:val="false"/>
          <w:color w:val="000000"/>
          <w:sz w:val="20"/>
        </w:rPr>
        <w:t>million in the aggregate. The earn-out payments are contingent on Vantiva achieving adjusted EBITDA equal to or greater than €400,000,000</w:t>
      </w:r>
      <w:r>
        <w:rPr>
          <w:rFonts w:ascii="Times New Roman" w:hAnsi="Times New Roman"/>
          <w:color w:val="000000"/>
          <w:sz w:val="20"/>
        </w:rPr>
        <w:t xml:space="preserve"> </w:t>
      </w:r>
      <w:r>
        <w:rPr>
          <w:rFonts w:ascii="Times New Roman" w:hAnsi="Times New Roman"/>
          <w:b w:val="false"/>
          <w:color w:val="000000"/>
          <w:sz w:val="20"/>
        </w:rPr>
        <w:t>for one or more of Vantiva’s first five fiscal years following the closing of the transaction. The earn-out payment with respect to any fiscal year will be subject to an additional annual cap, the amount of which will depend on certain elections made by the Company following Vantiva reaching the €400,000,000</w:t>
      </w:r>
      <w:r>
        <w:rPr>
          <w:rFonts w:ascii="Times New Roman" w:hAnsi="Times New Roman"/>
          <w:color w:val="000000"/>
          <w:sz w:val="20"/>
        </w:rPr>
        <w:t xml:space="preserve"> </w:t>
      </w:r>
      <w:r>
        <w:rPr>
          <w:rFonts w:ascii="Times New Roman" w:hAnsi="Times New Roman"/>
          <w:b w:val="false"/>
          <w:color w:val="000000"/>
          <w:sz w:val="20"/>
        </w:rPr>
        <w:t>adjusted EBITDA threshold for the first time, and on Vantiva’s maintenance of certain liquidity levels (after giving effect to such payment).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closing of the transaction is subject to various conditions, including, among other things, required government approvals and the approval of certain aspects of the transaction by Vantiva’s shareholders.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divestiture of the Home segment is expected to meet the “held for sale” criteria in the fourth quarter of 2023, and the Company has determined that it represents a strategic shift that will have a major effect on the Company’s operations. As such, the results of operations, including any expected loss recognized, will be reclassified to discontinued operations on the Consolidated Statements of Operations and retrospectively for all periods presented beginning in the fourth quarter of 2023. In addition, the assets and liabilities will be presented separately on the Consolidated Balance Sheets for both current and prior periods beginning in the fourth quarter of 2023. The Company could incur a loss upon closing the transaction but is unable to estimate with certainty, pending determination of amounts to be transferred. The transaction is expected to close in the fourth quarter of 2023 or the first quarter of 2024.</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bookmarkStart w:id="12" w:name="item_2_managements_discussion_analysis_f"/>
      <w:bookmarkEnd w:id="1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narrative is an analysis of the three and nine months ended September 30, 2023 compared to the three and nine months ended September 30, 2022.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2022 (2022 Annual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CommScope NEXT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2021, we have been engaged in a transformation initiative referred to as CommScope NEXT, which is designed to drive shareholder value through three pillars: profitable growth, operational efficiency and portfolio optimization. We believe these efforts are critical to making us more competitive and allowing us to invest in growth, de-lever and maximize stockholder and other stakeholder value in the future. In 2022, CommScope NEXT generated positive impacts on net sales, profitability and cash flow from our execution on pricing initiatives, expanding capacity and driving operational efficiencies. In 2023, we are experiencing headwinds related to a slow-down in spending by our customers as discussed further below, but we expect to continue to execute under CommScope NEXT, improving our profitability and cash flows by continuing to drive operational efficiencies and focusing on portfolio optimization. To that end, we incurred $20.4 million and $51.8 million of net restructuring costs and $16.8 million and $25.9 million of transaction, transformation and integration costs during the three and nine months ended September 30, 2023, respectively. During the three and nine months ended September 30, 2022, we incurred $2.5 million and $53.1 million, respectively, of net restructuring costs and $5.9 million and $36.4 million, respectively, of transaction, transformation and integration costs. These costs were primarily related to CommScope NEXT. We expect to continue to incur such costs during the remainder of 2023 as we continue executing on CommScope NEXT initiatives, and the resulting charges and cash requirements could be material.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a step in our CommScope NEXT transformation plan, in 2021, we announced a plan to separate the Home Networks (Home) segment and began analyzing the financial results of our “Core” business separately from Home. On October 2, 2023, we signed an agreement with Vantiva SA (Vantiva) to divest of our Home segment under a call option agreement as further discussed in Note 11 in the Notes to Unaudited Condensed Consolidated Financial Statements included herein. In light of the planned divestiture, we continue to analyze the financial results of our “Core” business separately from the Home segment. As such, below we refer to certain supplementary Core financial measures, which reflect the results of our Connectivity and Cable Solutions (CCS), Outdoor Wireless Networks (OWN), Networking, Intelligent Cellular and Security Solutions (NICS) and Access Network Solutions (ANS) segments in the aggregate. See the Segment Results section below for the aggregation of our Core financial measures.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Impacts of Current Economic Conditions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Macroeconomic factors such as higher interest rates, inflation and concerns about a global economic slow-down have softened demand for our products, with certain customers reducing purchases as they right-size their inventories and others pausing capital spending. This has negatively impacted our net sales in certain segments for the three and nine months ended September 30, 2023 and may continue to negatively impact net sales during the remainder of 2023 and into the first half of 2024. Conversely, in certain of our segments, we have seen higher demand and favorable pricing impacts that have partially offset the impact of lower demand in our other segments. We are also seeing lower input costs, and we proactively implemented cost savings initiatives that have favorably impacted our profitability for the three and nine months ended September 30, 2023.</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Primarily due to a sustained decrease in the market value of our debt and common stock affecting the overall business and changes in expected future cash flows due to reduced earnings forecasts and current macroeconomic conditions, including a rising interest rate environment, during the third quarter of 2023, we concluded that a triggering event occurred and performed an interim quantitative goodwill impairment test as of September 30, 2023 for our ANS and Building and Data Center Connectivity (BDCC) reporting units, which were most sensitive to negative performance and outlook, to compare the fair value of the reporting unit to their carrying amounts, including the goodwill.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fair value of the reporting unit was determined using a discounted cash flow (DCF) model and a guideline public company approach, with 75% of the value determined using the DCF model and 25% of the value determined using the guideline public company approach. Under the DCF method, the fair value of a reporting unit is based on the present value of estimated future cash flows. To determine the fair value of our ANS and BDCC reporting units, we developed a revised forecast for 2023 and updated the annual forecasts for the years beyond 2023. We used a discount rate of 15% for the ANS reporting unit, which reflects increased risk from our 2022 annual test due to higher market uncertainty, and 12% for the BDCC reporting unit. Under the guideline public company method, the fair value is based upon market multiples of revenue and earnings derived from publicly-traded companies with similar operating and investment characteristics as the reporting unit.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result of our interim goodwill impairment test, we recorded a goodwill impairment charge of $425.9 million for the three and nine months ended September 30, 2023 to partially write down the carrying amount of the ANS reporting unit goodwill. There was no impairment identified in our BDCC reporting unit as of September 30, 2023.</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Considering the low headroom going forward for each of the ANS and BDCC reporting units, there is a risk for future impairment in the event of further declines in general economic, market or business conditions or any significant unfavorable change in the forecasted cash flows, weighted average cost of capital or growth rates. If current and long-term projections for the ANS and BDCC reporting units are not realized or decrease materially, we may be required to recognize additional goodwill impairment charges, and these charges could be material to our results of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third quarter of 2023, we also determined there was an indicator of impairment for long-lived assets in our Home segment. Our assessment utilized a held in use framework, giving consideration to the expectation that, more likely than not, our Home segment (asset group) would be sold before the end of its previously estimated useful life, due to the recently announced planned divestiture. We estimated the fair value of the asset group using Company-specific inputs, including estimates of consideration to be received upon the impending sale, as well as other market participant assumptions. As a result, we recorded an impairment charge of $469.2 million for the three and nine months ended September 30, 2023 related to the Home segment's intangible assets.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more discussion on risks related to our customers, our supply chain and future impairments, see Part I, Item 1A, “Risk Factors” in our 2022 Annual Report. For more discussion on the asset impairments recorded during the third quarter of 2023, see Notes 1, 2 and 6 in the Notes to Unaudited Condensed Consolidated Financial Statements included herein.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changes in our critical accounting policies as disclosed in our 2022 Annual Report.</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RESULTS OF OPERATIONS FOR THE THREE AND NINE MONTHS ENDED SEPTEMBER 30, 2023 WITH THE THREE AND NINE MONTHS ENDED SEPTEMBER 30, 2022</w:t>
      </w:r>
    </w:p>
    <w:tbl>
      <w:tblPr>
        <w:tblW w:w="10205" w:type="dxa"/>
        <w:jc w:val="left"/>
        <w:tblInd w:w="0" w:type="dxa"/>
        <w:tblLayout w:type="fixed"/>
        <w:tblCellMar>
          <w:top w:w="28" w:type="dxa"/>
          <w:left w:w="28" w:type="dxa"/>
          <w:bottom w:w="28" w:type="dxa"/>
          <w:right w:w="28" w:type="dxa"/>
        </w:tblCellMar>
      </w:tblPr>
      <w:tblGrid>
        <w:gridCol w:w="2446"/>
        <w:gridCol w:w="146"/>
        <w:gridCol w:w="211"/>
        <w:gridCol w:w="721"/>
        <w:gridCol w:w="166"/>
        <w:gridCol w:w="146"/>
        <w:gridCol w:w="161"/>
        <w:gridCol w:w="632"/>
        <w:gridCol w:w="271"/>
        <w:gridCol w:w="146"/>
        <w:gridCol w:w="211"/>
        <w:gridCol w:w="721"/>
        <w:gridCol w:w="166"/>
        <w:gridCol w:w="146"/>
        <w:gridCol w:w="161"/>
        <w:gridCol w:w="632"/>
        <w:gridCol w:w="271"/>
        <w:gridCol w:w="146"/>
        <w:gridCol w:w="211"/>
        <w:gridCol w:w="781"/>
        <w:gridCol w:w="166"/>
        <w:gridCol w:w="146"/>
        <w:gridCol w:w="146"/>
        <w:gridCol w:w="886"/>
        <w:gridCol w:w="369"/>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91"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shd w:fill="FFFFFF" w:val="clear"/>
            <w:vAlign w:val="center"/>
          </w:tcPr>
          <w:p>
            <w:pPr>
              <w:pStyle w:val="TableContents"/>
              <w:bidi w:val="0"/>
              <w:spacing w:before="0" w:after="283"/>
              <w:jc w:val="center"/>
              <w:rPr/>
            </w:pPr>
            <w:r>
              <w:rPr/>
              <w:t> </w:t>
            </w:r>
          </w:p>
        </w:tc>
        <w:tc>
          <w:tcPr>
            <w:tcW w:w="369"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shd w:fill="FFFFFF" w:val="clear"/>
            <w:vAlign w:val="center"/>
          </w:tcPr>
          <w:p>
            <w:pPr>
              <w:pStyle w:val="TableContents"/>
              <w:bidi w:val="0"/>
              <w:spacing w:before="0" w:after="283"/>
              <w:jc w:val="center"/>
              <w:rPr/>
            </w:pPr>
            <w:r>
              <w:rPr/>
              <w:t> </w:t>
            </w:r>
          </w:p>
        </w:tc>
        <w:tc>
          <w:tcPr>
            <w:tcW w:w="369"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44"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 except per share amounts)</w:t>
            </w:r>
          </w:p>
        </w:tc>
        <w:tc>
          <w:tcPr>
            <w:tcW w:w="369" w:type="dxa"/>
            <w:tcBorders/>
            <w:shd w:fill="FFFFFF" w:val="clear"/>
            <w:vAlign w:val="center"/>
          </w:tcPr>
          <w:p>
            <w:pPr>
              <w:pStyle w:val="TableContents"/>
              <w:bidi w:val="0"/>
              <w:spacing w:before="0" w:after="283"/>
              <w:jc w:val="center"/>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1,599.5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(781.9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Core net sales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w:t>
            </w:r>
          </w:p>
        </w:tc>
        <w:tc>
          <w:tcPr>
            <w:tcW w:w="3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(630.7</w:t>
            </w:r>
          </w:p>
        </w:tc>
        <w:tc>
          <w:tcPr>
            <w:tcW w:w="3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Core operating income (loss) </w:t>
            </w:r>
            <w:r>
              <w:rPr>
                <w:rFonts w:ascii="Times New Roman" w:hAnsi="Times New Roman"/>
                <w:b w:val="false"/>
                <w:color w:val="000000"/>
                <w:sz w:val="13"/>
              </w:rPr>
              <w:t>(1)</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(266.7</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Non-GAAP adjusted EBITDA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3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Core adjusted EBITDA </w:t>
            </w:r>
            <w:r>
              <w:rPr>
                <w:rFonts w:ascii="Times New Roman" w:hAnsi="Times New Roman"/>
                <w:b w:val="false"/>
                <w:color w:val="000000"/>
                <w:sz w:val="13"/>
              </w:rPr>
              <w:t>(1)</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(3,718.8</w:t>
            </w:r>
          </w:p>
        </w:tc>
        <w:tc>
          <w:tcPr>
            <w:tcW w:w="3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 earnings (loss) per share</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793" w:type="dxa"/>
            <w:gridSpan w:val="2"/>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793" w:type="dxa"/>
            <w:gridSpan w:val="2"/>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(10,050.0</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93"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93"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shd w:fill="FFFFFF" w:val="clear"/>
            <w:vAlign w:val="center"/>
          </w:tcPr>
          <w:p>
            <w:pPr>
              <w:pStyle w:val="TableContents"/>
              <w:bidi w:val="0"/>
              <w:spacing w:before="0" w:after="283"/>
              <w:jc w:val="center"/>
              <w:rPr/>
            </w:pPr>
            <w:r>
              <w:rPr/>
              <w:t> </w:t>
            </w:r>
          </w:p>
        </w:tc>
        <w:tc>
          <w:tcPr>
            <w:tcW w:w="369"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91"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shd w:fill="FFFFFF" w:val="clear"/>
            <w:vAlign w:val="center"/>
          </w:tcPr>
          <w:p>
            <w:pPr>
              <w:pStyle w:val="TableContents"/>
              <w:bidi w:val="0"/>
              <w:spacing w:before="0" w:after="283"/>
              <w:jc w:val="center"/>
              <w:rPr/>
            </w:pPr>
            <w:r>
              <w:rPr/>
              <w:t> </w:t>
            </w:r>
          </w:p>
        </w:tc>
        <w:tc>
          <w:tcPr>
            <w:tcW w:w="369"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shd w:fill="FFFFFF" w:val="clear"/>
            <w:vAlign w:val="center"/>
          </w:tcPr>
          <w:p>
            <w:pPr>
              <w:pStyle w:val="TableContents"/>
              <w:bidi w:val="0"/>
              <w:spacing w:before="0" w:after="283"/>
              <w:jc w:val="center"/>
              <w:rPr/>
            </w:pPr>
            <w:r>
              <w:rPr/>
              <w:t> </w:t>
            </w:r>
          </w:p>
        </w:tc>
        <w:tc>
          <w:tcPr>
            <w:tcW w:w="369"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44"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 except per share amounts)</w:t>
            </w:r>
          </w:p>
        </w:tc>
        <w:tc>
          <w:tcPr>
            <w:tcW w:w="369" w:type="dxa"/>
            <w:tcBorders/>
            <w:shd w:fill="FFFFFF" w:val="clear"/>
            <w:vAlign w:val="center"/>
          </w:tcPr>
          <w:p>
            <w:pPr>
              <w:pStyle w:val="TableContents"/>
              <w:bidi w:val="0"/>
              <w:spacing w:before="0" w:after="283"/>
              <w:jc w:val="center"/>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6,910.2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(1,390.8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Core net sales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w:t>
            </w:r>
          </w:p>
        </w:tc>
        <w:tc>
          <w:tcPr>
            <w:tcW w:w="3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1,855.1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2,055.8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(344.8</w:t>
            </w:r>
          </w:p>
        </w:tc>
        <w:tc>
          <w:tcPr>
            <w:tcW w:w="3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Core operating income </w:t>
            </w:r>
            <w:r>
              <w:rPr>
                <w:rFonts w:ascii="Times New Roman" w:hAnsi="Times New Roman"/>
                <w:b w:val="false"/>
                <w:color w:val="000000"/>
                <w:sz w:val="13"/>
              </w:rPr>
              <w:t>(1)</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Non-GAAP adjusted EBITDA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3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Core adjusted EBITDA </w:t>
            </w:r>
            <w:r>
              <w:rPr>
                <w:rFonts w:ascii="Times New Roman" w:hAnsi="Times New Roman"/>
                <w:b w:val="false"/>
                <w:color w:val="000000"/>
                <w:sz w:val="13"/>
              </w:rPr>
              <w:t>(1)</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61" w:type="dxa"/>
            <w:tcBorders/>
            <w:shd w:fill="CCECFF" w:val="clear"/>
            <w:vAlign w:val="center"/>
          </w:tcPr>
          <w:p>
            <w:pPr>
              <w:pStyle w:val="TableContents"/>
              <w:bidi w:val="0"/>
              <w:spacing w:before="0" w:after="283"/>
              <w:jc w:val="left"/>
              <w:rPr/>
            </w:pPr>
            <w:r>
              <w:rPr/>
              <w:t> </w:t>
            </w:r>
          </w:p>
        </w:tc>
        <w:tc>
          <w:tcPr>
            <w:tcW w:w="6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36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420.1</w:t>
            </w:r>
          </w:p>
        </w:tc>
        <w:tc>
          <w:tcPr>
            <w:tcW w:w="369" w:type="dxa"/>
            <w:tcBorders/>
            <w:shd w:fill="FFFFFF" w:val="clear"/>
            <w:vAlign w:val="center"/>
          </w:tcPr>
          <w:p>
            <w:pPr>
              <w:pStyle w:val="TableContents"/>
              <w:bidi w:val="0"/>
              <w:spacing w:before="0" w:after="283"/>
              <w:jc w:val="left"/>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 loss per share</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793" w:type="dxa"/>
            <w:gridSpan w:val="2"/>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793" w:type="dxa"/>
            <w:gridSpan w:val="2"/>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331.8</w:t>
            </w:r>
          </w:p>
        </w:tc>
        <w:tc>
          <w:tcPr>
            <w:tcW w:w="369" w:type="dxa"/>
            <w:tcBorders/>
            <w:shd w:fill="CCEC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Core financial measures reflect the results of our CCS, OWN, NICS and ANS segments, in the aggregate, and exclude the results of our Home segment. See "Segment Results" below for illustration of the aggregation of our Core financial measures.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“Reconciliation of Non-GAAP Measures” in this Management’s Discussion and Analysis of Financial Condition and Results of Operations, below.</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Net sales</w:t>
      </w:r>
    </w:p>
    <w:tbl>
      <w:tblPr>
        <w:tblW w:w="11948" w:type="dxa"/>
        <w:jc w:val="left"/>
        <w:tblInd w:w="0" w:type="dxa"/>
        <w:tblLayout w:type="fixed"/>
        <w:tblCellMar>
          <w:top w:w="28" w:type="dxa"/>
          <w:left w:w="28" w:type="dxa"/>
          <w:bottom w:w="28" w:type="dxa"/>
          <w:right w:w="28" w:type="dxa"/>
        </w:tblCellMar>
      </w:tblPr>
      <w:tblGrid>
        <w:gridCol w:w="1271"/>
        <w:gridCol w:w="246"/>
        <w:gridCol w:w="211"/>
        <w:gridCol w:w="721"/>
        <w:gridCol w:w="246"/>
        <w:gridCol w:w="246"/>
        <w:gridCol w:w="211"/>
        <w:gridCol w:w="721"/>
        <w:gridCol w:w="246"/>
        <w:gridCol w:w="246"/>
        <w:gridCol w:w="211"/>
        <w:gridCol w:w="631"/>
        <w:gridCol w:w="266"/>
        <w:gridCol w:w="246"/>
        <w:gridCol w:w="146"/>
        <w:gridCol w:w="526"/>
        <w:gridCol w:w="271"/>
        <w:gridCol w:w="146"/>
        <w:gridCol w:w="211"/>
        <w:gridCol w:w="721"/>
        <w:gridCol w:w="246"/>
        <w:gridCol w:w="246"/>
        <w:gridCol w:w="211"/>
        <w:gridCol w:w="721"/>
        <w:gridCol w:w="146"/>
        <w:gridCol w:w="146"/>
        <w:gridCol w:w="211"/>
        <w:gridCol w:w="781"/>
        <w:gridCol w:w="166"/>
        <w:gridCol w:w="146"/>
        <w:gridCol w:w="146"/>
        <w:gridCol w:w="526"/>
        <w:gridCol w:w="516"/>
      </w:tblGrid>
      <w:tr>
        <w:trPr/>
        <w:tc>
          <w:tcPr>
            <w:tcW w:w="1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1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shd w:fill="FFFFFF" w:val="clear"/>
            <w:vAlign w:val="center"/>
          </w:tcPr>
          <w:p>
            <w:pPr>
              <w:pStyle w:val="TableContents"/>
              <w:bidi w:val="0"/>
              <w:spacing w:before="0" w:after="283"/>
              <w:jc w:val="center"/>
              <w:rPr/>
            </w:pPr>
            <w:r>
              <w:rPr/>
              <w:t> </w:t>
            </w:r>
          </w:p>
        </w:tc>
      </w:tr>
      <w:tr>
        <w:trPr/>
        <w:tc>
          <w:tcPr>
            <w:tcW w:w="1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15" w:type="dxa"/>
            <w:gridSpan w:val="3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16" w:type="dxa"/>
            <w:tcBorders/>
            <w:shd w:fill="FFFFFF" w:val="clear"/>
            <w:vAlign w:val="center"/>
          </w:tcPr>
          <w:p>
            <w:pPr>
              <w:pStyle w:val="TableContents"/>
              <w:bidi w:val="0"/>
              <w:spacing w:before="0" w:after="283"/>
              <w:jc w:val="center"/>
              <w:rPr/>
            </w:pPr>
            <w:r>
              <w:rPr/>
              <w:t> </w:t>
            </w:r>
          </w:p>
        </w:tc>
      </w:tr>
      <w:tr>
        <w:trPr/>
        <w:tc>
          <w:tcPr>
            <w:tcW w:w="1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1,599.5</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2,381.4</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(781.9</w:t>
            </w:r>
          </w:p>
        </w:tc>
        <w:tc>
          <w:tcPr>
            <w:tcW w:w="2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5,519.4</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(1,390.8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516"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7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Domestic</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1,495.1</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(537.7</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3,380.8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71"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International</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642.1</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886.3</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(244.2</w:t>
            </w:r>
          </w:p>
        </w:tc>
        <w:tc>
          <w:tcPr>
            <w:tcW w:w="26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2,138.6</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(505.1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51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b w:val="false"/>
          <w:color w:val="000000"/>
          <w:sz w:val="20"/>
        </w:rPr>
      </w:pPr>
      <w:r>
        <w:rPr>
          <w:rFonts w:ascii="Times New Roman" w:hAnsi="Times New Roman"/>
          <w:b w:val="false"/>
          <w:color w:val="000000"/>
          <w:sz w:val="20"/>
        </w:rPr>
        <w:t>Net sales for the three and nine months ended September 30, 2023 decreased $781.9 million, or 32.8%, and $1,390.8 million, or 20.1%, respectively, compared to the prior year periods primarily driven by decreased sales volumes as certain customers have reduced purchases as they right-size their inventories and others have paused capital spending. For the nine months ended September 30, 2023, the decreased sales volumes are partially offset by higher pricing compared to the prior year period. Core net sales for the three and nine months ended September 30, 2023 decreased $639.9 million, or 32.2%, and $995.9 million, or 17.8%, respectively, compared to the prior year periods. The decrease in core net sales for the three months ended September 30, 2023 was driven by decreases of $375.2 million in the CCS segment, $171.8 million in the OWN segment and $124.0 million in the ANS segment, partially offset by an increase of $31.1 million in the NICS segment. The decrease in Core net sales for the nine months ended September 30, 2023 was driven by decreases of $678.2 million in the CCS segment, $465.6 million in the OWN segment and $101.9 million in the ANS segment, partially offset by an increase of $249.8 million in the NICS segment. For the three and nine months ended September 30, 2023, net sales in the Home segment decreased $142.0 million and $394.9 million, respectively, compared to the prior year periods. For further details by segment, see "Segment Results" below.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From a regional perspective, for the three months ended September 30, 2023 compared to the prior year period, net sales decreased in the U.S. by $537.7 million, the Europe, Middle East and Africa (EMEA) region by $98.2 million, the Caribbean and Latin American (CALA) region by $73.7 million, the Asia Pacific (APAC) region by $38.7 million and Canada by $33.6 million. For the nine months ended September 30, 2023 compared to the prior year period, net sales decreased in the U.S. by $885.7 million, the EMEA region by $186.7 million, the CALA region by $150.3 million, the APAC region by $111.3 million and Canada by $56.8 million. Net sales to customers located outside of the U.S. comprised 40.1% and 38.7% of total net sales for the three and nine months ended September 30, 2023, respectively, compared to 37.2% and 38.3% for the three and nine months ended September 30, 2022, respectively. Foreign exchange rate changes impacted net sales favorably by less than 1% for the three months ended September 30, 2023 but unfavorably by less than 1% for the nine months ended September 30, 2023 compared to the prior year periods. For additional information on regional sales by segment, see "Segment Results" below and Note 7 in the Notes to Unaudited Condensed Consolidated Financial Statements included herein.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Gross profit, SG&amp;A expense and R&amp;D expense</w:t>
      </w:r>
    </w:p>
    <w:tbl>
      <w:tblPr>
        <w:tblW w:w="10205" w:type="dxa"/>
        <w:jc w:val="left"/>
        <w:tblInd w:w="0" w:type="dxa"/>
        <w:tblLayout w:type="fixed"/>
        <w:tblCellMar>
          <w:top w:w="28" w:type="dxa"/>
          <w:left w:w="28" w:type="dxa"/>
          <w:bottom w:w="28" w:type="dxa"/>
          <w:right w:w="28" w:type="dxa"/>
        </w:tblCellMar>
      </w:tblPr>
      <w:tblGrid>
        <w:gridCol w:w="864"/>
        <w:gridCol w:w="246"/>
        <w:gridCol w:w="196"/>
        <w:gridCol w:w="511"/>
        <w:gridCol w:w="256"/>
        <w:gridCol w:w="146"/>
        <w:gridCol w:w="196"/>
        <w:gridCol w:w="511"/>
        <w:gridCol w:w="256"/>
        <w:gridCol w:w="146"/>
        <w:gridCol w:w="196"/>
        <w:gridCol w:w="571"/>
        <w:gridCol w:w="166"/>
        <w:gridCol w:w="146"/>
        <w:gridCol w:w="153"/>
        <w:gridCol w:w="508"/>
        <w:gridCol w:w="258"/>
        <w:gridCol w:w="146"/>
        <w:gridCol w:w="196"/>
        <w:gridCol w:w="646"/>
        <w:gridCol w:w="256"/>
        <w:gridCol w:w="146"/>
        <w:gridCol w:w="196"/>
        <w:gridCol w:w="646"/>
        <w:gridCol w:w="256"/>
        <w:gridCol w:w="146"/>
        <w:gridCol w:w="196"/>
        <w:gridCol w:w="571"/>
        <w:gridCol w:w="166"/>
        <w:gridCol w:w="146"/>
        <w:gridCol w:w="153"/>
        <w:gridCol w:w="508"/>
        <w:gridCol w:w="505"/>
      </w:tblGrid>
      <w:tr>
        <w:trPr/>
        <w:tc>
          <w:tcPr>
            <w:tcW w:w="8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864"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8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2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505" w:type="dxa"/>
            <w:tcBorders/>
            <w:shd w:fill="FFFFFF" w:val="clear"/>
            <w:vAlign w:val="center"/>
          </w:tcPr>
          <w:p>
            <w:pPr>
              <w:pStyle w:val="TableContents"/>
              <w:bidi w:val="0"/>
              <w:spacing w:before="0" w:after="283"/>
              <w:jc w:val="center"/>
              <w:rPr/>
            </w:pPr>
            <w:r>
              <w:rPr/>
              <w:t> </w:t>
            </w:r>
          </w:p>
        </w:tc>
      </w:tr>
      <w:tr>
        <w:trPr/>
        <w:tc>
          <w:tcPr>
            <w:tcW w:w="864"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05" w:type="dxa"/>
            <w:tcBorders/>
            <w:shd w:fill="FFFFFF" w:val="clear"/>
            <w:vAlign w:val="center"/>
          </w:tcPr>
          <w:p>
            <w:pPr>
              <w:pStyle w:val="TableContents"/>
              <w:bidi w:val="0"/>
              <w:spacing w:before="0" w:after="283"/>
              <w:jc w:val="center"/>
              <w:rPr/>
            </w:pPr>
            <w:r>
              <w:rPr/>
              <w:t> </w:t>
            </w:r>
          </w:p>
        </w:tc>
      </w:tr>
      <w:tr>
        <w:trPr/>
        <w:tc>
          <w:tcPr>
            <w:tcW w:w="864"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64"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590" w:type="dxa"/>
            <w:gridSpan w:val="3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05" w:type="dxa"/>
            <w:tcBorders/>
            <w:shd w:fill="FFFFFF" w:val="clear"/>
            <w:vAlign w:val="center"/>
          </w:tcPr>
          <w:p>
            <w:pPr>
              <w:pStyle w:val="TableContents"/>
              <w:bidi w:val="0"/>
              <w:spacing w:before="0" w:after="283"/>
              <w:jc w:val="center"/>
              <w:rPr/>
            </w:pPr>
            <w:r>
              <w:rPr/>
              <w:t> </w:t>
            </w:r>
          </w:p>
        </w:tc>
      </w:tr>
      <w:tr>
        <w:trPr/>
        <w:tc>
          <w:tcPr>
            <w:tcW w:w="864" w:type="dxa"/>
            <w:tcBorders/>
            <w:shd w:fill="CCEC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Gross profit</w:t>
            </w:r>
          </w:p>
        </w:tc>
        <w:tc>
          <w:tcPr>
            <w:tcW w:w="2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1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546.2</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1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736.3</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(190.1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w:t>
            </w:r>
          </w:p>
        </w:tc>
        <w:tc>
          <w:tcPr>
            <w:tcW w:w="258"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1,855.1</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2,055.8</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(200.7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w:t>
            </w:r>
          </w:p>
        </w:tc>
        <w:tc>
          <w:tcPr>
            <w:tcW w:w="505"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86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9"/>
              </w:rPr>
            </w:pPr>
            <w:r>
              <w:rPr>
                <w:rFonts w:ascii="Times New Roman" w:hAnsi="Times New Roman"/>
                <w:b w:val="false"/>
                <w:color w:val="000000"/>
                <w:sz w:val="19"/>
              </w:rPr>
              <w:t>As a percent of sales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34.1</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30.9</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33.6</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29.8</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r>
      <w:tr>
        <w:trPr/>
        <w:tc>
          <w:tcPr>
            <w:tcW w:w="864" w:type="dxa"/>
            <w:tcBorders/>
            <w:shd w:fill="CCEC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SG&amp;A expense</w:t>
            </w:r>
          </w:p>
        </w:tc>
        <w:tc>
          <w:tcPr>
            <w:tcW w:w="2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229.7</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281.7</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(18.5</w:t>
            </w:r>
          </w:p>
        </w:tc>
        <w:tc>
          <w:tcPr>
            <w:tcW w:w="258"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748.1</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844.9</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(11.5</w:t>
            </w:r>
          </w:p>
        </w:tc>
        <w:tc>
          <w:tcPr>
            <w:tcW w:w="505"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86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9"/>
              </w:rPr>
            </w:pPr>
            <w:r>
              <w:rPr>
                <w:rFonts w:ascii="Times New Roman" w:hAnsi="Times New Roman"/>
                <w:b w:val="false"/>
                <w:color w:val="000000"/>
                <w:sz w:val="19"/>
              </w:rPr>
              <w:t>As a percent of sales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14.4</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r>
      <w:tr>
        <w:trPr/>
        <w:tc>
          <w:tcPr>
            <w:tcW w:w="864" w:type="dxa"/>
            <w:tcBorders/>
            <w:shd w:fill="CCEC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R&amp;D expense</w:t>
            </w:r>
          </w:p>
        </w:tc>
        <w:tc>
          <w:tcPr>
            <w:tcW w:w="2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125.5</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161.9</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(22.5</w:t>
            </w:r>
          </w:p>
        </w:tc>
        <w:tc>
          <w:tcPr>
            <w:tcW w:w="258"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432.1</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498.0</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w:t>
            </w:r>
          </w:p>
        </w:tc>
        <w:tc>
          <w:tcPr>
            <w:tcW w:w="505"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86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9"/>
              </w:rPr>
            </w:pPr>
            <w:r>
              <w:rPr>
                <w:rFonts w:ascii="Times New Roman" w:hAnsi="Times New Roman"/>
                <w:b w:val="false"/>
                <w:color w:val="000000"/>
                <w:sz w:val="19"/>
              </w:rPr>
              <w:t>As a percent of sales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 (net sales less cost of sales)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profit decreased by $190.1 million and $200.7 million, respectively, for the three and nine months ended September 30, 2023 compared to the prior year periods primarily due to lower net sales volumes, partially offset by lower freight and material costs and favorable product mix.</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selling, general and administrative (SG&amp;A) expense decreased by $52.0 million and $96.8 million, respectively, compared to the prior year periods. The decrease in the three and nine months ended September 30, 2023 was primarily due to cost saving initiatives and lower variable incentive compensation expense of $26.8 million and $39.9 million, respectively. During the three months ended September 30, 2023, these favorable impacts were partially offset by higher transaction, transformation and integration costs of $10.9 million. Although our transaction, transformation and integration costs have decreased year-over-year during the nine months ended September 30, 2023, as indicated by the increased costs during the third quarter of 2023, we expect to continue to incur these costs during the remainder of 2023 and into 2024 due to ongoing CommScope NEXT initiatives, and the resulting charges and cash requirements could be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also incurred costs of $1.7 million and $5.8 million during the three and nine months ended September 30, 2023, respectively, related to the identification, investigation, defense and recovery efforts connected to a cyber incident that occurred in late March of 2023. The incident resulted in minimal impact to our business operations, and we do not expect significant additional costs related to the recovery effort.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(R&amp;D) expense decreased for the three and nine months ended September 30, 2023 compared to the prior year periods primarily due to lower spending across all segments. R&amp;D activities generally involve ensuring that our products are capable of meeting the evolving technological needs of our customers, bringing new products to market and modifying existing products to better serve our customers.</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Amortization of purchased intangible assets and restructuring costs, net and Asset impairments</w:t>
      </w:r>
    </w:p>
    <w:tbl>
      <w:tblPr>
        <w:tblW w:w="10205" w:type="dxa"/>
        <w:jc w:val="left"/>
        <w:tblInd w:w="0" w:type="dxa"/>
        <w:tblLayout w:type="fixed"/>
        <w:tblCellMar>
          <w:top w:w="28" w:type="dxa"/>
          <w:left w:w="28" w:type="dxa"/>
          <w:bottom w:w="28" w:type="dxa"/>
          <w:right w:w="28" w:type="dxa"/>
        </w:tblCellMar>
      </w:tblPr>
      <w:tblGrid>
        <w:gridCol w:w="1431"/>
        <w:gridCol w:w="146"/>
        <w:gridCol w:w="211"/>
        <w:gridCol w:w="571"/>
        <w:gridCol w:w="146"/>
        <w:gridCol w:w="146"/>
        <w:gridCol w:w="211"/>
        <w:gridCol w:w="571"/>
        <w:gridCol w:w="146"/>
        <w:gridCol w:w="146"/>
        <w:gridCol w:w="211"/>
        <w:gridCol w:w="571"/>
        <w:gridCol w:w="166"/>
        <w:gridCol w:w="146"/>
        <w:gridCol w:w="146"/>
        <w:gridCol w:w="571"/>
        <w:gridCol w:w="281"/>
        <w:gridCol w:w="146"/>
        <w:gridCol w:w="211"/>
        <w:gridCol w:w="571"/>
        <w:gridCol w:w="146"/>
        <w:gridCol w:w="146"/>
        <w:gridCol w:w="211"/>
        <w:gridCol w:w="571"/>
        <w:gridCol w:w="146"/>
        <w:gridCol w:w="146"/>
        <w:gridCol w:w="211"/>
        <w:gridCol w:w="571"/>
        <w:gridCol w:w="166"/>
        <w:gridCol w:w="146"/>
        <w:gridCol w:w="146"/>
        <w:gridCol w:w="526"/>
        <w:gridCol w:w="328"/>
      </w:tblGrid>
      <w:tr>
        <w:trP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pPr>
            <w:r>
              <w:rPr/>
              <w:t> </w:t>
            </w:r>
          </w:p>
        </w:tc>
        <w:tc>
          <w:tcPr>
            <w:tcW w:w="328" w:type="dxa"/>
            <w:tcBorders/>
            <w:shd w:fill="FFFFFF" w:val="clear"/>
            <w:vAlign w:val="center"/>
          </w:tcPr>
          <w:p>
            <w:pPr>
              <w:pStyle w:val="TableContents"/>
              <w:bidi w:val="0"/>
              <w:spacing w:before="0" w:after="283"/>
              <w:jc w:val="center"/>
              <w:rPr/>
            </w:pPr>
            <w:r>
              <w:rPr/>
              <w:t> </w:t>
            </w:r>
          </w:p>
        </w:tc>
      </w:tr>
      <w:tr>
        <w:trPr/>
        <w:tc>
          <w:tcPr>
            <w:tcW w:w="1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28" w:type="dxa"/>
            <w:tcBorders/>
            <w:shd w:fill="FFFFFF" w:val="clear"/>
            <w:vAlign w:val="center"/>
          </w:tcPr>
          <w:p>
            <w:pPr>
              <w:pStyle w:val="TableContents"/>
              <w:bidi w:val="0"/>
              <w:spacing w:before="0" w:after="283"/>
              <w:jc w:val="center"/>
              <w:rPr/>
            </w:pPr>
            <w:r>
              <w:rPr/>
              <w:t> </w:t>
            </w:r>
          </w:p>
        </w:tc>
      </w:tr>
      <w:tr>
        <w:trPr/>
        <w:tc>
          <w:tcPr>
            <w:tcW w:w="1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00" w:type="dxa"/>
            <w:gridSpan w:val="3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28" w:type="dxa"/>
            <w:tcBorders/>
            <w:shd w:fill="FFFFFF" w:val="clear"/>
            <w:vAlign w:val="center"/>
          </w:tcPr>
          <w:p>
            <w:pPr>
              <w:pStyle w:val="TableContents"/>
              <w:bidi w:val="0"/>
              <w:spacing w:before="0" w:after="283"/>
              <w:jc w:val="center"/>
              <w:rPr/>
            </w:pPr>
            <w:r>
              <w:rPr/>
              <w:t> </w:t>
            </w:r>
          </w:p>
        </w:tc>
      </w:tr>
      <w:tr>
        <w:trPr/>
        <w:tc>
          <w:tcPr>
            <w:tcW w:w="143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Amortization of purchased </w:t>
              <w:br/>
              <w:t>   intangible assets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28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32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costs,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716.0</w:t>
            </w:r>
          </w:p>
        </w:tc>
        <w:tc>
          <w:tcPr>
            <w:tcW w:w="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3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impairments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28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672" w:type="dxa"/>
            <w:gridSpan w:val="2"/>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328" w:type="dxa"/>
            <w:tcBorders/>
            <w:shd w:fill="CCECFF" w:val="clear"/>
            <w:vAlign w:val="center"/>
          </w:tcPr>
          <w:p>
            <w:pPr>
              <w:pStyle w:val="TableContents"/>
              <w:bidi w:val="0"/>
              <w:spacing w:before="0" w:after="283"/>
              <w:jc w:val="right"/>
              <w:rPr/>
            </w:pPr>
            <w:r>
              <w:rPr/>
              <w:t> </w:t>
            </w:r>
          </w:p>
        </w:tc>
      </w:tr>
      <w:tr>
        <w:trPr/>
        <w:tc>
          <w:tcPr>
            <w:tcW w:w="1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r>
      <w:tr>
        <w:trPr/>
        <w:tc>
          <w:tcPr>
            <w:tcW w:w="14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NM – Not meaningful</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Amortization of purchased intangible assets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amortization of purchased intangible assets was lower compared to the prior year periods because certain of our intangible assets became fully amortized.</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Restructuring costs,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net restructuring costs recorded during the three and nine months ended September 30, 2023 and 2022 were primarily related to CommScope NEXT. The net restructuring costs for the nine months ended September 30, 2023 reflected a gain on the sale of property, primarily related to a gain of $20.2 million on the sale of an international manufacturing facility. We received proceeds of $38.4 million related to the sale. Excluding the impacts of the sale, for the three and nine months ended September 30, 2023, our restructuring costs were $20.4 million and $31.6 million, respectively, and we paid $40.1 million and $90.3 million, respectively, to settle restructuring liabilities. We expect to pay an additional $21.3 million by the end of 2023 and $13.6 million in 2024 related to restructuring actions that have been initiated. Additional restructuring actions related to CommScope NEXT are expected to be identified, and the resulting charges and cash requirements could be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 impairments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we recorded a goodwill impairment charge of $425.9 million related to our ANS reporting unit in our ANS segment. We also recorded an intangible assets impairment charge of $469.2 million related to the Home segment. We did not record any asset impairment charges during the three or nine months ended September 30, 2022. For more discussion on the asset impairments recorded during the third quarter of 2023, see Notes 1, 2 and 6 in the Notes to Unaudited Condensed Consolidated Financial Statements included herein.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1915"/>
        <w:gridCol w:w="146"/>
        <w:gridCol w:w="219"/>
        <w:gridCol w:w="437"/>
        <w:gridCol w:w="172"/>
        <w:gridCol w:w="151"/>
        <w:gridCol w:w="219"/>
        <w:gridCol w:w="375"/>
        <w:gridCol w:w="146"/>
        <w:gridCol w:w="146"/>
        <w:gridCol w:w="220"/>
        <w:gridCol w:w="441"/>
        <w:gridCol w:w="166"/>
        <w:gridCol w:w="146"/>
        <w:gridCol w:w="146"/>
        <w:gridCol w:w="631"/>
        <w:gridCol w:w="312"/>
        <w:gridCol w:w="146"/>
        <w:gridCol w:w="211"/>
        <w:gridCol w:w="466"/>
        <w:gridCol w:w="166"/>
        <w:gridCol w:w="146"/>
        <w:gridCol w:w="211"/>
        <w:gridCol w:w="361"/>
        <w:gridCol w:w="146"/>
        <w:gridCol w:w="146"/>
        <w:gridCol w:w="211"/>
        <w:gridCol w:w="466"/>
        <w:gridCol w:w="166"/>
        <w:gridCol w:w="146"/>
        <w:gridCol w:w="146"/>
        <w:gridCol w:w="721"/>
        <w:gridCol w:w="362"/>
      </w:tblGrid>
      <w:tr>
        <w:trPr/>
        <w:tc>
          <w:tcPr>
            <w:tcW w:w="1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6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shd w:fill="FFFFFF" w:val="clear"/>
            <w:vAlign w:val="center"/>
          </w:tcPr>
          <w:p>
            <w:pPr>
              <w:pStyle w:val="TableContents"/>
              <w:bidi w:val="0"/>
              <w:spacing w:before="0" w:after="283"/>
              <w:jc w:val="center"/>
              <w:rPr/>
            </w:pPr>
            <w:r>
              <w:rPr/>
              <w:t> </w:t>
            </w:r>
          </w:p>
        </w:tc>
        <w:tc>
          <w:tcPr>
            <w:tcW w:w="362" w:type="dxa"/>
            <w:tcBorders/>
            <w:shd w:fill="FFFFFF" w:val="clear"/>
            <w:vAlign w:val="center"/>
          </w:tcPr>
          <w:p>
            <w:pPr>
              <w:pStyle w:val="TableContents"/>
              <w:bidi w:val="0"/>
              <w:spacing w:before="0" w:after="283"/>
              <w:jc w:val="center"/>
              <w:rPr/>
            </w:pPr>
            <w:r>
              <w:rPr/>
              <w:t> </w:t>
            </w:r>
          </w:p>
        </w:tc>
      </w:tr>
      <w:tr>
        <w:trPr/>
        <w:tc>
          <w:tcPr>
            <w:tcW w:w="1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2" w:type="dxa"/>
            <w:tcBorders/>
            <w:shd w:fill="FFFFFF" w:val="clear"/>
            <w:vAlign w:val="center"/>
          </w:tcPr>
          <w:p>
            <w:pPr>
              <w:pStyle w:val="TableContents"/>
              <w:bidi w:val="0"/>
              <w:spacing w:before="0" w:after="283"/>
              <w:jc w:val="center"/>
              <w:rPr/>
            </w:pPr>
            <w:r>
              <w:rPr/>
              <w:t> </w:t>
            </w:r>
          </w:p>
        </w:tc>
      </w:tr>
      <w:tr>
        <w:trPr/>
        <w:tc>
          <w:tcPr>
            <w:tcW w:w="1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82" w:type="dxa"/>
            <w:gridSpan w:val="3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62" w:type="dxa"/>
            <w:tcBorders/>
            <w:shd w:fill="FFFFFF" w:val="clear"/>
            <w:vAlign w:val="center"/>
          </w:tcPr>
          <w:p>
            <w:pPr>
              <w:pStyle w:val="TableContents"/>
              <w:bidi w:val="0"/>
              <w:spacing w:before="0" w:after="283"/>
              <w:jc w:val="center"/>
              <w:rPr/>
            </w:pPr>
            <w:r>
              <w:rPr/>
              <w:t> </w:t>
            </w:r>
          </w:p>
        </w:tc>
      </w:tr>
      <w:tr>
        <w:trPr/>
        <w:tc>
          <w:tcPr>
            <w:tcW w:w="191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gain (loss)</w:t>
            </w:r>
          </w:p>
        </w:tc>
        <w:tc>
          <w:tcPr>
            <w:tcW w:w="146" w:type="dxa"/>
            <w:tcBorders/>
            <w:shd w:fill="CCECFF" w:val="clear"/>
            <w:vAlign w:val="center"/>
          </w:tcPr>
          <w:p>
            <w:pPr>
              <w:pStyle w:val="TableContents"/>
              <w:bidi w:val="0"/>
              <w:spacing w:before="0" w:after="283"/>
              <w:jc w:val="left"/>
              <w:rPr/>
            </w:pPr>
            <w:r>
              <w:rPr/>
              <w:t> </w:t>
            </w:r>
          </w:p>
        </w:tc>
        <w:tc>
          <w:tcPr>
            <w:tcW w:w="21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7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CECFF" w:val="clear"/>
            <w:vAlign w:val="center"/>
          </w:tcPr>
          <w:p>
            <w:pPr>
              <w:pStyle w:val="TableContents"/>
              <w:bidi w:val="0"/>
              <w:spacing w:before="0" w:after="283"/>
              <w:jc w:val="left"/>
              <w:rPr/>
            </w:pPr>
            <w:r>
              <w:rPr/>
              <w:t> </w:t>
            </w:r>
          </w:p>
        </w:tc>
        <w:tc>
          <w:tcPr>
            <w:tcW w:w="21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2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31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(182.7</w:t>
            </w:r>
          </w:p>
        </w:tc>
        <w:tc>
          <w:tcPr>
            <w:tcW w:w="36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366.7</w:t>
            </w:r>
          </w:p>
        </w:tc>
        <w:tc>
          <w:tcPr>
            <w:tcW w:w="3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1,466.7</w:t>
            </w:r>
          </w:p>
        </w:tc>
        <w:tc>
          <w:tcPr>
            <w:tcW w:w="362"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Foreign currency gain (loss)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for the three and nine months ended September 30, 2023 compared to the prior year periods was primarily driven by certain unhedged currencies.</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change in other income, net for the three and nine months ended September 30, 2023 compared to the prior year periods was primarily driven by a gain of $8.6 million and $19.0 million, respectively, on the early extinguishment of debt related to our debt repurchases as further discussed in Note 5 in the Notes to Unaudited Condensed Consolidated Financial Statements included herein.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Interest expense, Interest income and Income taxes</w:t>
      </w:r>
    </w:p>
    <w:tbl>
      <w:tblPr>
        <w:tblW w:w="10318" w:type="dxa"/>
        <w:jc w:val="left"/>
        <w:tblInd w:w="0" w:type="dxa"/>
        <w:tblLayout w:type="fixed"/>
        <w:tblCellMar>
          <w:top w:w="28" w:type="dxa"/>
          <w:left w:w="28" w:type="dxa"/>
          <w:bottom w:w="28" w:type="dxa"/>
          <w:right w:w="28" w:type="dxa"/>
        </w:tblCellMar>
      </w:tblPr>
      <w:tblGrid>
        <w:gridCol w:w="1051"/>
        <w:gridCol w:w="146"/>
        <w:gridCol w:w="211"/>
        <w:gridCol w:w="631"/>
        <w:gridCol w:w="166"/>
        <w:gridCol w:w="146"/>
        <w:gridCol w:w="211"/>
        <w:gridCol w:w="631"/>
        <w:gridCol w:w="166"/>
        <w:gridCol w:w="146"/>
        <w:gridCol w:w="211"/>
        <w:gridCol w:w="571"/>
        <w:gridCol w:w="166"/>
        <w:gridCol w:w="146"/>
        <w:gridCol w:w="146"/>
        <w:gridCol w:w="721"/>
        <w:gridCol w:w="271"/>
        <w:gridCol w:w="146"/>
        <w:gridCol w:w="211"/>
        <w:gridCol w:w="631"/>
        <w:gridCol w:w="166"/>
        <w:gridCol w:w="146"/>
        <w:gridCol w:w="211"/>
        <w:gridCol w:w="631"/>
        <w:gridCol w:w="166"/>
        <w:gridCol w:w="146"/>
        <w:gridCol w:w="211"/>
        <w:gridCol w:w="571"/>
        <w:gridCol w:w="166"/>
        <w:gridCol w:w="146"/>
        <w:gridCol w:w="146"/>
        <w:gridCol w:w="571"/>
        <w:gridCol w:w="316"/>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05" w:type="dxa"/>
            <w:gridSpan w:val="3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16" w:type="dxa"/>
            <w:tcBorders/>
            <w:shd w:fill="FFFFFF" w:val="clear"/>
            <w:vAlign w:val="center"/>
          </w:tcPr>
          <w:p>
            <w:pPr>
              <w:pStyle w:val="TableContents"/>
              <w:bidi w:val="0"/>
              <w:spacing w:before="0" w:after="283"/>
              <w:jc w:val="center"/>
              <w:rPr/>
            </w:pPr>
            <w:r>
              <w:rPr/>
              <w:t> </w:t>
            </w:r>
          </w:p>
        </w:tc>
      </w:tr>
      <w:tr>
        <w:trPr/>
        <w:tc>
          <w:tcPr>
            <w:tcW w:w="105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31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333.3</w:t>
            </w:r>
          </w:p>
        </w:tc>
        <w:tc>
          <w:tcPr>
            <w:tcW w:w="316" w:type="dxa"/>
            <w:tcBorders/>
            <w:shd w:fill="FFFFFF" w:val="clear"/>
            <w:vAlign w:val="center"/>
          </w:tcPr>
          <w:p>
            <w:pPr>
              <w:pStyle w:val="TableContents"/>
              <w:bidi w:val="0"/>
              <w:spacing w:before="0" w:after="283"/>
              <w:jc w:val="left"/>
              <w:rPr/>
            </w:pPr>
            <w:r>
              <w:rPr/>
              <w:t> </w:t>
            </w:r>
          </w:p>
        </w:tc>
      </w:tr>
      <w:tr>
        <w:trPr/>
        <w:tc>
          <w:tcPr>
            <w:tcW w:w="105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 benefit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1,200.0</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316" w:type="dxa"/>
            <w:tcBorders/>
            <w:shd w:fill="CCECFF" w:val="clear"/>
            <w:vAlign w:val="center"/>
          </w:tcPr>
          <w:p>
            <w:pPr>
              <w:pStyle w:val="TableContents"/>
              <w:bidi w:val="0"/>
              <w:spacing w:before="0" w:after="283"/>
              <w:jc w:val="righ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NM – Not meaningful</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 and interest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increase in interest expense for the three and nine months ended September 30, 2023 compared to the prior year periods was driven by the increased variable interest rate on our senior secured term loan due 2026 (2026 Term Loan) as a result of the Federal Reserve’s increases in interest rates beginning in 2022. Our interest expense will continue to increase if the Federal Reserve raises interest rates. Our weighted average effective interest rate on outstanding borrowings, including the impact of the interest rate swap contracts and the amortization of debt issuance costs and original issue discount, was 7.23% at September 30, 2023, 6.91% at December 31, 2022 and 6.53% at September 30,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we recognized an income tax benefit of $158.6 million on a pretax loss of $987.3 million and an income tax benefit of $158.0 million on a pretax loss of $1,083.7 million, respectively. Our tax benefit was less than the statutory rate of 21% for the three and nine months ended September 30, 2023 primarily due to the unfavorable impact related to a goodwill impairment charge of $425.9 million for which minimal tax benefits were recorded. Our tax benefit was favorably impacted by $4.1 million related to tax law changes for the three and nine months ended September 30, 2023. In addition to the unfavorable impact of the goodwill impairment change mentioned above, for the nine months ended September 30, 2023, our tax benefit was also unfavorably impacted by excess tax costs of $7.1 million related to equity compensation awards but favorably impacted by $9.6 million related to the release of various uncertain tax positions.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2022, we recognized a tax benefit of $12.2 million on pretax income of $10.7 million and $4.2 million of income tax expense on a pretax loss of $173.8 million, respectively. For the three months ended September 30, 2022, our tax benefit was driven by the impacts of federal tax credits, partially offset by unfavorable impacts of U.S. anti-deferral provisions, non-creditable withholding taxes and $3.7 million of tax expense related to state law changes. For the nine months ended September 30, 2022, our tax expense was driven by the unfavorable impacts of U.S. anti-deferral provisions, non-creditable withholding taxes and the tax expense related to state law changes, partially offset by the impacts of federal tax credits.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Segment Results</w:t>
      </w:r>
    </w:p>
    <w:tbl>
      <w:tblPr>
        <w:tblW w:w="10205" w:type="dxa"/>
        <w:jc w:val="left"/>
        <w:tblInd w:w="0" w:type="dxa"/>
        <w:tblLayout w:type="fixed"/>
        <w:tblCellMar>
          <w:top w:w="28" w:type="dxa"/>
          <w:left w:w="28" w:type="dxa"/>
          <w:bottom w:w="28" w:type="dxa"/>
          <w:right w:w="28" w:type="dxa"/>
        </w:tblCellMar>
      </w:tblPr>
      <w:tblGrid>
        <w:gridCol w:w="2072"/>
        <w:gridCol w:w="246"/>
        <w:gridCol w:w="211"/>
        <w:gridCol w:w="721"/>
        <w:gridCol w:w="166"/>
        <w:gridCol w:w="146"/>
        <w:gridCol w:w="148"/>
        <w:gridCol w:w="642"/>
        <w:gridCol w:w="166"/>
        <w:gridCol w:w="271"/>
        <w:gridCol w:w="146"/>
        <w:gridCol w:w="211"/>
        <w:gridCol w:w="721"/>
        <w:gridCol w:w="166"/>
        <w:gridCol w:w="146"/>
        <w:gridCol w:w="149"/>
        <w:gridCol w:w="588"/>
        <w:gridCol w:w="166"/>
        <w:gridCol w:w="271"/>
        <w:gridCol w:w="146"/>
        <w:gridCol w:w="211"/>
        <w:gridCol w:w="631"/>
        <w:gridCol w:w="166"/>
        <w:gridCol w:w="146"/>
        <w:gridCol w:w="146"/>
        <w:gridCol w:w="721"/>
        <w:gridCol w:w="166"/>
        <w:gridCol w:w="519"/>
      </w:tblGrid>
      <w:tr>
        <w:trPr/>
        <w:tc>
          <w:tcPr>
            <w:tcW w:w="20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072"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598" w:type="dxa"/>
            <w:gridSpan w:val="1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2072"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598"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2072"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0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6" w:type="dxa"/>
            <w:gridSpan w:val="8"/>
            <w:tcBorders/>
            <w:shd w:fill="FFFFFF" w:val="clear"/>
            <w:vAlign w:val="center"/>
          </w:tcPr>
          <w:p>
            <w:pPr>
              <w:pStyle w:val="TableContents"/>
              <w:bidi w:val="0"/>
              <w:spacing w:before="0" w:after="283"/>
              <w:jc w:val="center"/>
              <w:rPr/>
            </w:pPr>
            <w:r>
              <w:rPr/>
              <w:t> </w:t>
            </w:r>
          </w:p>
        </w:tc>
      </w:tr>
      <w:tr>
        <w:trPr/>
        <w:tc>
          <w:tcPr>
            <w:tcW w:w="2072"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72"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202"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7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 by segment:</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90"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6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7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72"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7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72"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72" w:type="dxa"/>
            <w:tcBorders/>
            <w:shd w:fill="FFFFFF" w:val="clear"/>
            <w:vAlign w:val="center"/>
          </w:tcPr>
          <w:p>
            <w:pPr>
              <w:pStyle w:val="TableContents"/>
              <w:bidi w:val="0"/>
              <w:spacing w:before="0" w:after="283"/>
              <w:ind w:left="0" w:right="0" w:firstLine="100"/>
              <w:jc w:val="left"/>
              <w:rPr/>
            </w:pPr>
            <w:r>
              <w:rPr>
                <w:color w:val="000000"/>
              </w:rPr>
              <w:t>   </w:t>
            </w:r>
            <w:r>
              <w:rPr>
                <w:rFonts w:ascii="Times New Roman" w:hAnsi="Times New Roman"/>
                <w:b w:val="false"/>
                <w:color w:val="000000"/>
                <w:sz w:val="20"/>
              </w:rPr>
              <w:t xml:space="preserve">Core net sales </w:t>
            </w:r>
            <w:r>
              <w:rPr>
                <w:rFonts w:ascii="Times New Roman" w:hAnsi="Times New Roman"/>
                <w:b w:val="false"/>
                <w:color w:val="000000"/>
                <w:sz w:val="13"/>
              </w:rPr>
              <w:t>(1)</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72"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jc w:val="left"/>
              <w:rPr/>
            </w:pPr>
            <w:r>
              <w:rPr/>
              <w:t> </w:t>
            </w:r>
          </w:p>
        </w:tc>
      </w:tr>
      <w:tr>
        <w:trPr/>
        <w:tc>
          <w:tcPr>
            <w:tcW w:w="20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net sales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72"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9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6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519" w:type="dxa"/>
            <w:tcBorders/>
            <w:shd w:fill="CCECFF" w:val="clear"/>
            <w:vAlign w:val="center"/>
          </w:tcPr>
          <w:p>
            <w:pPr>
              <w:pStyle w:val="TableContents"/>
              <w:bidi w:val="0"/>
              <w:spacing w:before="0" w:after="283"/>
              <w:jc w:val="left"/>
              <w:rPr/>
            </w:pPr>
            <w:r>
              <w:rPr/>
              <w:t> </w:t>
            </w:r>
          </w:p>
        </w:tc>
      </w:tr>
      <w:tr>
        <w:trPr/>
        <w:tc>
          <w:tcPr>
            <w:tcW w:w="20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 by segment:</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72"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7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72"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3,558.3</w:t>
            </w:r>
          </w:p>
        </w:tc>
        <w:tc>
          <w:tcPr>
            <w:tcW w:w="166"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7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2,603.2</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72" w:type="dxa"/>
            <w:tcBorders/>
            <w:shd w:fill="CCECFF" w:val="clear"/>
            <w:vAlign w:val="center"/>
          </w:tcPr>
          <w:p>
            <w:pPr>
              <w:pStyle w:val="TableContents"/>
              <w:bidi w:val="0"/>
              <w:spacing w:before="0" w:after="283"/>
              <w:ind w:left="0" w:right="0" w:firstLine="100"/>
              <w:jc w:val="left"/>
              <w:rPr/>
            </w:pPr>
            <w:r>
              <w:rPr>
                <w:color w:val="000000"/>
              </w:rPr>
              <w:t>   </w:t>
            </w:r>
            <w:r>
              <w:rPr>
                <w:rFonts w:ascii="Times New Roman" w:hAnsi="Times New Roman"/>
                <w:b w:val="false"/>
                <w:color w:val="000000"/>
                <w:sz w:val="20"/>
              </w:rPr>
              <w:t xml:space="preserve">Core operating income (loss) </w:t>
            </w:r>
            <w:r>
              <w:rPr>
                <w:rFonts w:ascii="Times New Roman" w:hAnsi="Times New Roman"/>
                <w:b w:val="false"/>
                <w:color w:val="000000"/>
                <w:sz w:val="13"/>
              </w:rPr>
              <w:t>(1)</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7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1,159.9</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7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operating income (loss)</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72"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7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 by segment:</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90"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6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7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72"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7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155.1</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72"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72" w:type="dxa"/>
            <w:tcBorders/>
            <w:shd w:fill="FFFFFF" w:val="clear"/>
            <w:vAlign w:val="center"/>
          </w:tcPr>
          <w:p>
            <w:pPr>
              <w:pStyle w:val="TableContents"/>
              <w:bidi w:val="0"/>
              <w:spacing w:before="0" w:after="283"/>
              <w:ind w:left="0" w:right="0" w:firstLine="100"/>
              <w:jc w:val="left"/>
              <w:rPr/>
            </w:pPr>
            <w:r>
              <w:rPr>
                <w:color w:val="000000"/>
              </w:rPr>
              <w:t>   </w:t>
            </w:r>
            <w:r>
              <w:rPr>
                <w:rFonts w:ascii="Times New Roman" w:hAnsi="Times New Roman"/>
                <w:b w:val="false"/>
                <w:color w:val="000000"/>
                <w:sz w:val="20"/>
              </w:rPr>
              <w:t xml:space="preserve">Core adjusted EBITDA </w:t>
            </w:r>
            <w:r>
              <w:rPr>
                <w:rFonts w:ascii="Times New Roman" w:hAnsi="Times New Roman"/>
                <w:b w:val="false"/>
                <w:color w:val="000000"/>
                <w:sz w:val="13"/>
              </w:rPr>
              <w:t>(1)</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72"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67" w:type="dxa"/>
            <w:gridSpan w:val="2"/>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66" w:type="dxa"/>
            <w:tcBorders/>
            <w:shd w:fill="CCECFF" w:val="clear"/>
            <w:vAlign w:val="center"/>
          </w:tcPr>
          <w:p>
            <w:pPr>
              <w:pStyle w:val="TableContents"/>
              <w:bidi w:val="0"/>
              <w:spacing w:before="0" w:after="283"/>
              <w:jc w:val="right"/>
              <w:rPr/>
            </w:pPr>
            <w:r>
              <w:rPr/>
              <w:t> </w:t>
            </w:r>
          </w:p>
        </w:tc>
        <w:tc>
          <w:tcPr>
            <w:tcW w:w="519" w:type="dxa"/>
            <w:tcBorders/>
            <w:shd w:fill="CCECFF" w:val="clear"/>
            <w:vAlign w:val="center"/>
          </w:tcPr>
          <w:p>
            <w:pPr>
              <w:pStyle w:val="TableContents"/>
              <w:bidi w:val="0"/>
              <w:spacing w:before="0" w:after="283"/>
              <w:jc w:val="left"/>
              <w:rPr/>
            </w:pPr>
            <w:r>
              <w:rPr/>
              <w:t> </w:t>
            </w:r>
          </w:p>
        </w:tc>
      </w:tr>
      <w:tr>
        <w:trPr/>
        <w:tc>
          <w:tcPr>
            <w:tcW w:w="207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Non-GAAP consolidated adjusted </w:t>
              <w:br/>
              <w:t xml:space="preserve">     EBITDA </w:t>
            </w:r>
            <w:r>
              <w:rPr>
                <w:rFonts w:ascii="Times New Roman" w:hAnsi="Times New Roman"/>
                <w:b w:val="false"/>
                <w:color w:val="000000"/>
                <w:sz w:val="13"/>
              </w:rPr>
              <w:t>(2)</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045"/>
        <w:gridCol w:w="246"/>
        <w:gridCol w:w="211"/>
        <w:gridCol w:w="721"/>
        <w:gridCol w:w="166"/>
        <w:gridCol w:w="146"/>
        <w:gridCol w:w="154"/>
        <w:gridCol w:w="603"/>
        <w:gridCol w:w="166"/>
        <w:gridCol w:w="271"/>
        <w:gridCol w:w="146"/>
        <w:gridCol w:w="211"/>
        <w:gridCol w:w="721"/>
        <w:gridCol w:w="166"/>
        <w:gridCol w:w="146"/>
        <w:gridCol w:w="149"/>
        <w:gridCol w:w="588"/>
        <w:gridCol w:w="166"/>
        <w:gridCol w:w="271"/>
        <w:gridCol w:w="146"/>
        <w:gridCol w:w="211"/>
        <w:gridCol w:w="781"/>
        <w:gridCol w:w="166"/>
        <w:gridCol w:w="146"/>
        <w:gridCol w:w="146"/>
        <w:gridCol w:w="631"/>
        <w:gridCol w:w="166"/>
        <w:gridCol w:w="519"/>
      </w:tblGrid>
      <w:tr>
        <w:trPr/>
        <w:tc>
          <w:tcPr>
            <w:tcW w:w="20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04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565" w:type="dxa"/>
            <w:gridSpan w:val="1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204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56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204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229"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4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 by segment:</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9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4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45"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4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45"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45" w:type="dxa"/>
            <w:tcBorders/>
            <w:shd w:fill="FFFFFF" w:val="clear"/>
            <w:vAlign w:val="center"/>
          </w:tcPr>
          <w:p>
            <w:pPr>
              <w:pStyle w:val="TableContents"/>
              <w:bidi w:val="0"/>
              <w:spacing w:before="0" w:after="283"/>
              <w:ind w:left="0" w:right="0" w:firstLine="100"/>
              <w:jc w:val="left"/>
              <w:rPr/>
            </w:pPr>
            <w:r>
              <w:rPr>
                <w:color w:val="000000"/>
              </w:rPr>
              <w:t>   </w:t>
            </w:r>
            <w:r>
              <w:rPr>
                <w:rFonts w:ascii="Times New Roman" w:hAnsi="Times New Roman"/>
                <w:b w:val="false"/>
                <w:color w:val="000000"/>
                <w:sz w:val="20"/>
              </w:rPr>
              <w:t xml:space="preserve">Core net sales </w:t>
            </w:r>
            <w:r>
              <w:rPr>
                <w:rFonts w:ascii="Times New Roman" w:hAnsi="Times New Roman"/>
                <w:b w:val="false"/>
                <w:color w:val="000000"/>
                <w:sz w:val="13"/>
              </w:rPr>
              <w:t>(1)</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45"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1,311.0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Consolidated net sales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45"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9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519" w:type="dxa"/>
            <w:tcBorders/>
            <w:shd w:fill="CCEC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 by segment:</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45"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4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45"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66" w:type="dxa"/>
            <w:tcBorders/>
            <w:shd w:fill="CCECFF" w:val="clear"/>
            <w:vAlign w:val="center"/>
          </w:tcPr>
          <w:p>
            <w:pPr>
              <w:pStyle w:val="TableContents"/>
              <w:bidi w:val="0"/>
              <w:spacing w:before="0" w:after="283"/>
              <w:jc w:val="right"/>
              <w:rPr/>
            </w:pPr>
            <w:r>
              <w:rPr/>
              <w:t> </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4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814.8</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45" w:type="dxa"/>
            <w:tcBorders/>
            <w:shd w:fill="CCECFF" w:val="clear"/>
            <w:vAlign w:val="center"/>
          </w:tcPr>
          <w:p>
            <w:pPr>
              <w:pStyle w:val="TableContents"/>
              <w:bidi w:val="0"/>
              <w:spacing w:before="0" w:after="283"/>
              <w:ind w:left="0" w:right="0" w:firstLine="100"/>
              <w:jc w:val="left"/>
              <w:rPr/>
            </w:pPr>
            <w:r>
              <w:rPr>
                <w:color w:val="000000"/>
              </w:rPr>
              <w:t>   </w:t>
            </w:r>
            <w:r>
              <w:rPr>
                <w:rFonts w:ascii="Times New Roman" w:hAnsi="Times New Roman"/>
                <w:b w:val="false"/>
                <w:color w:val="000000"/>
                <w:sz w:val="20"/>
              </w:rPr>
              <w:t xml:space="preserve">Core operating income </w:t>
            </w:r>
            <w:r>
              <w:rPr>
                <w:rFonts w:ascii="Times New Roman" w:hAnsi="Times New Roman"/>
                <w:b w:val="false"/>
                <w:color w:val="000000"/>
                <w:sz w:val="13"/>
              </w:rPr>
              <w:t>(1)</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4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650.3</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4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Consolidated operating income </w:t>
              <w:br/>
              <w:t>   (loss)</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4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4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 by segment:</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9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4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45"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4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66" w:type="dxa"/>
            <w:tcBorders/>
            <w:shd w:fill="FFFFFF" w:val="clear"/>
            <w:vAlign w:val="center"/>
          </w:tcPr>
          <w:p>
            <w:pPr>
              <w:pStyle w:val="TableContents"/>
              <w:bidi w:val="0"/>
              <w:spacing w:before="0" w:after="283"/>
              <w:jc w:val="right"/>
              <w:rPr/>
            </w:pPr>
            <w:r>
              <w:rPr/>
              <w:t> </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45"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ind w:left="0" w:right="0" w:firstLine="200"/>
              <w:jc w:val="left"/>
              <w:rPr/>
            </w:pPr>
            <w:r>
              <w:rPr/>
              <w:t> </w:t>
            </w:r>
          </w:p>
        </w:tc>
      </w:tr>
      <w:tr>
        <w:trPr/>
        <w:tc>
          <w:tcPr>
            <w:tcW w:w="2045" w:type="dxa"/>
            <w:tcBorders/>
            <w:shd w:fill="FFFFFF" w:val="clear"/>
            <w:vAlign w:val="center"/>
          </w:tcPr>
          <w:p>
            <w:pPr>
              <w:pStyle w:val="TableContents"/>
              <w:bidi w:val="0"/>
              <w:spacing w:before="0" w:after="283"/>
              <w:ind w:left="0" w:right="0" w:firstLine="100"/>
              <w:jc w:val="left"/>
              <w:rPr/>
            </w:pPr>
            <w:r>
              <w:rPr>
                <w:color w:val="000000"/>
              </w:rPr>
              <w:t>   </w:t>
            </w:r>
            <w:r>
              <w:rPr>
                <w:rFonts w:ascii="Times New Roman" w:hAnsi="Times New Roman"/>
                <w:b w:val="false"/>
                <w:color w:val="000000"/>
                <w:sz w:val="20"/>
              </w:rPr>
              <w:t xml:space="preserve">Core adjusted EBITDA </w:t>
            </w:r>
            <w:r>
              <w:rPr>
                <w:rFonts w:ascii="Times New Roman" w:hAnsi="Times New Roman"/>
                <w:b w:val="false"/>
                <w:color w:val="000000"/>
                <w:sz w:val="13"/>
              </w:rPr>
              <w:t>(1)</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ind w:left="0" w:right="0" w:firstLine="200"/>
              <w:jc w:val="left"/>
              <w:rPr/>
            </w:pPr>
            <w:r>
              <w:rPr/>
              <w:t> </w:t>
            </w:r>
          </w:p>
        </w:tc>
      </w:tr>
      <w:tr>
        <w:trPr/>
        <w:tc>
          <w:tcPr>
            <w:tcW w:w="2045"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Home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54"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9" w:type="dxa"/>
            <w:tcBorders/>
            <w:shd w:fill="CCECFF" w:val="clear"/>
            <w:vAlign w:val="center"/>
          </w:tcPr>
          <w:p>
            <w:pPr>
              <w:pStyle w:val="TableContents"/>
              <w:bidi w:val="0"/>
              <w:spacing w:before="0" w:after="283"/>
              <w:jc w:val="left"/>
              <w:rPr/>
            </w:pPr>
            <w:r>
              <w:rPr/>
              <w:t> </w:t>
            </w:r>
          </w:p>
        </w:tc>
        <w:tc>
          <w:tcPr>
            <w:tcW w:w="58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CCEC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Non-GAAP consolidated adjusted</w:t>
              <w:br/>
              <w:t xml:space="preserve">   EBITDA </w:t>
            </w:r>
            <w:r>
              <w:rPr>
                <w:rFonts w:ascii="Times New Roman" w:hAnsi="Times New Roman"/>
                <w:b w:val="false"/>
                <w:color w:val="000000"/>
                <w:sz w:val="13"/>
              </w:rPr>
              <w:t>(2)</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4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NM – Not meaningful</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Core financial measures reflect the results of our CCS, OWN, NICS and ANS segments, in the aggregate, and exclude the results of our Home segment.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“Reconciliation of Non-GAAP Measures” within this Management’s Discussion and Analysis of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Connectivity and Cable Solutions Segment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sales for the CCS segment decreased for the three and nine months ended September 30, 2023 compared to the prior year periods primarily due to lower sales volumes as certain customers have paused spending as they right-size their inventory levels. From a regional perspective, for the three months ended September 30, 2023, net sales decreased in the U.S. by $293.2 million, the EMEA region by $52.9 million, Canada by $15.7 million, the CALA region by $10.5 million and the APAC region by $2.9 million compared to the prior year period. For the nine months ended September 30, 2023, net sales decreased in the U.S. by $463.8 million, the EMEA region by $112.6 million, the APAC region by $43.8 million, Canada by $31.8 million and the CALA region by $26.2 million compared to the prior year period. Foreign exchange rate changes impacted CCS segment net sales favorably by less than 1% for the three months ended September 30, 2023 but unfavorably by less than 1% during the nine months ended September 30, 2023 compared to the prior year periods.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CCS segment operating income and adjusted EBITDA decreased compared to the prior year periods primarily due to lower sales volumes, partially offset by lower SG&amp;A, material, freight and R&amp;D costs. The reductions in SG&amp;A costs impacting both operating income and adjusted EBITDA were primarily due to lower variable incentive compensation expense and cost savings initiatives, partially offset by higher bad debt expense. For the nine months ended September 30, 2023, CCS segment operating income and adjustment EBITDA also benefitted from favorable product mix. CCS segment operating income for the three months ended September 30, 2023 was also unfavorably impacted by an increase of $15.5 million in restructuring costs but favorably impacted by a decrease of $5.2 million in amortization expense. CCS operating income for the nine months ended September 30, 2023 was favorably impacted by a reduction of $24.1 million in amortization expense, a gain on the sale of an international manufacturing facility of $20.2 million that was recorded as a reduction to restructuring costs, a reduction of $9.4 million in transaction, transformation and integration costs and a $2.0 million recovery of accounts receivable that we had previously reserved during the prior year period for $3.7 million when we determined they were uncollectible due to the Russia/Ukraine conflict. During the nine months ended September 30, 2023, CCS operating income was unfavorably impacted by an increase of $20.3 million in restructuring costs, excluding the gain on the sale of a facility discussed above. Amortization expense, restructuring costs, transaction, transformation and integration costs and the charges and recoveries related to accounts receivable that were determined to be uncollectible as a result of the Russia/Ukraine conflict are not reflected in adjusted EBITDA. See “Reconciliation of Segment Adjusted EBITDA”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Outdoor Wireless Networks Segment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OWN segment net sales decreased compared to the prior year periods primarily due to lower sales volumes as a result of reductions in spending by certain North American operators. From a regional perspective, for the three months ended September 30, 2023, OWN segment net sales decreased in the U.S. by $150.8 million, the APAC region by $12.2 million, Canada by $5.0 million, the CALA region by $3.5 million and the EMEA region by $0.3 million compared to the prior year period. For the nine months ended September 30, 2023, net sales decreased in the U.S. by $389.7 million, the APAC region by $26.9 million, Canada by $23.9 million, the EMEA region by $12.7 million and the CALA region by $12.4 million compared to the prior year period. Foreign exchange rate changes impacted OWN segment net sales favorably by less than 1% for the three months ended September 30, 2023 but unfavorably by less than 1% during the nine months ended September 30, 2023 compared to the prior year periods.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OWN segment operating income and adjusted EBITDA decreased compared to the prior year periods primarily due to lower sales volumes and unfavorable product mix, partially offset by lower freight, material, SG&amp;A and R&amp;D costs. The reductions in SG&amp;A costs impacting both operating income and adjusted EBITDA were primarily due to cost savings initiatives and lower variable incentive compensation expense. OWN segment operating income for the three months ended September 30, 2023 was favorably impacted by a decrease of $3.1 million in amortization expense. OWN segment operating income for the nine months ended September 30, 2023 was favorably impacted by a reduction of $15.4 million in restructuring costs, a reduction of $9.0 million in amortization expense and a reduction of $4.0 million in transaction, transformation and integration costs. Amortization expense, restructuring costs and transaction, transformation and integration costs are not reflected in adjusted EBITDA. See “Reconciliation of Segment Adjusted EBITDA”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Networking, Intelligent Cellular and Security Solutions Segment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NICS segment net sales increased compared to the prior year periods primarily due to higher sales volumes of our Ruckus products as well as our distributed antenna systems products. Net sales for the nine months ended September 30, 2023 were also favorably impacted by pricing, although to a lesser degree than volume. From a regional perspective, for the three months ended September 30, 2023, NICS segment net sales increased in the U.S. by $34.2 million, the EMEA region by $4.3 million and Canada by $1.9 million, but decreased in the APAC region by $5.7 million and the CALA region by $3.6 million compared to the prior year period. For the nine months ended September 30, 2023, net sales increased in the U.S. by $159.9 million, the EMEA region by $62.5 million, the APAC region by $18.7 million, Canada by $6.7 million and the CALA region by $2.0 million compared to the prior year period. Foreign exchange rate changes impacted NICS segment net sales favorably by less than 1% during the three and nine months ended September 30, 2023 compared to the prior year periods.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NICS segment operating income and adjusted EBITDA both increased compared to the prior year periods primarily due to higher sales volumes, increased pricing and lower freight, R&amp;D, material and SG&amp;A costs. NICS segment operating income was favorably impacted by a gain of $3.5 million related to the settlement of an intellectual property litigation claim during the three and nine months ended September 30, 2023. The impacts of intellectual property litigation settlements are not reflected in adjusted EBITDA. See “Reconciliation of Segment Adjusted EBITDA” below.</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Access Network Solutions Segment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net sales decreased in the ANS segment due to lower sales volumes compared to the prior year periods. From a regional perspective, for the three months ended September 30, 2023, ANS segment net sales decreased in the U.S. by $62.2 million, the CALA region by $30.7 million, the EMEA region by $14.7 million, the APAC region by $12.9 million and Canada by $3.5 million compared to the prior year period. For the nine months ended September 30, 2023, net sales decreased in the CALA region by $49.7 million, the APAC region by $47.4 million and the EMEA region by $11.3 million, but increased in Canada by $4.7 million and the U.S. by $1.8 million compared to the prior year period. Foreign exchange rate changes impacted net sales favorably by less than 1% during the three months ended September 30, 2023 and unfavorably by less than 1% during the nine months ended September 30, 2023 compared to the prior year periods.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ANS segment operating loss and adjusted EBITDA were impacted unfavorably by lower sales volumes but benefited from lower freight, SG&amp;A and R&amp;D costs compared to the prior year periods. The reductions in SG&amp;A costs impacting both operating income and adjusted EBITDA were primarily due to cost savings initiatives and lower variable incentive compensation expense. ANS segment operating loss and adjusted EBITDA also benefited from favorable product mix for the three months ended September 30, 2023 compared to the prior year period. For the three and nine months ended September 30, 2023, ANS segment operating loss was negatively impacted by a goodwill impairment charge of $425.9 million and increases of $2.6 million and $6.1 million in restructuring costs, respectively. These negative impacts were partially offset by reductions of $24.3 million and $49.0 million in amortization expense in the three and nine months ended September 30, 2023, respectively. For the three months ended September 30, 2023, ANS segment operating loss was also unfavorably impacted by an increase of $10.4 million in transaction, transformation and integration costs. Goodwill impairment charges, amortization expense and transaction, transformation and integration costs are not reflected in adjusted EBITDA. See “Reconciliation of Segment Adjusted EBITDA”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Home Networks Segment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sales for the Home segment decreased for the three and nine months ended September 30, 2023 due to lower sales volumes compared to the prior year periods. From a regional perspective, for the three months ended September 30, 2023, Home segment net sales decreased in the U.S. by $65.8 million, the EMEA region by $34.6 million, the CALA region by $25.3 million, Canada by $11.3 million and the APAC region by $5.0 million compared to the prior year period. For the nine months ended September 30, 2023, net sales decreased in the U.S. by $194.0 million, the EMEA region by $112.6 million, the CALA region by $63.9 million, Canada by $12.5 million and the APAC region by $11.9 million compared to the prior year period. Foreign exchange rate changes did not have a significant impact to Home segment net sales for the three months ended September 30, 2023 and impacted Home segment net sales unfavorably by less than 1% during the nine months ended September 30, 2023 compared to the prior year periods.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Home segment operating loss and adjusted EBITDA compared to the prior year periods were unfavorably impacted by lower sales volumes, partially offset by favorable product mix and lower freight, SG&amp;A and R&amp;D costs. For the three months ended September 30, 2023, Home segment operating loss and adjusted EBITDA were also favorably impacted by lower material costs. For the three and nine months ended September 30, 2023, Home segment operating loss was unfavorably impacted by an intangible asset impairment charge of $469.2 million. For the nine months ended September 30, 2023, Home segment operating loss was unfavorably impacted by an increase of $7.7 million in restructuring costs and $5.6 million in transaction, transformation and integration costs, partially offset by a favorable impact of the reversal of $11.0 million in intellectual property litigation settlement charges related to a claim that was settled for less than previously estimated. Asset impairment charges, intellectual property litigation settlement charges, transaction, transformation and integration costs and restructuring costs are not reflected in adjusted EBITDA. See “Reconciliation of Segment Adjusted EBITDA” below.</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liquidity_capital_resources"/>
      <w:bookmarkEnd w:id="13"/>
      <w:r>
        <w:rPr>
          <w:rFonts w:ascii="Times New Roman" w:hAnsi="Times New Roman"/>
          <w:b/>
          <w:color w:val="000000"/>
          <w:sz w:val="20"/>
        </w:rPr>
        <w:t>LIQUIDITY AND CAPITAL RESOURCES</w:t>
      </w:r>
    </w:p>
    <w:p>
      <w:pPr>
        <w:pStyle w:val="TextBody"/>
        <w:bidi w:val="0"/>
        <w:spacing w:before="120" w:after="200"/>
        <w:jc w:val="left"/>
        <w:rPr>
          <w:rFonts w:ascii="Times New Roman" w:hAnsi="Times New Roman"/>
          <w:b w:val="false"/>
          <w:color w:val="000000"/>
          <w:sz w:val="20"/>
        </w:rPr>
      </w:pPr>
      <w:r>
        <w:rPr>
          <w:rFonts w:ascii="Times New Roman" w:hAnsi="Times New Roman"/>
          <w:b w:val="false"/>
          <w:color w:val="000000"/>
          <w:sz w:val="20"/>
        </w:rPr>
        <w:t>The following table summarizes certain key measures of our liquidity and capital resources (in millions, except percentage data):</w:t>
      </w:r>
    </w:p>
    <w:tbl>
      <w:tblPr>
        <w:tblW w:w="10205" w:type="dxa"/>
        <w:jc w:val="left"/>
        <w:tblInd w:w="0" w:type="dxa"/>
        <w:tblLayout w:type="fixed"/>
        <w:tblCellMar>
          <w:top w:w="28" w:type="dxa"/>
          <w:left w:w="28" w:type="dxa"/>
          <w:bottom w:w="28" w:type="dxa"/>
          <w:right w:w="28" w:type="dxa"/>
        </w:tblCellMar>
      </w:tblPr>
      <w:tblGrid>
        <w:gridCol w:w="4443"/>
        <w:gridCol w:w="146"/>
        <w:gridCol w:w="267"/>
        <w:gridCol w:w="916"/>
        <w:gridCol w:w="271"/>
        <w:gridCol w:w="146"/>
        <w:gridCol w:w="257"/>
        <w:gridCol w:w="881"/>
        <w:gridCol w:w="271"/>
        <w:gridCol w:w="146"/>
        <w:gridCol w:w="211"/>
        <w:gridCol w:w="781"/>
        <w:gridCol w:w="166"/>
        <w:gridCol w:w="146"/>
        <w:gridCol w:w="146"/>
        <w:gridCol w:w="526"/>
        <w:gridCol w:w="166"/>
        <w:gridCol w:w="319"/>
      </w:tblGrid>
      <w:tr>
        <w:trPr/>
        <w:tc>
          <w:tcPr>
            <w:tcW w:w="4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44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31"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444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CECFF" w:val="clear"/>
            <w:vAlign w:val="center"/>
          </w:tcPr>
          <w:p>
            <w:pPr>
              <w:pStyle w:val="TableContents"/>
              <w:bidi w:val="0"/>
              <w:spacing w:before="0" w:after="283"/>
              <w:jc w:val="left"/>
              <w:rPr/>
            </w:pPr>
            <w:r>
              <w:rPr/>
              <w:t> </w:t>
            </w:r>
          </w:p>
        </w:tc>
        <w:tc>
          <w:tcPr>
            <w:tcW w:w="26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518.9</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7"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398.1</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166" w:type="dxa"/>
            <w:tcBorders/>
            <w:shd w:fill="CCECFF" w:val="clear"/>
            <w:vAlign w:val="center"/>
          </w:tcPr>
          <w:p>
            <w:pPr>
              <w:pStyle w:val="TableContents"/>
              <w:bidi w:val="0"/>
              <w:spacing w:before="0" w:after="283"/>
              <w:jc w:val="left"/>
              <w:rPr/>
            </w:pPr>
            <w:r>
              <w:rPr/>
              <w:t> </w:t>
            </w:r>
          </w:p>
        </w:tc>
        <w:tc>
          <w:tcPr>
            <w:tcW w:w="319"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4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Working capital </w:t>
            </w:r>
            <w:r>
              <w:rPr>
                <w:rFonts w:ascii="Times New Roman" w:hAnsi="Times New Roman"/>
                <w:b w:val="false"/>
                <w:color w:val="000000"/>
                <w:sz w:val="13"/>
              </w:rPr>
              <w:t>(1)</w:t>
            </w:r>
            <w:r>
              <w:rPr>
                <w:rFonts w:ascii="Times New Roman" w:hAnsi="Times New Roman"/>
                <w:b w:val="false"/>
                <w:color w:val="000000"/>
                <w:sz w:val="20"/>
              </w:rPr>
              <w:t>, excluding cash and cash</w:t>
              <w:br/>
              <w:t>   equivalents and current portion of long-term debt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1,252.6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9" w:type="dxa"/>
            <w:tcBorders/>
            <w:shd w:fill="FFFFFF" w:val="clear"/>
            <w:vAlign w:val="center"/>
          </w:tcPr>
          <w:p>
            <w:pPr>
              <w:pStyle w:val="TableContents"/>
              <w:bidi w:val="0"/>
              <w:spacing w:before="0" w:after="283"/>
              <w:jc w:val="left"/>
              <w:rPr/>
            </w:pPr>
            <w:r>
              <w:rPr/>
              <w:t> </w:t>
            </w:r>
          </w:p>
        </w:tc>
      </w:tr>
      <w:tr>
        <w:trPr/>
        <w:tc>
          <w:tcPr>
            <w:tcW w:w="444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Availability under Revolving Credit Facility</w:t>
            </w:r>
          </w:p>
        </w:tc>
        <w:tc>
          <w:tcPr>
            <w:tcW w:w="146" w:type="dxa"/>
            <w:tcBorders/>
            <w:shd w:fill="CCECFF" w:val="clear"/>
            <w:vAlign w:val="center"/>
          </w:tcPr>
          <w:p>
            <w:pPr>
              <w:pStyle w:val="TableContents"/>
              <w:bidi w:val="0"/>
              <w:spacing w:before="0" w:after="283"/>
              <w:jc w:val="left"/>
              <w:rPr/>
            </w:pPr>
            <w:r>
              <w:rPr/>
              <w:t> </w:t>
            </w:r>
          </w:p>
        </w:tc>
        <w:tc>
          <w:tcPr>
            <w:tcW w:w="267" w:type="dxa"/>
            <w:tcBorders/>
            <w:shd w:fill="CCECFF" w:val="clear"/>
            <w:vAlign w:val="center"/>
          </w:tcPr>
          <w:p>
            <w:pPr>
              <w:pStyle w:val="TableContents"/>
              <w:bidi w:val="0"/>
              <w:spacing w:before="0" w:after="283"/>
              <w:jc w:val="left"/>
              <w:rPr/>
            </w:pPr>
            <w:r>
              <w:rPr/>
              <w:t> </w:t>
            </w:r>
          </w:p>
        </w:tc>
        <w:tc>
          <w:tcPr>
            <w:tcW w:w="91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771.4</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7"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908.8</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9" w:type="dxa"/>
            <w:tcBorders/>
            <w:shd w:fill="CCECFF" w:val="clear"/>
            <w:vAlign w:val="center"/>
          </w:tcPr>
          <w:p>
            <w:pPr>
              <w:pStyle w:val="TableContents"/>
              <w:bidi w:val="0"/>
              <w:spacing w:before="0" w:after="283"/>
              <w:jc w:val="left"/>
              <w:rPr/>
            </w:pPr>
            <w:r>
              <w:rPr/>
              <w:t> </w:t>
            </w:r>
          </w:p>
        </w:tc>
      </w:tr>
      <w:tr>
        <w:trPr/>
        <w:tc>
          <w:tcPr>
            <w:tcW w:w="44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 including current portion</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9,385.3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9,501.6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9" w:type="dxa"/>
            <w:tcBorders/>
            <w:shd w:fill="FFFFFF" w:val="clear"/>
            <w:vAlign w:val="center"/>
          </w:tcPr>
          <w:p>
            <w:pPr>
              <w:pStyle w:val="TableContents"/>
              <w:bidi w:val="0"/>
              <w:spacing w:before="0" w:after="283"/>
              <w:jc w:val="left"/>
              <w:rPr/>
            </w:pPr>
            <w:r>
              <w:rPr/>
              <w:t> </w:t>
            </w:r>
          </w:p>
        </w:tc>
      </w:tr>
      <w:tr>
        <w:trPr/>
        <w:tc>
          <w:tcPr>
            <w:tcW w:w="4443"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Total capitalization </w:t>
            </w:r>
            <w:r>
              <w:rPr>
                <w:rFonts w:ascii="Times New Roman" w:hAnsi="Times New Roman"/>
                <w:b w:val="false"/>
                <w:color w:val="000000"/>
                <w:sz w:val="13"/>
              </w:rPr>
              <w:t>(2)</w:t>
            </w:r>
          </w:p>
        </w:tc>
        <w:tc>
          <w:tcPr>
            <w:tcW w:w="146" w:type="dxa"/>
            <w:tcBorders/>
            <w:shd w:fill="CCECFF" w:val="clear"/>
            <w:vAlign w:val="center"/>
          </w:tcPr>
          <w:p>
            <w:pPr>
              <w:pStyle w:val="TableContents"/>
              <w:bidi w:val="0"/>
              <w:spacing w:before="0" w:after="283"/>
              <w:jc w:val="left"/>
              <w:rPr/>
            </w:pPr>
            <w:r>
              <w:rPr/>
              <w:t> </w:t>
            </w:r>
          </w:p>
        </w:tc>
        <w:tc>
          <w:tcPr>
            <w:tcW w:w="267" w:type="dxa"/>
            <w:tcBorders/>
            <w:shd w:fill="CCECFF" w:val="clear"/>
            <w:vAlign w:val="center"/>
          </w:tcPr>
          <w:p>
            <w:pPr>
              <w:pStyle w:val="TableContents"/>
              <w:bidi w:val="0"/>
              <w:spacing w:before="0" w:after="283"/>
              <w:jc w:val="left"/>
              <w:rPr/>
            </w:pPr>
            <w:r>
              <w:rPr/>
              <w:t> </w:t>
            </w:r>
          </w:p>
        </w:tc>
        <w:tc>
          <w:tcPr>
            <w:tcW w:w="91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8,041.5</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7"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9,055.9</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9" w:type="dxa"/>
            <w:tcBorders/>
            <w:shd w:fill="CCECFF" w:val="clear"/>
            <w:vAlign w:val="center"/>
          </w:tcPr>
          <w:p>
            <w:pPr>
              <w:pStyle w:val="TableContents"/>
              <w:bidi w:val="0"/>
              <w:spacing w:before="0" w:after="283"/>
              <w:jc w:val="left"/>
              <w:rPr/>
            </w:pPr>
            <w:r>
              <w:rPr/>
              <w:t> </w:t>
            </w:r>
          </w:p>
        </w:tc>
      </w:tr>
      <w:tr>
        <w:trPr/>
        <w:tc>
          <w:tcPr>
            <w:tcW w:w="44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 as a percentage of total capitalization</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Working capital consisted of current assets of $3,214.7 million less current liabilities of $1,546.5 million as of September 30, 2023. Working capital consisted of current assets of $3,726.2 million less current liabilities of $2,107.5 million as of December 31, 2022.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Total capitalization includes long-term debt, including the current portion, Series A convertible preferred stock (the Convertible Preferred Stock) and stockholders’ deficit.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second quarter of 2023, we amended our 2026 Term Loan to replace LIBOR with an adjusted Secured Overnight Financing Rate as administered by the Federal Reserve Bank of New York (SOFR) as the reference interest rate in anticipation of the cessation of LIBOR in 2023. The changes were effective July 1, 2023 and we do not anticipate a material impact on our results of operations or cash flows with the transition to SOFR in our variable rate debt.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primary uses of liquidity include debt service requirements, voluntary debt repayments, redemptions or purchases on the open market, working capital requirements, capital expenditures, business separation transaction costs, transformation costs, restructuring costs, dividends related to the Convertible Preferred Stock if we elect to pay such dividends in cash, litigation settlements, income tax payments and other contractual obligations.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currently believe that our existing cash, cash equivalents and cash flows from operations, combined with availability under our Revolving Credit Facility, will be sufficient to meet our presently anticipated future cash needs for at least the next 12 months. However, we may be required to obtain additional financing in the future to address our liquidity needs, and, subject to market conditions, we may from time to time seek to amend, refinance, restructure or repurchase our outstanding indebtedness and/or raise additional equity financing. Any debt we incur in the future may have terms (including cash interest rate, financial covenants and covenants limiting our operating flexibility or ability to obtain additional financings) that are not favorable to us, and any such additional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could have a material and adverse effect on our results of operations, cash flows, financial condition and liquidity.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experience volatility in cash flows between periods due to, among other reasons, variability in the timing of vendor payments and customer receipts. We may, from time to time, seek to obtain alternative sources of financing, by borrowing additional amounts under our Revolving Credit Facility,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aware that our outstanding debt securities and debt under our credit facilities are currently trading at substantial discounts to their respective principal amounts. In order to reduce future cash interest payments, as well as future amounts due at maturity or upon redemption, we may, from time to time, purchase such debt for cash, in exchange for common or preferred stock or debt, or for a combination thereof, in each case in open-market purchases and/or privately negotiated transactions and upon such terms and at such prices as we may determine. Any such transactions will be dependent upon several factors, including our liquidity requirements, contractual restrictions, general market conditions and applicable regulatory, legal and accounting factors. Whether or not we engage in any such transactions will be determined at our discretion. The amounts involved in any such transactions, individually or in the aggregate, may be material.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the interest payments on our variable rate debt increased as a result of the Federal Reserve’s increase in interest rates that began in 2022. Our interest payments on our variable rate debt will continue to increase if the Federal Reserve continues to raise interest rates. See Part II, Item 7A, “Quantitative and Qualitative Disclosure About Market Risk” in our 2022 Annual Report for further discussion of our interest rate risk.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July 2023 we entered into a long-term supply contract with a third party to secure the supply of certain raw materials. Under the terms of the contract, we will make advance payments through 2026 totaling $120.0 million (undiscounted) and based on meeting certain minimum purchase requirements through 2031, such advance payments will be credited and applied to future orders on a quarterly basis beginning in 2027 through 2031. We have committed to purchases of raw material under this agreement beginning in 2023 and growing to a level of approximately $137 million per year by 2026 and continuing through 2032.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September 30, 2023, our non-GAAP pro forma adjusted EBITDA, as measured pursuant to the indentures governing our notes, was $1,329.1 million, which included annualized savings expected from cost reduction initiatives of $132.7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as of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Cash and cash equivalents increased during the nine months ended September 30, 2023 primarily driven by cash generated by operating activities of $229.5 million and proceeds from the sale of property, plant and equipment of $41.8 million, partially offset by cash paid for debt repurchases of $92.1 million and</w:t>
      </w:r>
      <w:r>
        <w:rPr>
          <w:rFonts w:ascii="Times New Roman" w:hAnsi="Times New Roman"/>
          <w:color w:val="000000"/>
          <w:sz w:val="20"/>
        </w:rPr>
        <w:t xml:space="preserve"> </w:t>
      </w:r>
      <w:r>
        <w:rPr>
          <w:rFonts w:ascii="Times New Roman" w:hAnsi="Times New Roman"/>
          <w:b w:val="false"/>
          <w:color w:val="000000"/>
          <w:sz w:val="20"/>
        </w:rPr>
        <w:t>capital expenditures of $43.9 million. The proceeds on the sale of property, plant and equipment primarily relate to the sale of an international manufacturing facility that was closed as part of CommScope NEXT. As of September 30, 2023, approximately 46% of our cash and cash equivalents were held outside the U.S.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Working capital, excluding cash and cash equivalents and the current portion of long-term debt, decreased during the nine months ended September 30, 2023 primarily due to lower accounts receivable with unfavorable operating performance driving lower net sales in the third quarter of 2023 compared to the fourth quarter of 2022 and lower inventory due to inventory reduction initiatives. These were partially offset by reductions in current liabilities with unfavorable operating performance driving lower accounts payable and lower accrued liabilities due to the pay out of our 2022 variable incentive compensation and a reduced 2023 incentive. During the nine months ended September 30, 2023, we sold accounts receivable under customer-sponsored supplier financing agreements. This had an impact of approximately $40 million on working capital, excluding cash and cash equivalents and the current portion of long-term debt, as of September 30, 2023. Under these agreements, we are able to sell certain accounts receivable to a bank, and we retain no interest in and have no servicing responsibilities for the accounts receivable sold. The net reduction in total capitalization during the nine months ended September 30, 2023 reflected the net loss for the period.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 Overview</w:t>
      </w:r>
    </w:p>
    <w:tbl>
      <w:tblPr>
        <w:tblW w:w="9037" w:type="dxa"/>
        <w:jc w:val="left"/>
        <w:tblInd w:w="0" w:type="dxa"/>
        <w:tblLayout w:type="fixed"/>
        <w:tblCellMar>
          <w:top w:w="28" w:type="dxa"/>
          <w:left w:w="28" w:type="dxa"/>
          <w:bottom w:w="28" w:type="dxa"/>
          <w:right w:w="28" w:type="dxa"/>
        </w:tblCellMar>
      </w:tblPr>
      <w:tblGrid>
        <w:gridCol w:w="4276"/>
        <w:gridCol w:w="146"/>
        <w:gridCol w:w="211"/>
        <w:gridCol w:w="631"/>
        <w:gridCol w:w="166"/>
        <w:gridCol w:w="146"/>
        <w:gridCol w:w="211"/>
        <w:gridCol w:w="631"/>
        <w:gridCol w:w="166"/>
        <w:gridCol w:w="146"/>
        <w:gridCol w:w="211"/>
        <w:gridCol w:w="631"/>
        <w:gridCol w:w="166"/>
        <w:gridCol w:w="146"/>
        <w:gridCol w:w="146"/>
        <w:gridCol w:w="631"/>
        <w:gridCol w:w="376"/>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shd w:fill="FFFFFF" w:val="cle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3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76" w:type="dxa"/>
            <w:tcBorders/>
            <w:shd w:fill="FFFFFF" w:val="clear"/>
            <w:vAlign w:val="center"/>
          </w:tcPr>
          <w:p>
            <w:pPr>
              <w:pStyle w:val="TableContents"/>
              <w:bidi w:val="0"/>
              <w:spacing w:before="0" w:after="283"/>
              <w:jc w:val="center"/>
              <w:rPr/>
            </w:pPr>
            <w:r>
              <w:rPr/>
              <w:t> </w:t>
            </w:r>
          </w:p>
        </w:tc>
      </w:tr>
      <w:tr>
        <w:trPr/>
        <w:tc>
          <w:tcPr>
            <w:tcW w:w="42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operating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376" w:type="dxa"/>
            <w:tcBorders/>
            <w:shd w:fill="CCECFF" w:val="clear"/>
            <w:vAlign w:val="center"/>
          </w:tcPr>
          <w:p>
            <w:pPr>
              <w:pStyle w:val="TableContents"/>
              <w:bidi w:val="0"/>
              <w:spacing w:before="0" w:after="283"/>
              <w:jc w:val="righ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376" w:type="dxa"/>
            <w:tcBorders/>
            <w:shd w:fill="FFFFFF" w:val="clear"/>
            <w:vAlign w:val="center"/>
          </w:tcPr>
          <w:p>
            <w:pPr>
              <w:pStyle w:val="TableContents"/>
              <w:bidi w:val="0"/>
              <w:spacing w:before="0" w:after="283"/>
              <w:jc w:val="right"/>
              <w:rPr/>
            </w:pPr>
            <w:r>
              <w:rPr/>
              <w:t> </w:t>
            </w:r>
          </w:p>
        </w:tc>
      </w:tr>
      <w:tr>
        <w:trPr/>
        <w:tc>
          <w:tcPr>
            <w:tcW w:w="42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financing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(177.3</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(325.9</w:t>
            </w:r>
          </w:p>
        </w:tc>
        <w:tc>
          <w:tcPr>
            <w:tcW w:w="3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righ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NM – Not meaningful</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tbl>
      <w:tblPr>
        <w:tblW w:w="10205" w:type="dxa"/>
        <w:jc w:val="left"/>
        <w:tblInd w:w="0" w:type="dxa"/>
        <w:tblLayout w:type="fixed"/>
        <w:tblCellMar>
          <w:top w:w="28" w:type="dxa"/>
          <w:left w:w="28" w:type="dxa"/>
          <w:bottom w:w="28" w:type="dxa"/>
          <w:right w:w="28" w:type="dxa"/>
        </w:tblCellMar>
      </w:tblPr>
      <w:tblGrid>
        <w:gridCol w:w="7252"/>
        <w:gridCol w:w="146"/>
        <w:gridCol w:w="211"/>
        <w:gridCol w:w="631"/>
        <w:gridCol w:w="166"/>
        <w:gridCol w:w="146"/>
        <w:gridCol w:w="211"/>
        <w:gridCol w:w="631"/>
        <w:gridCol w:w="811"/>
      </w:tblGrid>
      <w:tr>
        <w:trPr/>
        <w:tc>
          <w:tcPr>
            <w:tcW w:w="7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811" w:type="dxa"/>
            <w:tcBorders/>
            <w:shd w:fill="FFFFFF" w:val="clear"/>
            <w:vAlign w:val="center"/>
          </w:tcPr>
          <w:p>
            <w:pPr>
              <w:pStyle w:val="TableContents"/>
              <w:bidi w:val="0"/>
              <w:spacing w:before="0" w:after="283"/>
              <w:jc w:val="center"/>
              <w:rPr/>
            </w:pPr>
            <w:r>
              <w:rPr/>
              <w:t> </w:t>
            </w:r>
          </w:p>
        </w:tc>
      </w:tr>
      <w:tr>
        <w:trPr/>
        <w:tc>
          <w:tcPr>
            <w:tcW w:w="72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811" w:type="dxa"/>
            <w:tcBorders/>
            <w:shd w:fill="FFFFFF" w:val="clear"/>
            <w:vAlign w:val="center"/>
          </w:tcPr>
          <w:p>
            <w:pPr>
              <w:pStyle w:val="TableContents"/>
              <w:bidi w:val="0"/>
              <w:spacing w:before="0" w:after="283"/>
              <w:ind w:left="0" w:right="0" w:firstLine="200"/>
              <w:jc w:val="center"/>
              <w:rPr/>
            </w:pPr>
            <w:r>
              <w:rPr/>
              <w:t> </w:t>
            </w:r>
          </w:p>
        </w:tc>
      </w:tr>
      <w:tr>
        <w:trPr/>
        <w:tc>
          <w:tcPr>
            <w:tcW w:w="7252"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w:t>
            </w:r>
          </w:p>
        </w:tc>
        <w:tc>
          <w:tcPr>
            <w:tcW w:w="811"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5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loss to net cash generated by (used in) operating activities: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252" w:type="dxa"/>
            <w:tcBorders/>
            <w:shd w:fill="CCEC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529.1</w:t>
            </w:r>
          </w:p>
        </w:tc>
        <w:tc>
          <w:tcPr>
            <w:tcW w:w="811" w:type="dxa"/>
            <w:tcBorders/>
            <w:shd w:fill="CCECFF" w:val="clear"/>
            <w:vAlign w:val="center"/>
          </w:tcPr>
          <w:p>
            <w:pPr>
              <w:pStyle w:val="TableContents"/>
              <w:bidi w:val="0"/>
              <w:spacing w:before="0" w:after="283"/>
              <w:ind w:left="0" w:right="0" w:firstLine="400"/>
              <w:jc w:val="left"/>
              <w:rPr/>
            </w:pPr>
            <w:r>
              <w:rPr/>
              <w:t> </w:t>
            </w:r>
          </w:p>
        </w:tc>
      </w:tr>
      <w:tr>
        <w:trPr/>
        <w:tc>
          <w:tcPr>
            <w:tcW w:w="725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252" w:type="dxa"/>
            <w:tcBorders/>
            <w:shd w:fill="CCEC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w:t>
            </w:r>
          </w:p>
        </w:tc>
        <w:tc>
          <w:tcPr>
            <w:tcW w:w="811" w:type="dxa"/>
            <w:tcBorders/>
            <w:shd w:fill="CCEC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5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Asset impairments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252" w:type="dxa"/>
            <w:tcBorders/>
            <w:shd w:fill="CCEC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Changes in assets and liabilities:</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811" w:type="dxa"/>
            <w:tcBorders/>
            <w:shd w:fill="CCECFF" w:val="clear"/>
            <w:vAlign w:val="center"/>
          </w:tcPr>
          <w:p>
            <w:pPr>
              <w:pStyle w:val="TableContents"/>
              <w:bidi w:val="0"/>
              <w:spacing w:before="0" w:after="283"/>
              <w:ind w:left="0" w:right="0" w:firstLine="600"/>
              <w:jc w:val="left"/>
              <w:rPr/>
            </w:pPr>
            <w:r>
              <w:rPr/>
              <w:t> </w:t>
            </w:r>
          </w:p>
        </w:tc>
      </w:tr>
      <w:tr>
        <w:trPr/>
        <w:tc>
          <w:tcPr>
            <w:tcW w:w="72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52" w:type="dxa"/>
            <w:tcBorders/>
            <w:shd w:fill="CCEC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(153.3</w:t>
            </w:r>
          </w:p>
        </w:tc>
        <w:tc>
          <w:tcPr>
            <w:tcW w:w="811" w:type="dxa"/>
            <w:tcBorders/>
            <w:shd w:fill="CCEC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52" w:type="dxa"/>
            <w:tcBorders/>
            <w:shd w:fill="CCEC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payable and other liabilities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(154.8</w:t>
            </w:r>
          </w:p>
        </w:tc>
        <w:tc>
          <w:tcPr>
            <w:tcW w:w="811" w:type="dxa"/>
            <w:tcBorders/>
            <w:shd w:fill="CCEC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5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25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operating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w:t>
            </w:r>
          </w:p>
        </w:tc>
        <w:tc>
          <w:tcPr>
            <w:tcW w:w="8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the increase in cash generated by operating activities compared to the prior year period was primarily driven by reduced inventory purchases and cost saving initiatives, partially offset by higher interest payments.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tbl>
      <w:tblPr>
        <w:tblW w:w="6879" w:type="dxa"/>
        <w:jc w:val="left"/>
        <w:tblInd w:w="0" w:type="dxa"/>
        <w:tblLayout w:type="fixed"/>
        <w:tblCellMar>
          <w:top w:w="28" w:type="dxa"/>
          <w:left w:w="28" w:type="dxa"/>
          <w:bottom w:w="28" w:type="dxa"/>
          <w:right w:w="28" w:type="dxa"/>
        </w:tblCellMar>
      </w:tblPr>
      <w:tblGrid>
        <w:gridCol w:w="4536"/>
        <w:gridCol w:w="146"/>
        <w:gridCol w:w="211"/>
        <w:gridCol w:w="526"/>
        <w:gridCol w:w="166"/>
        <w:gridCol w:w="146"/>
        <w:gridCol w:w="211"/>
        <w:gridCol w:w="526"/>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453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Additions to property, plant and equipment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sale of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53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color w:val="000000"/>
          <w:sz w:val="20"/>
        </w:rPr>
        <w:t>During the nine months ended September 30, 2023, the increase</w:t>
      </w:r>
      <w:r>
        <w:rPr>
          <w:rFonts w:ascii="Times New Roman" w:hAnsi="Times New Roman"/>
          <w:color w:val="FF0000"/>
          <w:sz w:val="20"/>
        </w:rPr>
        <w:t xml:space="preserve"> </w:t>
      </w:r>
      <w:r>
        <w:rPr>
          <w:rFonts w:ascii="Times New Roman" w:hAnsi="Times New Roman"/>
          <w:b w:val="false"/>
          <w:color w:val="000000"/>
          <w:sz w:val="20"/>
        </w:rPr>
        <w:t>in</w:t>
      </w:r>
      <w:r>
        <w:rPr>
          <w:rFonts w:ascii="Times New Roman" w:hAnsi="Times New Roman"/>
          <w:color w:val="FF0000"/>
          <w:sz w:val="20"/>
        </w:rPr>
        <w:t xml:space="preserve"> </w:t>
      </w:r>
      <w:r>
        <w:rPr>
          <w:rFonts w:ascii="Times New Roman" w:hAnsi="Times New Roman"/>
          <w:b w:val="false"/>
          <w:color w:val="000000"/>
          <w:sz w:val="20"/>
        </w:rPr>
        <w:t>cash generated by (used in) investing activities compared to the prior year period was primarily driven by $41.8 million of proceeds from the sale of property, plant and equipment and a $34.8 decrease in capital expenditures. The current period proceeds on the sale of property, plant and equipment primarily relate to the sale of an international manufacturing facility that was closed as part of CommScope NEXT. Cash generated by (used in) investing activities were favorably impacted in the current year period by proceeds of $11.2 million related to the sale of an equity investment and proceeds of $9.3 million on the sale of certain nonfinancial assets. Cash used in investing activities in the prior year period was impacted favorably by proceeds of $6.9 million related to the sale of an equity method investment, a return of $4.5 million on equity method investments and proceeds of $5.0 million on the sale of certain nonfinancial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tbl>
      <w:tblPr>
        <w:tblW w:w="9819" w:type="dxa"/>
        <w:jc w:val="left"/>
        <w:tblInd w:w="0" w:type="dxa"/>
        <w:tblLayout w:type="fixed"/>
        <w:tblCellMar>
          <w:top w:w="28" w:type="dxa"/>
          <w:left w:w="28" w:type="dxa"/>
          <w:bottom w:w="28" w:type="dxa"/>
          <w:right w:w="28" w:type="dxa"/>
        </w:tblCellMar>
      </w:tblPr>
      <w:tblGrid>
        <w:gridCol w:w="7266"/>
        <w:gridCol w:w="146"/>
        <w:gridCol w:w="211"/>
        <w:gridCol w:w="631"/>
        <w:gridCol w:w="166"/>
        <w:gridCol w:w="146"/>
        <w:gridCol w:w="211"/>
        <w:gridCol w:w="631"/>
        <w:gridCol w:w="411"/>
      </w:tblGrid>
      <w:tr>
        <w:trPr/>
        <w:tc>
          <w:tcPr>
            <w:tcW w:w="7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7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726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debt repaid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(252.0</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debt repurchases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26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debt proceeds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333.0</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7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Dividends paid on Series A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6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the issuance of common shares under equity-based compensation plans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7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Tax withholding payments for vested equity-based compensation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6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7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generated by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we repurchased $81.4 million aggregate principal amount of our 8.25% senior notes due 2027, $4.3 million aggregate principal amount of our 7.125% senior notes due 2028 and $25.4 million aggregate principal amount of our 6.00% senior notes due 2025, for total cash consideration paid of $92.1 million. During the nine months ended September 30, 2023, we also paid three quarterly scheduled amortization payments totaling $24.0 million on the 2026 Term Loan. We did not borrow under our senior secured asset-based revolving credit facility (Revolving Credit Facility) during the nine months ended September 30, 2023. As of September 30, 2023, we had no outstanding borrowings under the Revolving Credit Facility and the remaining availability was $771.4 million, reflecting a borrowing base subject to maximum capacity of $865.3 million reduced by $93.9 million of letters of credit issued under the Revolving Credit Facility.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we borrowed $333.0 million and repaid $228.0 million under the Revolving Credit Facility. We also paid three quarterly scheduled amortization payments totaling $24.0 million on the 2026 Term Loan during the nine months ended September 30,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Cash generated by (used in) financing activities for the nine months ended September 30, 2023 was favorably impacted by the $45.9 million of dividends paid in additional shares of the Convertible Preferred Stock in the current year period compared to the $14.9 million cash dividend payment and $29.2 million of dividends paid in additional shares of the Convertible Preferred Stock in the prior year period. During the nine months ended September 30, 2023, employees surrendered shares of our common stock to satisfy their tax withholding requirements on vested restricted stock units and performance share units, which reduced cash flows by $8.9 million compared to $14.0 million in the prior year period.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Reconciliation of Non-GAAP Measures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also believe presenting these non-GAAP results for the twelve months ended September 30, 2023 provides an additional tool for assessing our recent performance. Such amounts are unaudited and are derived by subtracting the data for the nine months ended September 30, 2022 from the data for the year ended December 31, 2022 and then adding the data for the nine months ended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pStyle w:val="TextBody"/>
        <w:bidi w:val="0"/>
        <w:spacing w:before="240" w:after="283"/>
        <w:jc w:val="left"/>
        <w:rPr>
          <w:rFonts w:ascii="Times New Roman" w:hAnsi="Times New Roman"/>
          <w:sz w:val="20"/>
        </w:rPr>
      </w:pPr>
      <w:r>
        <w:rPr>
          <w:rFonts w:ascii="Times New Roman" w:hAnsi="Times New Roman"/>
          <w:b/>
          <w:i/>
          <w:color w:val="000000"/>
          <w:sz w:val="20"/>
        </w:rPr>
        <w:t>Consolidated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520"/>
        <w:gridCol w:w="246"/>
        <w:gridCol w:w="211"/>
        <w:gridCol w:w="631"/>
        <w:gridCol w:w="166"/>
        <w:gridCol w:w="146"/>
        <w:gridCol w:w="211"/>
        <w:gridCol w:w="571"/>
        <w:gridCol w:w="166"/>
        <w:gridCol w:w="146"/>
        <w:gridCol w:w="211"/>
        <w:gridCol w:w="631"/>
        <w:gridCol w:w="166"/>
        <w:gridCol w:w="146"/>
        <w:gridCol w:w="211"/>
        <w:gridCol w:w="631"/>
        <w:gridCol w:w="166"/>
        <w:gridCol w:w="146"/>
        <w:gridCol w:w="223"/>
        <w:gridCol w:w="826"/>
        <w:gridCol w:w="166"/>
        <w:gridCol w:w="146"/>
        <w:gridCol w:w="235"/>
        <w:gridCol w:w="873"/>
        <w:gridCol w:w="414"/>
      </w:tblGrid>
      <w:tr>
        <w:trPr/>
        <w:tc>
          <w:tcPr>
            <w:tcW w:w="25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52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w:t>
            </w:r>
          </w:p>
        </w:tc>
        <w:tc>
          <w:tcPr>
            <w:tcW w:w="414" w:type="dxa"/>
            <w:tcBorders/>
            <w:shd w:fill="FFFFFF" w:val="clear"/>
            <w:vAlign w:val="center"/>
          </w:tcPr>
          <w:p>
            <w:pPr>
              <w:pStyle w:val="TableContents"/>
              <w:bidi w:val="0"/>
              <w:spacing w:before="0" w:after="283"/>
              <w:jc w:val="center"/>
              <w:rPr/>
            </w:pPr>
            <w:r>
              <w:rPr/>
              <w:t> </w:t>
            </w:r>
          </w:p>
        </w:tc>
      </w:tr>
      <w:tr>
        <w:trPr/>
        <w:tc>
          <w:tcPr>
            <w:tcW w:w="252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414" w:type="dxa"/>
            <w:tcBorders/>
            <w:shd w:fill="FFFFFF" w:val="clear"/>
            <w:vAlign w:val="center"/>
          </w:tcPr>
          <w:p>
            <w:pPr>
              <w:pStyle w:val="TableContents"/>
              <w:bidi w:val="0"/>
              <w:spacing w:before="0" w:after="283"/>
              <w:jc w:val="center"/>
              <w:rPr/>
            </w:pPr>
            <w:r>
              <w:rPr/>
              <w:t> </w:t>
            </w:r>
          </w:p>
        </w:tc>
      </w:tr>
      <w:tr>
        <w:trPr/>
        <w:tc>
          <w:tcPr>
            <w:tcW w:w="252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4" w:type="dxa"/>
            <w:tcBorders/>
            <w:shd w:fill="FFFFFF" w:val="clear"/>
            <w:vAlign w:val="center"/>
          </w:tcPr>
          <w:p>
            <w:pPr>
              <w:pStyle w:val="TableContents"/>
              <w:bidi w:val="0"/>
              <w:spacing w:before="0" w:after="283"/>
              <w:jc w:val="center"/>
              <w:rPr/>
            </w:pPr>
            <w:r>
              <w:rPr/>
              <w:t> </w:t>
            </w:r>
          </w:p>
        </w:tc>
      </w:tr>
      <w:tr>
        <w:trPr/>
        <w:tc>
          <w:tcPr>
            <w:tcW w:w="252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025"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4" w:type="dxa"/>
            <w:tcBorders/>
            <w:shd w:fill="FFFFFF" w:val="clear"/>
            <w:vAlign w:val="center"/>
          </w:tcPr>
          <w:p>
            <w:pPr>
              <w:pStyle w:val="TableContents"/>
              <w:bidi w:val="0"/>
              <w:spacing w:before="0" w:after="283"/>
              <w:jc w:val="center"/>
              <w:rPr/>
            </w:pPr>
            <w:r>
              <w:rPr/>
              <w:t> </w:t>
            </w:r>
          </w:p>
        </w:tc>
      </w:tr>
      <w:tr>
        <w:trPr/>
        <w:tc>
          <w:tcPr>
            <w:tcW w:w="252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(1,286.9</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3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(2,034.6</w:t>
            </w:r>
          </w:p>
        </w:tc>
        <w:tc>
          <w:tcPr>
            <w:tcW w:w="41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 (benefit)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(175.3</w:t>
            </w:r>
          </w:p>
        </w:tc>
        <w:tc>
          <w:tcPr>
            <w:tcW w:w="4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0"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Interest income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35" w:type="dxa"/>
            <w:tcBorders/>
            <w:shd w:fill="CCECFF" w:val="clear"/>
            <w:vAlign w:val="center"/>
          </w:tcPr>
          <w:p>
            <w:pPr>
              <w:pStyle w:val="TableContents"/>
              <w:bidi w:val="0"/>
              <w:spacing w:before="0" w:after="283"/>
              <w:jc w:val="left"/>
              <w:rPr/>
            </w:pPr>
            <w:r>
              <w:rPr/>
              <w:t> </w:t>
            </w:r>
          </w:p>
        </w:tc>
        <w:tc>
          <w:tcPr>
            <w:tcW w:w="87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414"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0"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666.3</w:t>
            </w:r>
          </w:p>
        </w:tc>
        <w:tc>
          <w:tcPr>
            <w:tcW w:w="414" w:type="dxa"/>
            <w:tcBorders/>
            <w:shd w:fill="FFFFFF" w:val="clear"/>
            <w:vAlign w:val="center"/>
          </w:tcPr>
          <w:p>
            <w:pPr>
              <w:pStyle w:val="TableContents"/>
              <w:bidi w:val="0"/>
              <w:spacing w:before="0" w:after="283"/>
              <w:jc w:val="left"/>
              <w:rPr/>
            </w:pPr>
            <w:r>
              <w:rPr/>
              <w:t> </w:t>
            </w:r>
          </w:p>
        </w:tc>
      </w:tr>
      <w:tr>
        <w:trPr/>
        <w:tc>
          <w:tcPr>
            <w:tcW w:w="2520"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2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4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0"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(1,560.4</w:t>
            </w:r>
          </w:p>
        </w:tc>
        <w:tc>
          <w:tcPr>
            <w:tcW w:w="4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0"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Adjustments: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49"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108" w:type="dxa"/>
            <w:gridSpan w:val="2"/>
            <w:tcBorders/>
            <w:shd w:fill="CCECFF" w:val="clear"/>
            <w:vAlign w:val="center"/>
          </w:tcPr>
          <w:p>
            <w:pPr>
              <w:pStyle w:val="TableContents"/>
              <w:bidi w:val="0"/>
              <w:spacing w:before="0" w:after="283"/>
              <w:jc w:val="left"/>
              <w:rPr/>
            </w:pPr>
            <w:r>
              <w:rPr/>
              <w:t> </w:t>
            </w:r>
          </w:p>
        </w:tc>
        <w:tc>
          <w:tcPr>
            <w:tcW w:w="414" w:type="dxa"/>
            <w:tcBorders/>
            <w:shd w:fill="CCECFF" w:val="clear"/>
            <w:vAlign w:val="center"/>
          </w:tcPr>
          <w:p>
            <w:pPr>
              <w:pStyle w:val="TableContents"/>
              <w:bidi w:val="0"/>
              <w:spacing w:before="0" w:after="283"/>
              <w:ind w:left="0" w:right="0" w:firstLine="200"/>
              <w:jc w:val="left"/>
              <w:rPr/>
            </w:pPr>
            <w:r>
              <w:rPr/>
              <w:t> </w:t>
            </w:r>
          </w:p>
        </w:tc>
      </w:tr>
      <w:tr>
        <w:trPr/>
        <w:tc>
          <w:tcPr>
            <w:tcW w:w="2520"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 xml:space="preserve">Amortization of purchased intangible </w:t>
              <w:br/>
              <w:t>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520"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Restructuring costs, net</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35" w:type="dxa"/>
            <w:tcBorders/>
            <w:shd w:fill="CCECFF" w:val="clear"/>
            <w:vAlign w:val="center"/>
          </w:tcPr>
          <w:p>
            <w:pPr>
              <w:pStyle w:val="TableContents"/>
              <w:bidi w:val="0"/>
              <w:spacing w:before="0" w:after="283"/>
              <w:jc w:val="left"/>
              <w:rPr/>
            </w:pPr>
            <w:r>
              <w:rPr/>
              <w:t> </w:t>
            </w:r>
          </w:p>
        </w:tc>
        <w:tc>
          <w:tcPr>
            <w:tcW w:w="87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414" w:type="dxa"/>
            <w:tcBorders/>
            <w:shd w:fill="CCECFF" w:val="clear"/>
            <w:vAlign w:val="center"/>
          </w:tcPr>
          <w:p>
            <w:pPr>
              <w:pStyle w:val="TableContents"/>
              <w:bidi w:val="0"/>
              <w:spacing w:before="0" w:after="283"/>
              <w:ind w:left="0" w:right="0" w:firstLine="200"/>
              <w:jc w:val="left"/>
              <w:rPr/>
            </w:pPr>
            <w:r>
              <w:rPr/>
              <w:t> </w:t>
            </w:r>
          </w:p>
        </w:tc>
      </w:tr>
      <w:tr>
        <w:trPr/>
        <w:tc>
          <w:tcPr>
            <w:tcW w:w="2520"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520"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Asset impairments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1,119.6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35" w:type="dxa"/>
            <w:tcBorders/>
            <w:shd w:fill="CCECFF" w:val="clear"/>
            <w:vAlign w:val="center"/>
          </w:tcPr>
          <w:p>
            <w:pPr>
              <w:pStyle w:val="TableContents"/>
              <w:bidi w:val="0"/>
              <w:spacing w:before="0" w:after="283"/>
              <w:jc w:val="left"/>
              <w:rPr/>
            </w:pPr>
            <w:r>
              <w:rPr/>
              <w:t> </w:t>
            </w:r>
          </w:p>
        </w:tc>
        <w:tc>
          <w:tcPr>
            <w:tcW w:w="87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2,014.7</w:t>
            </w:r>
          </w:p>
        </w:tc>
        <w:tc>
          <w:tcPr>
            <w:tcW w:w="414" w:type="dxa"/>
            <w:tcBorders/>
            <w:shd w:fill="CCECFF" w:val="clear"/>
            <w:vAlign w:val="center"/>
          </w:tcPr>
          <w:p>
            <w:pPr>
              <w:pStyle w:val="TableContents"/>
              <w:bidi w:val="0"/>
              <w:spacing w:before="0" w:after="283"/>
              <w:ind w:left="0" w:right="0" w:firstLine="200"/>
              <w:jc w:val="left"/>
              <w:rPr/>
            </w:pPr>
            <w:r>
              <w:rPr/>
              <w:t> </w:t>
            </w:r>
          </w:p>
        </w:tc>
      </w:tr>
      <w:tr>
        <w:trPr/>
        <w:tc>
          <w:tcPr>
            <w:tcW w:w="2520"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val="false"/>
                <w:color w:val="000000"/>
                <w:sz w:val="20"/>
              </w:rPr>
              <w:t xml:space="preserve">Transaction, transformation and </w:t>
              <w:br/>
              <w:t xml:space="preserve">   integration costs </w:t>
            </w:r>
            <w:r>
              <w:rPr>
                <w:rFonts w:ascii="Times New Roman" w:hAnsi="Times New Roman"/>
                <w:b w:val="false"/>
                <w:color w:val="000000"/>
                <w:sz w:val="13"/>
              </w:rPr>
              <w:t>(1)</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520" w:type="dxa"/>
            <w:tcBorders/>
            <w:shd w:fill="CCEC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val="false"/>
                <w:color w:val="000000"/>
                <w:sz w:val="20"/>
              </w:rPr>
              <w:t xml:space="preserve">Acquisition accounting adjustments </w:t>
            </w:r>
            <w:r>
              <w:rPr>
                <w:rFonts w:ascii="Times New Roman" w:hAnsi="Times New Roman"/>
                <w:b w:val="false"/>
                <w:color w:val="000000"/>
                <w:sz w:val="12"/>
              </w:rPr>
              <w:t>(2)</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35" w:type="dxa"/>
            <w:tcBorders/>
            <w:shd w:fill="CCECFF" w:val="clear"/>
            <w:vAlign w:val="center"/>
          </w:tcPr>
          <w:p>
            <w:pPr>
              <w:pStyle w:val="TableContents"/>
              <w:bidi w:val="0"/>
              <w:spacing w:before="0" w:after="283"/>
              <w:jc w:val="left"/>
              <w:rPr/>
            </w:pPr>
            <w:r>
              <w:rPr/>
              <w:t> </w:t>
            </w:r>
          </w:p>
        </w:tc>
        <w:tc>
          <w:tcPr>
            <w:tcW w:w="87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414" w:type="dxa"/>
            <w:tcBorders/>
            <w:shd w:fill="CCECFF" w:val="clear"/>
            <w:vAlign w:val="center"/>
          </w:tcPr>
          <w:p>
            <w:pPr>
              <w:pStyle w:val="TableContents"/>
              <w:bidi w:val="0"/>
              <w:spacing w:before="0" w:after="283"/>
              <w:ind w:left="0" w:right="0" w:firstLine="200"/>
              <w:jc w:val="left"/>
              <w:rPr/>
            </w:pPr>
            <w:r>
              <w:rPr/>
              <w:t> </w:t>
            </w:r>
          </w:p>
        </w:tc>
      </w:tr>
      <w:tr>
        <w:trPr/>
        <w:tc>
          <w:tcPr>
            <w:tcW w:w="2520"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Patent claims and litigation settlements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520"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 xml:space="preserve">Reserve (recovery) of Russian </w:t>
              <w:br/>
              <w:t>   accounts receivable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35" w:type="dxa"/>
            <w:tcBorders/>
            <w:shd w:fill="CCECFF" w:val="clear"/>
            <w:vAlign w:val="center"/>
          </w:tcPr>
          <w:p>
            <w:pPr>
              <w:pStyle w:val="TableContents"/>
              <w:bidi w:val="0"/>
              <w:spacing w:before="0" w:after="283"/>
              <w:jc w:val="left"/>
              <w:rPr/>
            </w:pPr>
            <w:r>
              <w:rPr/>
              <w:t> </w:t>
            </w:r>
          </w:p>
        </w:tc>
        <w:tc>
          <w:tcPr>
            <w:tcW w:w="87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414"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20"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val="false"/>
                <w:color w:val="000000"/>
                <w:sz w:val="20"/>
              </w:rPr>
              <w:t xml:space="preserve">Cyber incident costs </w:t>
            </w:r>
            <w:r>
              <w:rPr>
                <w:rFonts w:ascii="Times New Roman" w:hAnsi="Times New Roman"/>
                <w:b w:val="false"/>
                <w:color w:val="000000"/>
                <w:sz w:val="13"/>
              </w:rPr>
              <w:t>(3)</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520"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Depreciation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w:t>
            </w:r>
          </w:p>
        </w:tc>
        <w:tc>
          <w:tcPr>
            <w:tcW w:w="4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Non-GAAP adjusted EBITDA</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In 2023, primarily reflects transaction costs related to certain CommScope NEXT initiatives. In 2022, primarily reflects transformation costs related to CommScope NEXT and integration costs related to the ARRIS International plc (ARRIS) acquisition.</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60" w:after="283"/>
        <w:jc w:val="left"/>
        <w:rPr>
          <w:rFonts w:ascii="Times New Roman" w:hAnsi="Times New Roman"/>
          <w:b w:val="false"/>
          <w:color w:val="000000"/>
          <w:sz w:val="18"/>
        </w:rPr>
      </w:pPr>
      <w:r>
        <w:rPr>
          <w:rFonts w:ascii="Times New Roman" w:hAnsi="Times New Roman"/>
          <w:b w:val="false"/>
          <w:color w:val="000000"/>
          <w:sz w:val="18"/>
        </w:rPr>
        <w:t>In 2023 and 2022, reflects ARRIS acquisition accounting adjustments related to reducing deferred revenue to its estimated fair value.</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60" w:after="283"/>
        <w:jc w:val="left"/>
        <w:rPr>
          <w:rFonts w:ascii="Times New Roman" w:hAnsi="Times New Roman"/>
          <w:b w:val="false"/>
          <w:color w:val="000000"/>
          <w:sz w:val="18"/>
        </w:rPr>
      </w:pPr>
      <w:r>
        <w:rPr>
          <w:rFonts w:ascii="Times New Roman" w:hAnsi="Times New Roman"/>
          <w:b w:val="false"/>
          <w:color w:val="000000"/>
          <w:sz w:val="18"/>
        </w:rPr>
        <w:t>In 2023, primarily reflects costs of the identification, investigation, defense and recovery efforts related to a cyber incident that occurred in late March of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Reconciliation of Segment Adjusted EBITDA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Segment adjusted EBITDA is provided as a performance measure in Note 7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(loss) in Note 7.</w:t>
      </w:r>
    </w:p>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Connectivity and Cable Solutions Segment</w:t>
      </w:r>
    </w:p>
    <w:tbl>
      <w:tblPr>
        <w:tblW w:w="8862" w:type="dxa"/>
        <w:jc w:val="left"/>
        <w:tblInd w:w="0" w:type="dxa"/>
        <w:tblLayout w:type="fixed"/>
        <w:tblCellMar>
          <w:top w:w="28" w:type="dxa"/>
          <w:left w:w="28" w:type="dxa"/>
          <w:bottom w:w="28" w:type="dxa"/>
          <w:right w:w="28" w:type="dxa"/>
        </w:tblCellMar>
      </w:tblPr>
      <w:tblGrid>
        <w:gridCol w:w="4286"/>
        <w:gridCol w:w="246"/>
        <w:gridCol w:w="211"/>
        <w:gridCol w:w="466"/>
        <w:gridCol w:w="146"/>
        <w:gridCol w:w="146"/>
        <w:gridCol w:w="211"/>
        <w:gridCol w:w="571"/>
        <w:gridCol w:w="166"/>
        <w:gridCol w:w="146"/>
        <w:gridCol w:w="211"/>
        <w:gridCol w:w="571"/>
        <w:gridCol w:w="166"/>
        <w:gridCol w:w="146"/>
        <w:gridCol w:w="211"/>
        <w:gridCol w:w="571"/>
        <w:gridCol w:w="391"/>
      </w:tblGrid>
      <w:tr>
        <w:trPr/>
        <w:tc>
          <w:tcPr>
            <w:tcW w:w="4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93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28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292.1</w:t>
            </w:r>
          </w:p>
        </w:tc>
        <w:tc>
          <w:tcPr>
            <w:tcW w:w="391" w:type="dxa"/>
            <w:tcBorders/>
            <w:shd w:fill="CCECFF" w:val="clear"/>
            <w:vAlign w:val="center"/>
          </w:tcPr>
          <w:p>
            <w:pPr>
              <w:pStyle w:val="TableContents"/>
              <w:bidi w:val="0"/>
              <w:spacing w:before="0" w:after="283"/>
              <w:jc w:val="left"/>
              <w:rPr/>
            </w:pPr>
            <w:r>
              <w:rPr/>
              <w:t> </w:t>
            </w:r>
          </w:p>
        </w:tc>
      </w:tr>
      <w:tr>
        <w:trPr/>
        <w:tc>
          <w:tcPr>
            <w:tcW w:w="4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8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28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Restructuring costs,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8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28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Transaction, transformation and integration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8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Patent claims and litigation settlements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28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Reserve (recovery) of Russian accounts receivable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8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Cyber incident costs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28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Depreciation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455.6</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Outdoor Wireless Networks Segment</w:t>
      </w:r>
    </w:p>
    <w:tbl>
      <w:tblPr>
        <w:tblW w:w="8629" w:type="dxa"/>
        <w:jc w:val="left"/>
        <w:tblInd w:w="0" w:type="dxa"/>
        <w:tblLayout w:type="fixed"/>
        <w:tblCellMar>
          <w:top w:w="28" w:type="dxa"/>
          <w:left w:w="28" w:type="dxa"/>
          <w:bottom w:w="28" w:type="dxa"/>
          <w:right w:w="28" w:type="dxa"/>
        </w:tblCellMar>
      </w:tblPr>
      <w:tblGrid>
        <w:gridCol w:w="4196"/>
        <w:gridCol w:w="246"/>
        <w:gridCol w:w="211"/>
        <w:gridCol w:w="467"/>
        <w:gridCol w:w="146"/>
        <w:gridCol w:w="146"/>
        <w:gridCol w:w="211"/>
        <w:gridCol w:w="467"/>
        <w:gridCol w:w="146"/>
        <w:gridCol w:w="146"/>
        <w:gridCol w:w="211"/>
        <w:gridCol w:w="571"/>
        <w:gridCol w:w="146"/>
        <w:gridCol w:w="146"/>
        <w:gridCol w:w="211"/>
        <w:gridCol w:w="571"/>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6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79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w:t>
            </w:r>
          </w:p>
        </w:tc>
        <w:tc>
          <w:tcPr>
            <w:tcW w:w="391" w:type="dxa"/>
            <w:tcBorders/>
            <w:shd w:fill="CCECFF" w:val="cle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Restructuring costs,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Transaction, transformation and integration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Cyber incident costs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Depreciation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228.6</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Networking Intelligent Cellular and Security Solutions Segment</w:t>
      </w:r>
    </w:p>
    <w:tbl>
      <w:tblPr>
        <w:tblW w:w="8622" w:type="dxa"/>
        <w:jc w:val="left"/>
        <w:tblInd w:w="0" w:type="dxa"/>
        <w:tblLayout w:type="fixed"/>
        <w:tblCellMar>
          <w:top w:w="28" w:type="dxa"/>
          <w:left w:w="28" w:type="dxa"/>
          <w:bottom w:w="28" w:type="dxa"/>
          <w:right w:w="28" w:type="dxa"/>
        </w:tblCellMar>
      </w:tblPr>
      <w:tblGrid>
        <w:gridCol w:w="4196"/>
        <w:gridCol w:w="246"/>
        <w:gridCol w:w="211"/>
        <w:gridCol w:w="466"/>
        <w:gridCol w:w="166"/>
        <w:gridCol w:w="146"/>
        <w:gridCol w:w="211"/>
        <w:gridCol w:w="466"/>
        <w:gridCol w:w="146"/>
        <w:gridCol w:w="146"/>
        <w:gridCol w:w="211"/>
        <w:gridCol w:w="571"/>
        <w:gridCol w:w="166"/>
        <w:gridCol w:w="146"/>
        <w:gridCol w:w="211"/>
        <w:gridCol w:w="526"/>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78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(85.4</w:t>
            </w:r>
          </w:p>
        </w:tc>
        <w:tc>
          <w:tcPr>
            <w:tcW w:w="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Restructuring costs (credits),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Transaction, transformation and integration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Acquisition accounting adjustments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Patent claims and litigation settlements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Cyber incident costs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Depreciation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Access Network Solutions Segment</w:t>
      </w:r>
    </w:p>
    <w:tbl>
      <w:tblPr>
        <w:tblW w:w="8972" w:type="dxa"/>
        <w:jc w:val="left"/>
        <w:tblInd w:w="0" w:type="dxa"/>
        <w:tblLayout w:type="fixed"/>
        <w:tblCellMar>
          <w:top w:w="28" w:type="dxa"/>
          <w:left w:w="28" w:type="dxa"/>
          <w:bottom w:w="28" w:type="dxa"/>
          <w:right w:w="28" w:type="dxa"/>
        </w:tblCellMar>
      </w:tblPr>
      <w:tblGrid>
        <w:gridCol w:w="4196"/>
        <w:gridCol w:w="246"/>
        <w:gridCol w:w="211"/>
        <w:gridCol w:w="631"/>
        <w:gridCol w:w="166"/>
        <w:gridCol w:w="146"/>
        <w:gridCol w:w="211"/>
        <w:gridCol w:w="526"/>
        <w:gridCol w:w="166"/>
        <w:gridCol w:w="146"/>
        <w:gridCol w:w="211"/>
        <w:gridCol w:w="631"/>
        <w:gridCol w:w="166"/>
        <w:gridCol w:w="146"/>
        <w:gridCol w:w="211"/>
        <w:gridCol w:w="571"/>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13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loss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w:t>
            </w:r>
          </w:p>
        </w:tc>
        <w:tc>
          <w:tcPr>
            <w:tcW w:w="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185.5</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Restructuring costs,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Asset impairments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Transaction, transformation and integration costs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Acquisition accounting adjustments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Cyber incident costs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Depreciation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189.9</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Home Networks Segment</w:t>
      </w:r>
    </w:p>
    <w:tbl>
      <w:tblPr>
        <w:tblW w:w="8927" w:type="dxa"/>
        <w:jc w:val="left"/>
        <w:tblInd w:w="0" w:type="dxa"/>
        <w:tblLayout w:type="fixed"/>
        <w:tblCellMar>
          <w:top w:w="28" w:type="dxa"/>
          <w:left w:w="28" w:type="dxa"/>
          <w:bottom w:w="28" w:type="dxa"/>
          <w:right w:w="28" w:type="dxa"/>
        </w:tblCellMar>
      </w:tblPr>
      <w:tblGrid>
        <w:gridCol w:w="4196"/>
        <w:gridCol w:w="246"/>
        <w:gridCol w:w="211"/>
        <w:gridCol w:w="631"/>
        <w:gridCol w:w="166"/>
        <w:gridCol w:w="146"/>
        <w:gridCol w:w="211"/>
        <w:gridCol w:w="526"/>
        <w:gridCol w:w="166"/>
        <w:gridCol w:w="146"/>
        <w:gridCol w:w="211"/>
        <w:gridCol w:w="631"/>
        <w:gridCol w:w="166"/>
        <w:gridCol w:w="146"/>
        <w:gridCol w:w="211"/>
        <w:gridCol w:w="526"/>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09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loss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w:t>
            </w:r>
          </w:p>
        </w:tc>
        <w:tc>
          <w:tcPr>
            <w:tcW w:w="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Restructuring costs,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Asset impairments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Transaction, transformation and integration costs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Acquisition accounting adjustments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Patent claims and litigation settlements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Cyber incident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Depreciation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val="false"/>
          <w:color w:val="000000"/>
          <w:sz w:val="20"/>
        </w:rPr>
      </w:pPr>
      <w:r>
        <w:rPr>
          <w:rFonts w:ascii="Times New Roman" w:hAnsi="Times New Roman"/>
          <w:b w:val="false"/>
          <w:color w:val="000000"/>
          <w:sz w:val="20"/>
        </w:rPr>
        <w:t>Note: Components may not sum to total due to rounding.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This Quarterly Report on Form 10-Q or any other oral or written statements made by us or on our behalf may include forward-looking statements that reflect our current views with respect to future events and financial performance. These statements may discuss goals, targets,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substantial indebtedness and restrictive debt covenants; our ability to incur additional indebtedness and increases in interest rates; our ability to generate cash to service our indebtedness; the divestiture of the Home segment and its effect on our remaining businesses; the potential separation, divestiture or discontinuance of another business or product line, including uncertainty regarding the timing of the separation, achievement of the expected benefits and the potential disruption to the business;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United States affecting trade, including the risk and uncertainty related to tariffs or potential trade wars and potential changes to laws and policies, that may impact our products;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 These and other factors are discussed in greater detail in our 2022 Annual Report on Form 10-K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report, except as otherwise may be required by law.</w:t>
      </w:r>
    </w:p>
    <w:p>
      <w:pPr>
        <w:pStyle w:val="TextBody"/>
        <w:bidi w:val="0"/>
        <w:spacing w:before="360" w:after="283"/>
        <w:jc w:val="left"/>
        <w:rPr>
          <w:rFonts w:ascii="Times New Roman" w:hAnsi="Times New Roman"/>
          <w:b/>
          <w:color w:val="000000"/>
          <w:sz w:val="20"/>
        </w:rPr>
      </w:pPr>
      <w:bookmarkStart w:id="14" w:name="item_3_quantitative_qualitative_discl"/>
      <w:bookmarkEnd w:id="14"/>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material changes in the interest rate risk, commodity price risk or foreign currency exchange rate risk information previously reported under Item 7A of our 2022 Annual Report, as filed with the SEC on February 23,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4_controls_procedures"/>
      <w:bookmarkEnd w:id="15"/>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third quarter of 2023, as part of our integration initiatives, we transitioned our ANS segment to our SAP S/4HANA enterprise resource planning platform. We assessed any potential impacts on our internal controls and processes related both to the implementation of the system and the activities performed using the new system. As a result, we have updated our current processes and the respective control activities to align with the upgraded system functionality. We believe the necessary steps have been taken to monitor and maintain appropriate internal control over financial reporting during this period of change, and we will continue to evaluate the operating effectiveness of related key controls during subsequent periods.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Reference should be made to our 2022 Annual Report for additional information regarding discussion of the effectiveness of the Company’s controls and procedures. Other than the SAP S/4HANA integration initiative noted above, there have been no changes in our internal control over financial reporting during the quarter ended September 30, 2023 that have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6" w:name="part_iior_information"/>
      <w:bookmarkEnd w:id="16"/>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defend and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is also either a plaintiff or a defendant in certain other pending legal matters in the normal course of business. Management believes that, upon final disposition, none of these other pending legal matters will have a material adverse effect on the Company’s business or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pStyle w:val="TextBody"/>
        <w:bidi w:val="0"/>
        <w:spacing w:before="36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color w:val="212529"/>
          <w:sz w:val="20"/>
        </w:rPr>
      </w:pPr>
      <w:r>
        <w:rPr>
          <w:rFonts w:ascii="Times New Roman" w:hAnsi="Times New Roman"/>
          <w:b w:val="false"/>
          <w:color w:val="212529"/>
          <w:sz w:val="20"/>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Item 1A, "Risk Factors" of our 2022 Annual Report.</w:t>
      </w:r>
    </w:p>
    <w:p>
      <w:pPr>
        <w:pStyle w:val="TextBody"/>
        <w:bidi w:val="0"/>
        <w:spacing w:before="360" w:after="283"/>
        <w:jc w:val="left"/>
        <w:rPr>
          <w:rFonts w:ascii="Times New Roman" w:hAnsi="Times New Roman"/>
          <w:b/>
          <w:color w:val="000000"/>
          <w:sz w:val="20"/>
        </w:rPr>
      </w:pPr>
      <w:bookmarkStart w:id="19" w:name="item_2_unregistered_sales_equity_securit"/>
      <w:bookmarkEnd w:id="19"/>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00"/>
        <w:jc w:val="left"/>
        <w:rPr>
          <w:rFonts w:ascii="Times New Roman" w:hAnsi="Times New Roman"/>
          <w:b w:val="false"/>
          <w:color w:val="000000"/>
          <w:sz w:val="20"/>
        </w:rPr>
      </w:pPr>
      <w:r>
        <w:rPr>
          <w:rFonts w:ascii="Times New Roman" w:hAnsi="Times New Roman"/>
          <w:b w:val="false"/>
          <w:color w:val="000000"/>
          <w:sz w:val="20"/>
        </w:rPr>
        <w:t>The following table summarizes the stock purchase activity for the three months ended September 30, 2023:</w:t>
      </w:r>
    </w:p>
    <w:tbl>
      <w:tblPr>
        <w:tblW w:w="10205" w:type="dxa"/>
        <w:jc w:val="left"/>
        <w:tblInd w:w="0" w:type="dxa"/>
        <w:tblLayout w:type="fixed"/>
        <w:tblCellMar>
          <w:top w:w="28" w:type="dxa"/>
          <w:left w:w="28" w:type="dxa"/>
          <w:bottom w:w="28" w:type="dxa"/>
          <w:right w:w="28" w:type="dxa"/>
        </w:tblCellMar>
      </w:tblPr>
      <w:tblGrid>
        <w:gridCol w:w="1855"/>
        <w:gridCol w:w="146"/>
        <w:gridCol w:w="195"/>
        <w:gridCol w:w="765"/>
        <w:gridCol w:w="146"/>
        <w:gridCol w:w="146"/>
        <w:gridCol w:w="242"/>
        <w:gridCol w:w="538"/>
        <w:gridCol w:w="146"/>
        <w:gridCol w:w="146"/>
        <w:gridCol w:w="801"/>
        <w:gridCol w:w="1908"/>
        <w:gridCol w:w="146"/>
        <w:gridCol w:w="146"/>
        <w:gridCol w:w="1001"/>
        <w:gridCol w:w="1643"/>
        <w:gridCol w:w="235"/>
      </w:tblGrid>
      <w:tr>
        <w:trPr/>
        <w:tc>
          <w:tcPr>
            <w:tcW w:w="1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6"/>
              </w:rPr>
              <w:t xml:space="preserve">Total Number </w:t>
              <w:br/>
              <w:t xml:space="preserve">of Shares </w:t>
              <w:br/>
              <w:t>Purchased</w:t>
            </w:r>
            <w:r>
              <w:rPr>
                <w:rFonts w:ascii="Times New Roman" w:hAnsi="Times New Roman"/>
                <w:color w:val="000000"/>
                <w:sz w:val="18"/>
              </w:rPr>
              <w:t xml:space="preserve">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w:t>
              <w:br/>
              <w:t xml:space="preserve">Price Paid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Value of Shares that May Yet be Purchased Under the Plans or Programs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July 1, 2023 - July 31, 2023</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76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01" w:type="dxa"/>
            <w:tcBorders/>
            <w:shd w:fill="CCECFF" w:val="clear"/>
            <w:vAlign w:val="center"/>
          </w:tcPr>
          <w:p>
            <w:pPr>
              <w:pStyle w:val="TableContents"/>
              <w:bidi w:val="0"/>
              <w:spacing w:before="0" w:after="283"/>
              <w:jc w:val="left"/>
              <w:rPr/>
            </w:pPr>
            <w:r>
              <w:rPr/>
              <w:t> </w:t>
            </w:r>
          </w:p>
        </w:tc>
        <w:tc>
          <w:tcPr>
            <w:tcW w:w="19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0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3" w:type="dxa"/>
            <w:tcBorders/>
            <w:shd w:fill="CCECFF" w:val="clear"/>
            <w:vAlign w:val="center"/>
          </w:tcPr>
          <w:p>
            <w:pPr>
              <w:pStyle w:val="TableContents"/>
              <w:bidi w:val="0"/>
              <w:spacing w:before="0" w:after="283"/>
              <w:jc w:val="right"/>
              <w:rPr>
                <w:color w:val="000000"/>
              </w:rPr>
            </w:pPr>
            <w:r>
              <w:rPr>
                <w:color w:val="000000"/>
              </w:rPr>
              <w:t>—</w:t>
            </w:r>
          </w:p>
        </w:tc>
        <w:tc>
          <w:tcPr>
            <w:tcW w:w="235" w:type="dxa"/>
            <w:tcBorders/>
            <w:shd w:fill="CCECFF" w:val="clear"/>
            <w:vAlign w:val="center"/>
          </w:tcPr>
          <w:p>
            <w:pPr>
              <w:pStyle w:val="TableContents"/>
              <w:bidi w:val="0"/>
              <w:spacing w:before="0" w:after="283"/>
              <w:jc w:val="left"/>
              <w:rPr/>
            </w:pPr>
            <w:r>
              <w:rPr/>
              <w:t> </w:t>
            </w:r>
          </w:p>
        </w:tc>
      </w:tr>
      <w:tr>
        <w:trPr/>
        <w:tc>
          <w:tcPr>
            <w:tcW w:w="18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1, 2023 - August 31, 2023</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pPr>
            <w:r>
              <w:rPr/>
              <w:t> </w:t>
            </w:r>
          </w:p>
        </w:tc>
        <w:tc>
          <w:tcPr>
            <w:tcW w:w="19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3" w:type="dxa"/>
            <w:tcBorders/>
            <w:shd w:fill="FFFFFF" w:val="clear"/>
            <w:vAlign w:val="center"/>
          </w:tcPr>
          <w:p>
            <w:pPr>
              <w:pStyle w:val="TableContents"/>
              <w:bidi w:val="0"/>
              <w:spacing w:before="0" w:after="283"/>
              <w:jc w:val="right"/>
              <w:rPr>
                <w:color w:val="000000"/>
              </w:rPr>
            </w:pPr>
            <w:r>
              <w:rPr>
                <w:color w:val="000000"/>
              </w:rPr>
              <w:t>—</w:t>
            </w:r>
          </w:p>
        </w:tc>
        <w:tc>
          <w:tcPr>
            <w:tcW w:w="235" w:type="dxa"/>
            <w:tcBorders/>
            <w:shd w:fill="FFFFFF" w:val="clear"/>
            <w:vAlign w:val="center"/>
          </w:tcPr>
          <w:p>
            <w:pPr>
              <w:pStyle w:val="TableContents"/>
              <w:bidi w:val="0"/>
              <w:spacing w:before="0" w:after="283"/>
              <w:jc w:val="left"/>
              <w:rPr/>
            </w:pPr>
            <w:r>
              <w:rPr/>
              <w:t> </w:t>
            </w:r>
          </w:p>
        </w:tc>
      </w:tr>
      <w:tr>
        <w:trPr/>
        <w:tc>
          <w:tcPr>
            <w:tcW w:w="185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1, 2023 - September 30, 2023</w:t>
            </w:r>
          </w:p>
        </w:tc>
        <w:tc>
          <w:tcPr>
            <w:tcW w:w="146" w:type="dxa"/>
            <w:tcBorders/>
            <w:shd w:fill="CCECFF" w:val="clear"/>
            <w:vAlign w:val="center"/>
          </w:tcPr>
          <w:p>
            <w:pPr>
              <w:pStyle w:val="TableContents"/>
              <w:bidi w:val="0"/>
              <w:spacing w:before="0" w:after="283"/>
              <w:jc w:val="left"/>
              <w:rPr/>
            </w:pPr>
            <w:r>
              <w:rPr/>
              <w:t> </w:t>
            </w:r>
          </w:p>
        </w:tc>
        <w:tc>
          <w:tcPr>
            <w:tcW w:w="1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2"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0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3" w:type="dxa"/>
            <w:tcBorders/>
            <w:shd w:fill="CCECFF" w:val="clear"/>
            <w:vAlign w:val="center"/>
          </w:tcPr>
          <w:p>
            <w:pPr>
              <w:pStyle w:val="TableContents"/>
              <w:bidi w:val="0"/>
              <w:spacing w:before="0" w:after="283"/>
              <w:jc w:val="right"/>
              <w:rPr>
                <w:color w:val="000000"/>
              </w:rPr>
            </w:pPr>
            <w:r>
              <w:rPr>
                <w:color w:val="000000"/>
              </w:rPr>
              <w:t>—</w:t>
            </w:r>
          </w:p>
        </w:tc>
        <w:tc>
          <w:tcPr>
            <w:tcW w:w="235" w:type="dxa"/>
            <w:tcBorders/>
            <w:shd w:fill="CCECFF" w:val="clear"/>
            <w:vAlign w:val="center"/>
          </w:tcPr>
          <w:p>
            <w:pPr>
              <w:pStyle w:val="TableContents"/>
              <w:bidi w:val="0"/>
              <w:spacing w:before="0" w:after="283"/>
              <w:jc w:val="left"/>
              <w:rPr/>
            </w:pPr>
            <w:r>
              <w:rPr/>
              <w:t> </w:t>
            </w:r>
          </w:p>
        </w:tc>
      </w:tr>
      <w:tr>
        <w:trPr/>
        <w:tc>
          <w:tcPr>
            <w:tcW w:w="18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4" w:type="dxa"/>
            <w:gridSpan w:val="2"/>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right"/>
              <w:rPr/>
            </w:pPr>
            <w:r>
              <w:rPr/>
              <w:t> </w:t>
            </w:r>
          </w:p>
        </w:tc>
      </w:tr>
    </w:tbl>
    <w:p>
      <w:pPr>
        <w:pStyle w:val="TextBody"/>
        <w:bidi w:val="0"/>
        <w:spacing w:before="120" w:after="200"/>
        <w:jc w:val="left"/>
        <w:rPr>
          <w:rFonts w:ascii="Times New Roman" w:hAnsi="Times New Roman"/>
          <w:b w:val="false"/>
          <w:color w:val="000000"/>
          <w:sz w:val="20"/>
        </w:rPr>
      </w:pPr>
      <w:r>
        <w:rPr>
          <w:rFonts w:ascii="Times New Roman" w:hAnsi="Times New Roman"/>
          <w:b w:val="false"/>
          <w:color w:val="000000"/>
          <w:sz w:val="20"/>
        </w:rPr>
        <w:t>(1) The shares purchased were withheld to satisfy the withholding tax obligations related to restricted stock units and performance share units that vested during the period.</w:t>
      </w:r>
    </w:p>
    <w:p>
      <w:pPr>
        <w:pStyle w:val="TextBody"/>
        <w:bidi w:val="0"/>
        <w:spacing w:before="200" w:after="283"/>
        <w:jc w:val="left"/>
        <w:rPr>
          <w:rFonts w:ascii="Times New Roman" w:hAnsi="Times New Roman"/>
          <w:b/>
          <w:color w:val="000000"/>
          <w:sz w:val="20"/>
        </w:rPr>
      </w:pPr>
      <w:bookmarkStart w:id="20" w:name="item_3_defaults_upon_senior_securities"/>
      <w:bookmarkEnd w:id="20"/>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00" w:after="283"/>
        <w:jc w:val="left"/>
        <w:rPr>
          <w:rFonts w:ascii="Times New Roman" w:hAnsi="Times New Roman"/>
          <w:b/>
          <w:color w:val="000000"/>
          <w:sz w:val="20"/>
        </w:rPr>
      </w:pPr>
      <w:bookmarkStart w:id="21" w:name="item_4_mine_safety_disclosures"/>
      <w:bookmarkEnd w:id="21"/>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22" w:name="item_5_or_information"/>
      <w:bookmarkEnd w:id="22"/>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00"/>
        <w:jc w:val="left"/>
        <w:rPr>
          <w:rFonts w:ascii="Times New Roman" w:hAnsi="Times New Roman"/>
          <w:sz w:val="20"/>
        </w:rPr>
      </w:pPr>
      <w:r>
        <w:rPr>
          <w:rFonts w:ascii="Times New Roman" w:hAnsi="Times New Roman"/>
          <w:b w:val="false"/>
          <w:color w:val="000000"/>
          <w:sz w:val="20"/>
        </w:rPr>
        <w:t>Our officers and directors did not enter into, modify</w:t>
      </w:r>
      <w:r>
        <w:rPr>
          <w:rFonts w:ascii="Times New Roman" w:hAnsi="Times New Roman"/>
          <w:color w:val="000000"/>
          <w:sz w:val="20"/>
        </w:rPr>
        <w:t xml:space="preserve"> </w:t>
      </w:r>
      <w:r>
        <w:rPr>
          <w:rFonts w:ascii="Times New Roman" w:hAnsi="Times New Roman"/>
          <w:b w:val="false"/>
          <w:color w:val="000000"/>
          <w:sz w:val="20"/>
        </w:rPr>
        <w:t>or terminate</w:t>
      </w:r>
      <w:r>
        <w:rPr>
          <w:rFonts w:ascii="Times New Roman" w:hAnsi="Times New Roman"/>
          <w:color w:val="000000"/>
          <w:sz w:val="20"/>
        </w:rPr>
        <w:t xml:space="preserve"> </w:t>
      </w:r>
      <w:r>
        <w:rPr>
          <w:rFonts w:ascii="Times New Roman" w:hAnsi="Times New Roman"/>
          <w:b w:val="false"/>
          <w:color w:val="000000"/>
          <w:sz w:val="20"/>
        </w:rPr>
        <w:t>any Rule 10b5-1 trading arrangements or non-Rule 10b5-1 trading arrangements (each as defined in Item 408(c) of Regulation S-K) during the quarter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3" w:name="item_6_exhibits"/>
      <w:bookmarkEnd w:id="23"/>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666"/>
        <w:gridCol w:w="9539"/>
      </w:tblGrid>
      <w:tr>
        <w:trPr/>
        <w:tc>
          <w:tcPr>
            <w:tcW w:w="666" w:type="dxa"/>
            <w:tcBorders/>
            <w:vAlign w:val="center"/>
          </w:tcPr>
          <w:p>
            <w:pPr>
              <w:pStyle w:val="TableContents"/>
              <w:bidi w:val="0"/>
              <w:spacing w:before="0" w:after="283"/>
              <w:jc w:val="left"/>
              <w:rPr>
                <w:sz w:val="4"/>
                <w:szCs w:val="4"/>
              </w:rPr>
            </w:pPr>
            <w:r>
              <w:rPr>
                <w:sz w:val="4"/>
                <w:szCs w:val="4"/>
              </w:rPr>
            </w:r>
          </w:p>
        </w:tc>
        <w:tc>
          <w:tcPr>
            <w:tcW w:w="9539" w:type="dxa"/>
            <w:tcBorders/>
            <w:vAlign w:val="center"/>
          </w:tcPr>
          <w:p>
            <w:pPr>
              <w:pStyle w:val="TableContents"/>
              <w:bidi w:val="0"/>
              <w:spacing w:before="0" w:after="283"/>
              <w:jc w:val="left"/>
              <w:rPr>
                <w:sz w:val="4"/>
                <w:szCs w:val="4"/>
              </w:rPr>
            </w:pPr>
            <w:r>
              <w:rPr>
                <w:sz w:val="4"/>
                <w:szCs w:val="4"/>
              </w:rPr>
            </w:r>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10.1 **</w:t>
            </w:r>
          </w:p>
        </w:tc>
        <w:tc>
          <w:tcPr>
            <w:tcW w:w="9539" w:type="dxa"/>
            <w:tcBorders/>
            <w:vAlign w:val="center"/>
          </w:tcPr>
          <w:p>
            <w:pPr>
              <w:pStyle w:val="TableContents"/>
              <w:bidi w:val="0"/>
              <w:spacing w:before="100" w:after="283"/>
              <w:jc w:val="left"/>
              <w:rPr/>
            </w:pPr>
            <w:hyperlink w:anchor="comm-ex10_1.htm">
              <w:r>
                <w:rPr>
                  <w:rStyle w:val="InternetLink"/>
                  <w:rFonts w:ascii="Times New Roman" w:hAnsi="Times New Roman"/>
                  <w:b w:val="false"/>
                  <w:color w:val="0000FF"/>
                  <w:sz w:val="20"/>
                  <w:u w:val="single"/>
                </w:rPr>
                <w:t>Success Bonus Agreement, dated September 15, 2023, between CommScope, Inc. and Gonzaga Chow.</w:t>
              </w:r>
            </w:hyperlink>
            <w:r>
              <w:rPr>
                <w:rFonts w:ascii="Times New Roman" w:hAnsi="Times New Roman"/>
                <w:b w:val="false"/>
                <w:color w:val="000000"/>
                <w:sz w:val="20"/>
              </w:rPr>
              <w:t>***</w:t>
            </w:r>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31.1 **</w:t>
            </w:r>
          </w:p>
        </w:tc>
        <w:tc>
          <w:tcPr>
            <w:tcW w:w="9539" w:type="dxa"/>
            <w:tcBorders/>
            <w:vAlign w:val="center"/>
          </w:tcPr>
          <w:p>
            <w:pPr>
              <w:pStyle w:val="TableContents"/>
              <w:bidi w:val="0"/>
              <w:spacing w:before="100" w:after="283"/>
              <w:jc w:val="left"/>
              <w:rPr/>
            </w:pPr>
            <w:hyperlink w:anchor="comm-ex31_1.htm">
              <w:r>
                <w:rPr>
                  <w:rStyle w:val="InternetLink"/>
                  <w:rFonts w:ascii="Times New Roman" w:hAnsi="Times New Roman"/>
                  <w:b w:val="false"/>
                  <w:color w:val="0000FF"/>
                  <w:sz w:val="20"/>
                  <w:u w:val="single"/>
                </w:rPr>
                <w:t>Certification of Principal Executive Officer pursuant to Rule 13a-14(a).</w:t>
              </w:r>
            </w:hyperlink>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31.2 **</w:t>
            </w:r>
          </w:p>
        </w:tc>
        <w:tc>
          <w:tcPr>
            <w:tcW w:w="9539" w:type="dxa"/>
            <w:tcBorders/>
            <w:vAlign w:val="center"/>
          </w:tcPr>
          <w:p>
            <w:pPr>
              <w:pStyle w:val="TableContents"/>
              <w:bidi w:val="0"/>
              <w:spacing w:before="100" w:after="283"/>
              <w:jc w:val="left"/>
              <w:rPr/>
            </w:pPr>
            <w:hyperlink w:anchor="comm-ex31_2.htm">
              <w:r>
                <w:rPr>
                  <w:rStyle w:val="InternetLink"/>
                  <w:rFonts w:ascii="Times New Roman" w:hAnsi="Times New Roman"/>
                  <w:b w:val="false"/>
                  <w:color w:val="0000FF"/>
                  <w:sz w:val="20"/>
                  <w:u w:val="single"/>
                </w:rPr>
                <w:t>Certification of Principal Financial Officer pursuant to Rule 13a-14(a).</w:t>
              </w:r>
            </w:hyperlink>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32.1 **</w:t>
            </w:r>
          </w:p>
        </w:tc>
        <w:tc>
          <w:tcPr>
            <w:tcW w:w="9539" w:type="dxa"/>
            <w:tcBorders/>
            <w:vAlign w:val="center"/>
          </w:tcPr>
          <w:p>
            <w:pPr>
              <w:pStyle w:val="TableContents"/>
              <w:bidi w:val="0"/>
              <w:spacing w:before="100" w:after="283"/>
              <w:jc w:val="left"/>
              <w:rPr/>
            </w:pPr>
            <w:hyperlink w:anchor="comm-ex32_1.htm">
              <w:r>
                <w:rPr>
                  <w:rStyle w:val="InternetLink"/>
                  <w:rFonts w:ascii="Times New Roman" w:hAnsi="Times New Roman"/>
                  <w:b w:val="false"/>
                  <w:color w:val="0000FF"/>
                  <w:sz w:val="20"/>
                  <w:u w:val="single"/>
                </w:rPr>
                <w:t>Certification of Principal Executive Officer and Principal Financial Officer pursuant to 18 U.S.C. Section 1350 as adopted pursuant to Section 906 of the Sarbanes-Oxley Act of 2002 (furnished pursuant to Item 601(b)(32)(ii) of Regulation S-K).</w:t>
              </w:r>
            </w:hyperlink>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101.INS</w:t>
            </w:r>
          </w:p>
        </w:tc>
        <w:tc>
          <w:tcPr>
            <w:tcW w:w="9539" w:type="dxa"/>
            <w:tcBorders/>
            <w:vAlign w:val="center"/>
          </w:tcPr>
          <w:p>
            <w:pPr>
              <w:pStyle w:val="TableContents"/>
              <w:bidi w:val="0"/>
              <w:spacing w:before="100" w:after="283"/>
              <w:ind w:left="0" w:right="605" w:hanging="0"/>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101.SCH</w:t>
            </w:r>
          </w:p>
        </w:tc>
        <w:tc>
          <w:tcPr>
            <w:tcW w:w="9539" w:type="dxa"/>
            <w:tcBorders/>
            <w:vAlign w:val="center"/>
          </w:tcPr>
          <w:p>
            <w:pPr>
              <w:pStyle w:val="TableContents"/>
              <w:bidi w:val="0"/>
              <w:spacing w:before="100" w:after="283"/>
              <w:ind w:left="0" w:right="605" w:hanging="0"/>
              <w:jc w:val="left"/>
              <w:rPr>
                <w:rFonts w:ascii="Times New Roman" w:hAnsi="Times New Roman"/>
                <w:b w:val="false"/>
                <w:color w:val="000000"/>
                <w:sz w:val="20"/>
              </w:rPr>
            </w:pPr>
            <w:r>
              <w:rPr>
                <w:rFonts w:ascii="Times New Roman" w:hAnsi="Times New Roman"/>
                <w:b w:val="false"/>
                <w:color w:val="000000"/>
                <w:sz w:val="20"/>
              </w:rPr>
              <w:t>Inline XBRL Schema Document, furnished herewith.</w:t>
            </w:r>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101.CAL</w:t>
            </w:r>
          </w:p>
        </w:tc>
        <w:tc>
          <w:tcPr>
            <w:tcW w:w="9539" w:type="dxa"/>
            <w:tcBorders/>
            <w:vAlign w:val="center"/>
          </w:tcPr>
          <w:p>
            <w:pPr>
              <w:pStyle w:val="TableContents"/>
              <w:bidi w:val="0"/>
              <w:spacing w:before="100" w:after="283"/>
              <w:ind w:left="0" w:right="605" w:hanging="0"/>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101.DEF</w:t>
            </w:r>
          </w:p>
        </w:tc>
        <w:tc>
          <w:tcPr>
            <w:tcW w:w="9539" w:type="dxa"/>
            <w:tcBorders/>
            <w:vAlign w:val="center"/>
          </w:tcPr>
          <w:p>
            <w:pPr>
              <w:pStyle w:val="TableContents"/>
              <w:bidi w:val="0"/>
              <w:spacing w:before="100" w:after="283"/>
              <w:ind w:left="0" w:right="605" w:hanging="0"/>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101.LAB</w:t>
            </w:r>
          </w:p>
        </w:tc>
        <w:tc>
          <w:tcPr>
            <w:tcW w:w="9539" w:type="dxa"/>
            <w:tcBorders/>
            <w:vAlign w:val="center"/>
          </w:tcPr>
          <w:p>
            <w:pPr>
              <w:pStyle w:val="TableContents"/>
              <w:bidi w:val="0"/>
              <w:spacing w:before="100" w:after="283"/>
              <w:ind w:left="0" w:right="601" w:hanging="0"/>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101.PRE</w:t>
            </w:r>
          </w:p>
        </w:tc>
        <w:tc>
          <w:tcPr>
            <w:tcW w:w="9539" w:type="dxa"/>
            <w:tcBorders/>
            <w:vAlign w:val="center"/>
          </w:tcPr>
          <w:p>
            <w:pPr>
              <w:pStyle w:val="TableContents"/>
              <w:bidi w:val="0"/>
              <w:spacing w:before="100" w:after="283"/>
              <w:ind w:left="0" w:right="601" w:hanging="0"/>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666" w:type="dxa"/>
            <w:tcBorders/>
            <w:vAlign w:val="center"/>
          </w:tcPr>
          <w:p>
            <w:pPr>
              <w:pStyle w:val="TableContents"/>
              <w:bidi w:val="0"/>
              <w:spacing w:before="100" w:after="283"/>
              <w:jc w:val="left"/>
              <w:rPr>
                <w:rFonts w:ascii="Times New Roman" w:hAnsi="Times New Roman"/>
                <w:b w:val="false"/>
                <w:color w:val="000000"/>
                <w:sz w:val="20"/>
              </w:rPr>
            </w:pPr>
            <w:r>
              <w:rPr>
                <w:rFonts w:ascii="Times New Roman" w:hAnsi="Times New Roman"/>
                <w:b w:val="false"/>
                <w:color w:val="000000"/>
                <w:sz w:val="20"/>
              </w:rPr>
              <w:t>104</w:t>
            </w:r>
          </w:p>
        </w:tc>
        <w:tc>
          <w:tcPr>
            <w:tcW w:w="9539" w:type="dxa"/>
            <w:tcBorders/>
            <w:vAlign w:val="center"/>
          </w:tcPr>
          <w:p>
            <w:pPr>
              <w:pStyle w:val="TableContents"/>
              <w:bidi w:val="0"/>
              <w:spacing w:before="100" w:after="283"/>
              <w:ind w:left="0" w:right="601" w:hanging="0"/>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r>
        <w:trPr/>
        <w:tc>
          <w:tcPr>
            <w:tcW w:w="666" w:type="dxa"/>
            <w:tcBorders/>
            <w:vAlign w:val="center"/>
          </w:tcPr>
          <w:p>
            <w:pPr>
              <w:pStyle w:val="TableContents"/>
              <w:bidi w:val="0"/>
              <w:spacing w:before="100" w:after="283"/>
              <w:jc w:val="right"/>
              <w:rPr>
                <w:rFonts w:ascii="Times New Roman" w:hAnsi="Times New Roman"/>
                <w:b w:val="false"/>
                <w:color w:val="000000"/>
                <w:sz w:val="20"/>
              </w:rPr>
            </w:pPr>
            <w:r>
              <w:rPr>
                <w:rFonts w:ascii="Times New Roman" w:hAnsi="Times New Roman"/>
                <w:b w:val="false"/>
                <w:color w:val="000000"/>
                <w:sz w:val="20"/>
              </w:rPr>
              <w:t>**</w:t>
            </w:r>
          </w:p>
        </w:tc>
        <w:tc>
          <w:tcPr>
            <w:tcW w:w="9539" w:type="dxa"/>
            <w:tcBorders/>
            <w:vAlign w:val="center"/>
          </w:tcPr>
          <w:p>
            <w:pPr>
              <w:pStyle w:val="TableContents"/>
              <w:bidi w:val="0"/>
              <w:spacing w:before="100" w:after="283"/>
              <w:ind w:left="0" w:right="601" w:hanging="0"/>
              <w:jc w:val="left"/>
              <w:rPr>
                <w:rFonts w:ascii="Times New Roman" w:hAnsi="Times New Roman"/>
                <w:b w:val="false"/>
                <w:color w:val="000000"/>
                <w:sz w:val="20"/>
              </w:rPr>
            </w:pPr>
            <w:r>
              <w:rPr>
                <w:rFonts w:ascii="Times New Roman" w:hAnsi="Times New Roman"/>
                <w:b w:val="false"/>
                <w:color w:val="000000"/>
                <w:sz w:val="20"/>
              </w:rPr>
              <w:t>Filed herewith.</w:t>
            </w:r>
          </w:p>
        </w:tc>
      </w:tr>
      <w:tr>
        <w:trPr/>
        <w:tc>
          <w:tcPr>
            <w:tcW w:w="666" w:type="dxa"/>
            <w:tcBorders/>
            <w:vAlign w:val="center"/>
          </w:tcPr>
          <w:p>
            <w:pPr>
              <w:pStyle w:val="TableContents"/>
              <w:bidi w:val="0"/>
              <w:spacing w:before="100" w:after="283"/>
              <w:jc w:val="right"/>
              <w:rPr>
                <w:rFonts w:ascii="Times New Roman" w:hAnsi="Times New Roman"/>
                <w:b w:val="false"/>
                <w:color w:val="000000"/>
                <w:sz w:val="20"/>
              </w:rPr>
            </w:pPr>
            <w:r>
              <w:rPr>
                <w:rFonts w:ascii="Times New Roman" w:hAnsi="Times New Roman"/>
                <w:b w:val="false"/>
                <w:color w:val="000000"/>
                <w:sz w:val="20"/>
              </w:rPr>
              <w:t>***</w:t>
            </w:r>
          </w:p>
        </w:tc>
        <w:tc>
          <w:tcPr>
            <w:tcW w:w="953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Management contract or compensatory plan or arrangement.</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120" w:after="283"/>
        <w:jc w:val="left"/>
        <w:rPr>
          <w:rFonts w:ascii="Times New Roman" w:hAnsi="Times New Roman"/>
          <w:b/>
          <w:color w:val="000000"/>
          <w:sz w:val="20"/>
        </w:rPr>
      </w:pPr>
      <w:bookmarkStart w:id="24" w:name="signature"/>
      <w:bookmarkStart w:id="25" w:name="signatures"/>
      <w:bookmarkEnd w:id="24"/>
      <w:bookmarkEnd w:id="25"/>
      <w:r>
        <w:rPr>
          <w:rFonts w:ascii="Times New Roman" w:hAnsi="Times New Roman"/>
          <w:b/>
          <w:color w:val="000000"/>
          <w:sz w:val="20"/>
        </w:rPr>
        <w:t>SIGNATURES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22" w:type="dxa"/>
        <w:jc w:val="left"/>
        <w:tblInd w:w="0" w:type="dxa"/>
        <w:tblLayout w:type="fixed"/>
        <w:tblCellMar>
          <w:top w:w="28" w:type="dxa"/>
          <w:left w:w="28" w:type="dxa"/>
          <w:bottom w:w="28" w:type="dxa"/>
          <w:right w:w="28" w:type="dxa"/>
        </w:tblCellMar>
      </w:tblPr>
      <w:tblGrid>
        <w:gridCol w:w="1621"/>
        <w:gridCol w:w="4801"/>
      </w:tblGrid>
      <w:tr>
        <w:trPr/>
        <w:tc>
          <w:tcPr>
            <w:tcW w:w="1621"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COMMSCOPE HOLDING COMPANY, INC.</w:t>
            </w:r>
          </w:p>
        </w:tc>
      </w:tr>
      <w:tr>
        <w:trPr/>
        <w:tc>
          <w:tcPr>
            <w:tcW w:w="1621" w:type="dxa"/>
            <w:tcBorders/>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pPr>
            <w:r>
              <w:rPr/>
              <w:t> </w:t>
            </w:r>
          </w:p>
        </w:tc>
      </w:tr>
      <w:tr>
        <w:trPr/>
        <w:tc>
          <w:tcPr>
            <w:tcW w:w="16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8, 2023</w:t>
            </w:r>
          </w:p>
        </w:tc>
        <w:tc>
          <w:tcPr>
            <w:tcW w:w="4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Kyle D. Lorentzen</w:t>
            </w:r>
          </w:p>
        </w:tc>
      </w:tr>
      <w:tr>
        <w:trPr/>
        <w:tc>
          <w:tcPr>
            <w:tcW w:w="16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48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Kyle D. Lorentzen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Executive Vice President and Chief Financial Officer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(Principal Financial Officer and duly authorized officer)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pPr>
            <w:r>
              <w:rPr/>
              <w:t> </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omm-ex10_1.htm"/>
      <w:bookmarkStart w:id="27" w:name="kscommex10_1"/>
      <w:bookmarkEnd w:id="26"/>
      <w:bookmarkEnd w:id="27"/>
      <w:r>
        <w:rPr>
          <w:rFonts w:ascii="Times New Roman" w:hAnsi="Times New Roman"/>
          <w:b/>
          <w:color w:val="000000"/>
          <w:sz w:val="20"/>
        </w:rPr>
        <w:t>Exhibit 10.1</w:t>
      </w:r>
      <w:r>
        <w:br w:type="page"/>
      </w:r>
    </w:p>
    <w:p>
      <w:pPr>
        <w:pStyle w:val="TextBody"/>
        <w:bidi w:val="0"/>
        <w:jc w:val="right"/>
        <w:rPr>
          <w:rFonts w:ascii="Times New Roman" w:hAnsi="Times New Roman"/>
          <w:b/>
          <w:i/>
          <w:color w:val="000000"/>
          <w:sz w:val="24"/>
        </w:rPr>
      </w:pPr>
      <w:r>
        <w:rPr>
          <w:rFonts w:ascii="Times New Roman" w:hAnsi="Times New Roman"/>
          <w:b/>
          <w:i/>
          <w:color w:val="000000"/>
          <w:sz w:val="24"/>
        </w:rPr>
        <w:t>Segments</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SUCCESS BONUS AGREEMENT</w:t>
      </w:r>
    </w:p>
    <w:p>
      <w:pPr>
        <w:pStyle w:val="TextBody"/>
        <w:bidi w:val="0"/>
        <w:spacing w:before="0" w:after="240"/>
        <w:jc w:val="both"/>
        <w:rPr>
          <w:rFonts w:ascii="Times New Roman" w:hAnsi="Times New Roman"/>
          <w:sz w:val="20"/>
        </w:rPr>
      </w:pPr>
      <w:r>
        <w:rPr>
          <w:rFonts w:ascii="Times New Roman" w:hAnsi="Times New Roman"/>
          <w:b w:val="false"/>
          <w:color w:val="000000"/>
          <w:sz w:val="24"/>
        </w:rPr>
        <w:t>This SUCCESS BONUS AGREEMENT (the “</w:t>
      </w:r>
      <w:r>
        <w:rPr>
          <w:rFonts w:ascii="Times New Roman" w:hAnsi="Times New Roman"/>
          <w:b w:val="false"/>
          <w:i/>
          <w:color w:val="000000"/>
          <w:sz w:val="24"/>
        </w:rPr>
        <w:t>Agreement</w:t>
      </w:r>
      <w:r>
        <w:rPr>
          <w:rFonts w:ascii="Times New Roman" w:hAnsi="Times New Roman"/>
          <w:color w:val="000000"/>
          <w:sz w:val="20"/>
        </w:rPr>
        <w:t>”</w:t>
      </w:r>
      <w:r>
        <w:rPr>
          <w:rFonts w:ascii="Times New Roman" w:hAnsi="Times New Roman"/>
          <w:b w:val="false"/>
          <w:color w:val="000000"/>
          <w:sz w:val="24"/>
        </w:rPr>
        <w:t>) is made and entered into this 15</w:t>
      </w:r>
      <w:r>
        <w:rPr>
          <w:rFonts w:ascii="Times New Roman" w:hAnsi="Times New Roman"/>
          <w:b w:val="false"/>
          <w:color w:val="000000"/>
          <w:sz w:val="16"/>
        </w:rPr>
        <w:t>th</w:t>
      </w:r>
      <w:r>
        <w:rPr>
          <w:rFonts w:ascii="Times New Roman" w:hAnsi="Times New Roman"/>
          <w:color w:val="000000"/>
          <w:sz w:val="20"/>
        </w:rPr>
        <w:t xml:space="preserve"> </w:t>
      </w:r>
      <w:r>
        <w:rPr>
          <w:rFonts w:ascii="Times New Roman" w:hAnsi="Times New Roman"/>
          <w:b w:val="false"/>
          <w:color w:val="000000"/>
          <w:sz w:val="24"/>
        </w:rPr>
        <w:t>day of September 2023, by and between CommScope, Inc. (the “</w:t>
      </w:r>
      <w:r>
        <w:rPr>
          <w:rFonts w:ascii="Times New Roman" w:hAnsi="Times New Roman"/>
          <w:b w:val="false"/>
          <w:i/>
          <w:color w:val="000000"/>
          <w:sz w:val="24"/>
        </w:rPr>
        <w:t>Company</w:t>
      </w:r>
      <w:r>
        <w:rPr>
          <w:rFonts w:ascii="Times New Roman" w:hAnsi="Times New Roman"/>
          <w:color w:val="000000"/>
          <w:sz w:val="20"/>
        </w:rPr>
        <w:t>”</w:t>
      </w:r>
      <w:r>
        <w:rPr>
          <w:rFonts w:ascii="Times New Roman" w:hAnsi="Times New Roman"/>
          <w:b w:val="false"/>
          <w:color w:val="000000"/>
          <w:sz w:val="24"/>
        </w:rPr>
        <w:t>), and Gonzaga Chow (“</w:t>
      </w:r>
      <w:r>
        <w:rPr>
          <w:rFonts w:ascii="Times New Roman" w:hAnsi="Times New Roman"/>
          <w:b w:val="false"/>
          <w:i/>
          <w:color w:val="000000"/>
          <w:sz w:val="24"/>
        </w:rPr>
        <w:t>Employee</w:t>
      </w:r>
      <w:r>
        <w:rPr>
          <w:rFonts w:ascii="Times New Roman" w:hAnsi="Times New Roman"/>
          <w:color w:val="000000"/>
          <w:sz w:val="20"/>
        </w:rPr>
        <w:t>”</w:t>
      </w:r>
      <w:r>
        <w:rPr>
          <w:rFonts w:ascii="Times New Roman" w:hAnsi="Times New Roman"/>
          <w:b w:val="false"/>
          <w:color w:val="000000"/>
          <w:sz w:val="24"/>
        </w:rPr>
        <w:t>). For purposes of this Agreement, the Company and Employee are referred to collectively as the “</w:t>
      </w:r>
      <w:r>
        <w:rPr>
          <w:rFonts w:ascii="Times New Roman" w:hAnsi="Times New Roman"/>
          <w:b w:val="false"/>
          <w:i/>
          <w:color w:val="000000"/>
          <w:sz w:val="24"/>
        </w:rPr>
        <w:t>Parties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b w:val="false"/>
          <w:color w:val="000000"/>
          <w:sz w:val="24"/>
        </w:rPr>
        <w:t>The Company intends to enter into a transaction to separate or divest its Home Networks business (“</w:t>
      </w:r>
      <w:r>
        <w:rPr>
          <w:rFonts w:ascii="Times New Roman" w:hAnsi="Times New Roman"/>
          <w:b w:val="false"/>
          <w:i/>
          <w:color w:val="000000"/>
          <w:sz w:val="24"/>
        </w:rPr>
        <w:t>Home Networks</w:t>
      </w:r>
      <w:r>
        <w:rPr>
          <w:rFonts w:ascii="Times New Roman" w:hAnsi="Times New Roman"/>
          <w:color w:val="000000"/>
          <w:sz w:val="20"/>
        </w:rPr>
        <w:t>”</w:t>
      </w:r>
      <w:r>
        <w:rPr>
          <w:rFonts w:ascii="Times New Roman" w:hAnsi="Times New Roman"/>
          <w:b w:val="false"/>
          <w:color w:val="000000"/>
          <w:sz w:val="24"/>
        </w:rPr>
        <w:t>) (the “</w:t>
      </w:r>
      <w:r>
        <w:rPr>
          <w:rFonts w:ascii="Times New Roman" w:hAnsi="Times New Roman"/>
          <w:b w:val="false"/>
          <w:i/>
          <w:color w:val="000000"/>
          <w:sz w:val="24"/>
        </w:rPr>
        <w:t>Transaction</w:t>
      </w:r>
      <w:r>
        <w:rPr>
          <w:rFonts w:ascii="Times New Roman" w:hAnsi="Times New Roman"/>
          <w:color w:val="000000"/>
          <w:sz w:val="20"/>
        </w:rPr>
        <w: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b w:val="false"/>
          <w:color w:val="000000"/>
          <w:sz w:val="24"/>
        </w:rPr>
        <w:t>In order to recognize Employee’s valuable leadership and contributions to the success of the Company and Home Networks, and to encourage Employee’s continued commitment, dedication, and services leading up to and following the consummation of the Transaction, the Company wishes to provide an incentive to encourage Employee to remain actively employed by the Company through the consummation of the Transaction (the “</w:t>
      </w:r>
      <w:r>
        <w:rPr>
          <w:rFonts w:ascii="Times New Roman" w:hAnsi="Times New Roman"/>
          <w:b w:val="false"/>
          <w:i/>
          <w:color w:val="000000"/>
          <w:sz w:val="24"/>
        </w:rPr>
        <w:t>Closing</w:t>
      </w:r>
      <w:r>
        <w:rPr>
          <w:rFonts w:ascii="Times New Roman" w:hAnsi="Times New Roman"/>
          <w:color w:val="000000"/>
          <w:sz w:val="20"/>
        </w:rPr>
        <w:t>”</w:t>
      </w:r>
      <w:r>
        <w:rPr>
          <w:rFonts w:ascii="Times New Roman" w:hAnsi="Times New Roman"/>
          <w:b w:val="false"/>
          <w:color w:val="000000"/>
          <w:sz w:val="24"/>
        </w:rPr>
        <w: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Accordingly, in consideration of the mutual promises contained herein and other good and valuable consideration, the receipt and sufficiency of which is hereby acknowledged, the Parties agree as follows:</w:t>
      </w:r>
    </w:p>
    <w:p>
      <w:pPr>
        <w:pStyle w:val="TextBody"/>
        <w:bidi w:val="0"/>
        <w:spacing w:before="0" w:after="240"/>
        <w:jc w:val="both"/>
        <w:rPr>
          <w:rFonts w:ascii="Times New Roman" w:hAnsi="Times New Roman"/>
          <w:sz w:val="20"/>
        </w:rPr>
      </w:pPr>
      <w:r>
        <w:rPr>
          <w:rFonts w:ascii="Times New Roman" w:hAnsi="Times New Roman"/>
          <w:b w:val="false"/>
          <w:color w:val="000000"/>
          <w:sz w:val="24"/>
        </w:rPr>
        <w:t xml:space="preserve">1. </w:t>
      </w:r>
      <w:r>
        <w:rPr>
          <w:rFonts w:ascii="Times New Roman" w:hAnsi="Times New Roman"/>
          <w:b w:val="false"/>
          <w:color w:val="000000"/>
          <w:sz w:val="24"/>
          <w:u w:val="single"/>
        </w:rPr>
        <w:t>Effectiveness</w:t>
      </w:r>
      <w:r>
        <w:rPr>
          <w:rFonts w:ascii="Times New Roman" w:hAnsi="Times New Roman"/>
          <w:b w:val="false"/>
          <w:color w:val="000000"/>
          <w:sz w:val="24"/>
        </w:rPr>
        <w:t>. This Agreement shall be effective as of the date first written above (the “</w:t>
      </w:r>
      <w:r>
        <w:rPr>
          <w:rFonts w:ascii="Times New Roman" w:hAnsi="Times New Roman"/>
          <w:b w:val="false"/>
          <w:i/>
          <w:color w:val="000000"/>
          <w:sz w:val="24"/>
        </w:rPr>
        <w:t>Effective Date</w:t>
      </w:r>
      <w:r>
        <w:rPr>
          <w:rFonts w:ascii="Times New Roman" w:hAnsi="Times New Roman"/>
          <w:color w:val="000000"/>
          <w:sz w:val="20"/>
        </w:rPr>
        <w:t>”</w:t>
      </w:r>
      <w:r>
        <w:rPr>
          <w:rFonts w:ascii="Times New Roman" w:hAnsi="Times New Roman"/>
          <w:b w:val="false"/>
          <w:color w:val="000000"/>
          <w:sz w:val="24"/>
        </w:rPr>
        <w:t>) and requires that the Closing of the Transaction occur on or before March 15, 2025 (the “</w:t>
      </w:r>
      <w:r>
        <w:rPr>
          <w:rFonts w:ascii="Times New Roman" w:hAnsi="Times New Roman"/>
          <w:b w:val="false"/>
          <w:i/>
          <w:color w:val="000000"/>
          <w:sz w:val="24"/>
        </w:rPr>
        <w:t>End Date</w:t>
      </w:r>
      <w:r>
        <w:rPr>
          <w:rFonts w:ascii="Times New Roman" w:hAnsi="Times New Roman"/>
          <w:color w:val="000000"/>
          <w:sz w:val="20"/>
        </w:rPr>
        <w:t>”</w:t>
      </w:r>
      <w:r>
        <w:rPr>
          <w:rFonts w:ascii="Times New Roman" w:hAnsi="Times New Roman"/>
          <w:b w:val="false"/>
          <w:color w:val="000000"/>
          <w:sz w:val="24"/>
        </w:rPr>
        <w:t>). Should the Transaction not Close on or prior to the End Date, no Success Bonus shall be paid to Employee pursuant to this Agreement.</w:t>
      </w:r>
    </w:p>
    <w:p>
      <w:pPr>
        <w:pStyle w:val="TextBody"/>
        <w:bidi w:val="0"/>
        <w:spacing w:before="0" w:after="240"/>
        <w:jc w:val="both"/>
        <w:rPr>
          <w:rFonts w:ascii="Times New Roman" w:hAnsi="Times New Roman"/>
          <w:sz w:val="20"/>
        </w:rPr>
      </w:pPr>
      <w:r>
        <w:rPr>
          <w:rFonts w:ascii="Times New Roman" w:hAnsi="Times New Roman"/>
          <w:b w:val="false"/>
          <w:color w:val="000000"/>
          <w:sz w:val="24"/>
        </w:rPr>
        <w:t xml:space="preserve">2. </w:t>
      </w:r>
      <w:r>
        <w:rPr>
          <w:rFonts w:ascii="Times New Roman" w:hAnsi="Times New Roman"/>
          <w:b w:val="false"/>
          <w:color w:val="000000"/>
          <w:sz w:val="24"/>
          <w:u w:val="single"/>
        </w:rPr>
        <w:t>Bonus Award</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4"/>
        </w:rPr>
        <w:t>(a) Subject to the terms and conditions of this Agreement, upon the Closing of the Transaction on or prior to the End Date, the Company will pay Employee a cash award equal to $500,000, less withholding for taxes and other similar items (the “</w:t>
      </w:r>
      <w:r>
        <w:rPr>
          <w:rFonts w:ascii="Times New Roman" w:hAnsi="Times New Roman"/>
          <w:b w:val="false"/>
          <w:i/>
          <w:color w:val="000000"/>
          <w:sz w:val="24"/>
        </w:rPr>
        <w:t>Success</w:t>
      </w:r>
      <w:r>
        <w:rPr>
          <w:rFonts w:ascii="Times New Roman" w:hAnsi="Times New Roman"/>
          <w:color w:val="000000"/>
          <w:sz w:val="20"/>
        </w:rPr>
        <w:t xml:space="preserve"> </w:t>
      </w:r>
      <w:r>
        <w:rPr>
          <w:rFonts w:ascii="Times New Roman" w:hAnsi="Times New Roman"/>
          <w:b w:val="false"/>
          <w:i/>
          <w:color w:val="000000"/>
          <w:sz w:val="24"/>
        </w:rPr>
        <w:t>Bonus</w:t>
      </w:r>
      <w:r>
        <w:rPr>
          <w:rFonts w:ascii="Times New Roman" w:hAnsi="Times New Roman"/>
          <w:color w:val="000000"/>
          <w:sz w:val="20"/>
        </w:rPr>
        <w:t>”</w:t>
      </w:r>
      <w:r>
        <w:rPr>
          <w:rFonts w:ascii="Times New Roman" w:hAnsi="Times New Roman"/>
          <w:b w:val="false"/>
          <w:color w:val="000000"/>
          <w:sz w:val="24"/>
        </w:rPr>
        <w:t>), provided that Employee remains employed by the Company through such Closing. The Success Bonus shall be payable to Employee within thirty (30) days following such Closing.</w:t>
      </w:r>
    </w:p>
    <w:p>
      <w:pPr>
        <w:pStyle w:val="TextBody"/>
        <w:bidi w:val="0"/>
        <w:spacing w:before="0" w:after="240"/>
        <w:jc w:val="both"/>
        <w:rPr>
          <w:rFonts w:ascii="Times New Roman" w:hAnsi="Times New Roman"/>
          <w:sz w:val="20"/>
        </w:rPr>
      </w:pPr>
      <w:r>
        <w:rPr>
          <w:rFonts w:ascii="Times New Roman" w:hAnsi="Times New Roman"/>
          <w:b w:val="false"/>
          <w:color w:val="000000"/>
          <w:sz w:val="24"/>
        </w:rPr>
        <w:t>(b) The Parties agree that the Success Bonus is over and above any payments to which Employee may otherwise be eligible to receive.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4"/>
        </w:rPr>
        <w:t xml:space="preserve">3. </w:t>
      </w:r>
      <w:r>
        <w:rPr>
          <w:rFonts w:ascii="Times New Roman" w:hAnsi="Times New Roman"/>
          <w:b w:val="false"/>
          <w:color w:val="000000"/>
          <w:sz w:val="24"/>
          <w:u w:val="single"/>
        </w:rPr>
        <w:t>Termination of Employment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 In the event that, prior to the Closing, (i) Employee terminates his/her employment with the Company, whether by resignation, retirement or otherwise, or (ii) the Company terminates Employee’s employment for any reason, then Employee shall not be entitled to payment of the Success Bonus.</w:t>
      </w:r>
    </w:p>
    <w:p>
      <w:pPr>
        <w:pStyle w:val="TextBody"/>
        <w:bidi w:val="0"/>
        <w:jc w:val="right"/>
        <w:rPr>
          <w:rFonts w:ascii="Times New Roman" w:hAnsi="Times New Roman"/>
          <w:b w:val="false"/>
          <w:color w:val="000000"/>
          <w:sz w:val="20"/>
        </w:rPr>
      </w:pPr>
      <w:r>
        <w:rPr>
          <w:rFonts w:ascii="Times New Roman" w:hAnsi="Times New Roman"/>
          <w:b w:val="false"/>
          <w:color w:val="000000"/>
          <w:sz w:val="20"/>
        </w:rPr>
        <w:t>Employee Initials: ______</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 The Parties agree that this Agreement does not create any rights in Employee beyond the potential right to payment of the Success Bonus that may be earned hereunder. The potential Success Bonus should be viewed as an indication of the Company’s confidence in and appreciation of Employee’s abilities and contributions, and as an additional form of compensation to meet a special purpose. Any Success Bonus earned will be in addition to any other compensation or benefits that Employee may otherwise be eligible to receive from the Company and is not a permanent or recurring element of Employee’s compensation at the Company, nor will it impact any other element of compensation for which Employee may otherwise be eligible.</w:t>
      </w:r>
    </w:p>
    <w:p>
      <w:pPr>
        <w:pStyle w:val="TextBody"/>
        <w:bidi w:val="0"/>
        <w:spacing w:before="0" w:after="240"/>
        <w:jc w:val="both"/>
        <w:rPr>
          <w:rFonts w:ascii="Times New Roman" w:hAnsi="Times New Roman"/>
          <w:sz w:val="20"/>
        </w:rPr>
      </w:pPr>
      <w:r>
        <w:rPr>
          <w:rFonts w:ascii="Times New Roman" w:hAnsi="Times New Roman"/>
          <w:b w:val="false"/>
          <w:color w:val="000000"/>
          <w:sz w:val="24"/>
        </w:rPr>
        <w:t>(c) Notwithstanding anything to the contrary in this Agreement or in the Severance Protection Agreement, dated as of October 4, 2022, between the Company and Employee (the “</w:t>
      </w:r>
      <w:r>
        <w:rPr>
          <w:rFonts w:ascii="Times New Roman" w:hAnsi="Times New Roman"/>
          <w:b w:val="false"/>
          <w:i/>
          <w:color w:val="000000"/>
          <w:sz w:val="24"/>
        </w:rPr>
        <w:t>SPA</w:t>
      </w:r>
      <w:r>
        <w:rPr>
          <w:rFonts w:ascii="Times New Roman" w:hAnsi="Times New Roman"/>
          <w:color w:val="000000"/>
          <w:sz w:val="20"/>
        </w:rPr>
        <w:t>”</w:t>
      </w:r>
      <w:r>
        <w:rPr>
          <w:rFonts w:ascii="Times New Roman" w:hAnsi="Times New Roman"/>
          <w:b w:val="false"/>
          <w:color w:val="000000"/>
          <w:sz w:val="24"/>
        </w:rPr>
        <w:t>), Employee acknowledges and agrees that if Employee becomes entitled to receive a Success Bonus under this Agreement, then he shall not be entitled to any compensation or benefits pursuant to the SPA in connection with the termination of his employment with the Company or its affiliates in connection with the Closing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0" w:after="240"/>
        <w:jc w:val="both"/>
        <w:rPr/>
      </w:pPr>
      <w:r>
        <w:rPr>
          <w:rFonts w:ascii="Times New Roman" w:hAnsi="Times New Roman"/>
          <w:b w:val="false"/>
          <w:color w:val="000000"/>
          <w:sz w:val="24"/>
          <w:u w:val="single"/>
        </w:rPr>
        <w:t>Confidentiality</w:t>
      </w:r>
      <w:r>
        <w:rPr>
          <w:rFonts w:ascii="Times New Roman" w:hAnsi="Times New Roman"/>
          <w:b w:val="false"/>
          <w:color w:val="000000"/>
          <w:sz w:val="24"/>
        </w:rPr>
        <w:t>. Employee acknowledges that the terms of this Agreement are confidential. Accordingly, Employee agrees not to disclose or publish, verbally, in writing or otherwise, to any person or entity, except his/her spouse, his/her legal and tax advisors, or as required by law, any of the details leading up to the making of this Agreement, the terms and conditions or sums being paid in connection with this Agreement, or whether the terms of the Agreement are satisfactory in his/her opinion.</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spacing w:before="0" w:after="240"/>
        <w:jc w:val="both"/>
        <w:rPr/>
      </w:pPr>
      <w:r>
        <w:rPr>
          <w:rFonts w:ascii="Times New Roman" w:hAnsi="Times New Roman"/>
          <w:b w:val="false"/>
          <w:color w:val="000000"/>
          <w:sz w:val="24"/>
          <w:u w:val="single"/>
        </w:rPr>
        <w:t>Employment Status</w:t>
      </w:r>
      <w:r>
        <w:rPr>
          <w:rFonts w:ascii="Times New Roman" w:hAnsi="Times New Roman"/>
          <w:b w:val="false"/>
          <w:color w:val="000000"/>
          <w:sz w:val="24"/>
        </w:rPr>
        <w:t>. Nothing in this Agreement shall be construed as a commitment, guarantee, agreement, or understanding of any kind or nature that the Company will continue to employ Employee, nor will this Agreement affect in any way the right of the Company to terminate Employee’s employment at any time and for any reason (unless otherwise agreed to by the Parties separately in writing). Employee acknowledges and agrees that he/she is an “at will” employee.</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6.</w:t>
      </w:r>
    </w:p>
    <w:p>
      <w:pPr>
        <w:pStyle w:val="TextBody"/>
        <w:bidi w:val="0"/>
        <w:spacing w:before="0" w:after="240"/>
        <w:jc w:val="both"/>
        <w:rPr/>
      </w:pPr>
      <w:r>
        <w:rPr>
          <w:rFonts w:ascii="Times New Roman" w:hAnsi="Times New Roman"/>
          <w:b w:val="false"/>
          <w:color w:val="000000"/>
          <w:sz w:val="24"/>
          <w:u w:val="single"/>
        </w:rPr>
        <w:t>Section 409A</w:t>
      </w:r>
      <w:r>
        <w:rPr>
          <w:rFonts w:ascii="Times New Roman" w:hAnsi="Times New Roman"/>
          <w:b w:val="false"/>
          <w:color w:val="000000"/>
          <w:sz w:val="24"/>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pPr>
      <w:r>
        <w:rPr>
          <w:rFonts w:ascii="Times New Roman" w:hAnsi="Times New Roman"/>
          <w:b w:val="false"/>
          <w:color w:val="000000"/>
          <w:sz w:val="24"/>
          <w:u w:val="single"/>
        </w:rPr>
        <w:t>General</w:t>
      </w:r>
      <w:r>
        <w:rPr>
          <w:rFonts w:ascii="Times New Roman" w:hAnsi="Times New Roman"/>
          <w:b w:val="false"/>
          <w:color w:val="000000"/>
          <w:sz w:val="24"/>
        </w:rPr>
        <w:t>. This Agreement shall be interpreted and administered in a manner so that any amount or benefit payable hereunder shall be paid or provided in a manner that is either exempt from or compliant with the requirements of Section 409A of the Internal Revenue Code of 1986, as amended (the “</w:t>
      </w:r>
      <w:r>
        <w:rPr>
          <w:rFonts w:ascii="Times New Roman" w:hAnsi="Times New Roman"/>
          <w:b w:val="false"/>
          <w:i/>
          <w:color w:val="000000"/>
          <w:sz w:val="24"/>
        </w:rPr>
        <w:t>Code</w:t>
      </w:r>
      <w:r>
        <w:rPr>
          <w:color w:val="000000"/>
        </w:rPr>
        <w:t>”</w:t>
      </w:r>
      <w:r>
        <w:rPr>
          <w:rFonts w:ascii="Times New Roman" w:hAnsi="Times New Roman"/>
          <w:b w:val="false"/>
          <w:color w:val="000000"/>
          <w:sz w:val="24"/>
        </w:rPr>
        <w:t xml:space="preserve">), and applicable Internal Revenue Service guidance and Treasury Regulations issued thereunder. Nevertheless, the tax treatment of the payments and benefits provided under the Agreement is not warranted or guaranteed. Neither the Company, its affiliates, nor their directors, officers, employees or advisers shall be held liable for any taxes, interest, penalties or other monetary amounts owed by Employee as a result of the application of Section 409A of the Code.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7.</w:t>
      </w:r>
    </w:p>
    <w:p>
      <w:pPr>
        <w:pStyle w:val="TextBody"/>
        <w:bidi w:val="0"/>
        <w:spacing w:before="0" w:after="240"/>
        <w:jc w:val="both"/>
        <w:rPr/>
      </w:pPr>
      <w:r>
        <w:rPr>
          <w:rFonts w:ascii="Times New Roman" w:hAnsi="Times New Roman"/>
          <w:b w:val="false"/>
          <w:color w:val="000000"/>
          <w:sz w:val="24"/>
          <w:u w:val="single"/>
        </w:rPr>
        <w:t>Miscellaneous</w:t>
      </w:r>
      <w:r>
        <w:rPr>
          <w:rFonts w:ascii="Times New Roman" w:hAnsi="Times New Roman"/>
          <w:b w:val="false"/>
          <w:color w:val="000000"/>
          <w:sz w:val="24"/>
        </w:rPr>
        <w: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pPr>
      <w:r>
        <w:rPr>
          <w:rFonts w:ascii="Times New Roman" w:hAnsi="Times New Roman"/>
          <w:b w:val="false"/>
          <w:color w:val="000000"/>
          <w:sz w:val="24"/>
          <w:u w:val="single"/>
        </w:rPr>
        <w:t>Applicable Law; Forum Selection; Consent to Jurisdiction</w:t>
      </w:r>
      <w:r>
        <w:rPr>
          <w:rFonts w:ascii="Times New Roman" w:hAnsi="Times New Roman"/>
          <w:b w:val="false"/>
          <w:color w:val="000000"/>
          <w:sz w:val="24"/>
        </w:rPr>
        <w:t xml:space="preserve">. The Parties agree that this Agreement shall be governed by and construed and interpreted in accordance with the laws of the State of North Carolina without giving effect to its conflicts of law principles. Employee agrees that the exclusive forum for any action to enforce this Agreement, as well as any </w:t>
      </w:r>
    </w:p>
    <w:p>
      <w:pPr>
        <w:pStyle w:val="TextBody"/>
        <w:bidi w:val="0"/>
        <w:jc w:val="center"/>
        <w:rPr>
          <w:rFonts w:ascii="Times New Roman" w:hAnsi="Times New Roman"/>
          <w:sz w:val="20"/>
        </w:rPr>
      </w:pPr>
      <w:r>
        <w:rPr>
          <w:rFonts w:ascii="Times New Roman" w:hAnsi="Times New Roman"/>
          <w:b w:val="false"/>
          <w:color w:val="000000"/>
          <w:sz w:val="24"/>
        </w:rPr>
        <w:t>-2-</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val="false"/>
          <w:color w:val="000000"/>
          <w:sz w:val="20"/>
        </w:rPr>
        <w:t>Employee Initials: _____</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action relating to or arising out of this Agreement, shall be the state or federal courts of the State of North Carolina. With respect to any such court action, Employee hereby (a) irrevocably submits to the personal jurisdiction of such courts; (b) consents to service of process; (c) consents to venue; and (d) waives any other requirement (whether imposed by statute, rule of court, or otherwise) with respect to personal jurisdiction, service of process, or venue. Both Parties hereto further agree that the state and federal courts of the State of North Carolina are convenient forums for any dispute that may arise herefrom and that neither party shall raise as a defense that such courts are not convenient forums.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40"/>
        <w:jc w:val="both"/>
        <w:rPr/>
      </w:pPr>
      <w:r>
        <w:rPr>
          <w:rFonts w:ascii="Times New Roman" w:hAnsi="Times New Roman"/>
          <w:b w:val="false"/>
          <w:color w:val="000000"/>
          <w:sz w:val="24"/>
          <w:u w:val="single"/>
        </w:rPr>
        <w:t>Severability</w:t>
      </w:r>
      <w:r>
        <w:rPr>
          <w:rFonts w:ascii="Times New Roman" w:hAnsi="Times New Roman"/>
          <w:b w:val="false"/>
          <w:color w:val="000000"/>
          <w:sz w:val="24"/>
        </w:rPr>
        <w:t>. The invalidity or unenforceability of any provision of this Agreement shall not affect the validity or enforceability of any other provision of this Agreement.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w:t>
      </w:r>
    </w:p>
    <w:p>
      <w:pPr>
        <w:pStyle w:val="TextBody"/>
        <w:bidi w:val="0"/>
        <w:spacing w:before="0" w:after="240"/>
        <w:jc w:val="both"/>
        <w:rPr/>
      </w:pPr>
      <w:r>
        <w:rPr>
          <w:rFonts w:ascii="Times New Roman" w:hAnsi="Times New Roman"/>
          <w:b w:val="false"/>
          <w:color w:val="000000"/>
          <w:sz w:val="24"/>
          <w:u w:val="single"/>
        </w:rPr>
        <w:t>Waiver</w:t>
      </w:r>
      <w:r>
        <w:rPr>
          <w:rFonts w:ascii="Times New Roman" w:hAnsi="Times New Roman"/>
          <w:b w:val="false"/>
          <w:color w:val="000000"/>
          <w:sz w:val="24"/>
        </w:rPr>
        <w:t>. Failure of either Party to insist, in one or more instances, on performance by the other in strict accordance with the terms and conditions of this Agreement shall not be deemed a waiver or relinquishment of any right granted in this Agreement or of the future performance of any such term or condition or of any other term or condition of this Agreement, unless such waiver is contained in a writing signed by the Party making the waiver.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(d)</w:t>
      </w:r>
    </w:p>
    <w:p>
      <w:pPr>
        <w:pStyle w:val="TextBody"/>
        <w:bidi w:val="0"/>
        <w:spacing w:before="0" w:after="240"/>
        <w:jc w:val="both"/>
        <w:rPr/>
      </w:pPr>
      <w:r>
        <w:rPr>
          <w:rFonts w:ascii="Times New Roman" w:hAnsi="Times New Roman"/>
          <w:b w:val="false"/>
          <w:color w:val="000000"/>
          <w:sz w:val="24"/>
          <w:u w:val="single"/>
        </w:rPr>
        <w:t>Entire Agreement; Amendment</w:t>
      </w:r>
      <w:r>
        <w:rPr>
          <w:rFonts w:ascii="Times New Roman" w:hAnsi="Times New Roman"/>
          <w:b w:val="false"/>
          <w:color w:val="000000"/>
          <w:sz w:val="24"/>
        </w:rPr>
        <w:t>. This Agreement contains the entire agreement between the Company and Employee with respect to the subject matter hereof and, from and after the date hereof, this Agreement shall supersede any other agreement, written or oral, between the Parties relating to the subject matter of this Agreement. This Agreement may not be amended or modified otherwise than by a written agreement executed by the Parties hereto or their respective successors and legal representatives.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w:t>
      </w:r>
    </w:p>
    <w:p>
      <w:pPr>
        <w:pStyle w:val="TextBody"/>
        <w:bidi w:val="0"/>
        <w:spacing w:before="0" w:after="240"/>
        <w:jc w:val="both"/>
        <w:rPr/>
      </w:pPr>
      <w:r>
        <w:rPr>
          <w:rFonts w:ascii="Times New Roman" w:hAnsi="Times New Roman"/>
          <w:b w:val="false"/>
          <w:color w:val="000000"/>
          <w:sz w:val="24"/>
          <w:u w:val="single"/>
        </w:rPr>
        <w:t>Assignment</w:t>
      </w:r>
      <w:r>
        <w:rPr>
          <w:rFonts w:ascii="Times New Roman" w:hAnsi="Times New Roman"/>
          <w:b w:val="false"/>
          <w:color w:val="000000"/>
          <w:sz w:val="24"/>
        </w:rPr>
        <w:t>. The rights and obligations of the Company may be assigned, and this Agreement shall be binding and inure to the benefit of the Company, its successors and assigns. No right, obligation or duty of this Agreement may be assigned by Employee without the prior written consent of the Company.</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(f)</w:t>
      </w:r>
    </w:p>
    <w:p>
      <w:pPr>
        <w:pStyle w:val="TextBody"/>
        <w:bidi w:val="0"/>
        <w:spacing w:before="0" w:after="240"/>
        <w:jc w:val="both"/>
        <w:rPr/>
      </w:pPr>
      <w:r>
        <w:rPr>
          <w:rFonts w:ascii="Times New Roman" w:hAnsi="Times New Roman"/>
          <w:b w:val="false"/>
          <w:color w:val="000000"/>
          <w:sz w:val="24"/>
          <w:u w:val="single"/>
        </w:rPr>
        <w:t>Construction</w:t>
      </w:r>
      <w:r>
        <w:rPr>
          <w:rFonts w:ascii="Times New Roman" w:hAnsi="Times New Roman"/>
          <w:b w:val="false"/>
          <w:color w:val="000000"/>
          <w:sz w:val="24"/>
        </w:rPr>
        <w:t>. The Parties understand and agree that because they both have been given the opportunity to have counsel review and revise this Agreement, the normal rule of construction to the effect that any ambiguities are to be resolved against the drafting party shall not be employed in the interpretation of this Agreement. Instead, the language of all parts of this Agreement shall be construed as a whole, and according to its fair meaning, and not strictly for or against either of the Parties.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(g)</w:t>
      </w:r>
    </w:p>
    <w:p>
      <w:pPr>
        <w:pStyle w:val="TextBody"/>
        <w:bidi w:val="0"/>
        <w:spacing w:before="0" w:after="240"/>
        <w:jc w:val="both"/>
        <w:rPr/>
      </w:pPr>
      <w:r>
        <w:rPr>
          <w:rFonts w:ascii="Times New Roman" w:hAnsi="Times New Roman"/>
          <w:b w:val="false"/>
          <w:color w:val="000000"/>
          <w:sz w:val="24"/>
          <w:u w:val="single"/>
        </w:rPr>
        <w:t>Counterparts</w:t>
      </w:r>
      <w:r>
        <w:rPr>
          <w:rFonts w:ascii="Times New Roman" w:hAnsi="Times New Roman"/>
          <w:b w:val="false"/>
          <w:color w:val="000000"/>
          <w:sz w:val="24"/>
        </w:rPr>
        <w:t>. This Agreement may be executed in counterparts (including by means of electronic signature, such as DocuSign), each of which shall be deemed an original, but all of which together shall constitute a single instrument. Execution of this Agreement may be made by providing a signed original copy or providing a signature via facsimile or other electronic means, such as portable document format (PDF).</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[signatures appear on following page]</w:t>
      </w:r>
    </w:p>
    <w:p>
      <w:pPr>
        <w:pStyle w:val="TextBody"/>
        <w:bidi w:val="0"/>
        <w:jc w:val="center"/>
        <w:rPr>
          <w:rFonts w:ascii="Times New Roman" w:hAnsi="Times New Roman"/>
          <w:sz w:val="20"/>
        </w:rPr>
      </w:pPr>
      <w:r>
        <w:rPr>
          <w:rFonts w:ascii="Times New Roman" w:hAnsi="Times New Roman"/>
          <w:b w:val="false"/>
          <w:color w:val="000000"/>
          <w:sz w:val="24"/>
        </w:rPr>
        <w:t>-3-</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val="false"/>
          <w:color w:val="000000"/>
          <w:sz w:val="20"/>
        </w:rPr>
        <w:t>Employee Initials: _____</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IN WITNESS WHEREOF, the Parties hereto have duly executed and delivered this Retention Agreement.</w:t>
      </w:r>
    </w:p>
    <w:p>
      <w:pPr>
        <w:pStyle w:val="TextBody"/>
        <w:bidi w:val="0"/>
        <w:jc w:val="both"/>
        <w:rPr/>
      </w:pPr>
      <w:r>
        <w:rPr/>
        <w:t> </w:t>
      </w:r>
    </w:p>
    <w:tbl>
      <w:tblPr>
        <w:tblW w:w="2732" w:type="dxa"/>
        <w:jc w:val="left"/>
        <w:tblInd w:w="0" w:type="dxa"/>
        <w:tblLayout w:type="fixed"/>
        <w:tblCellMar>
          <w:top w:w="28" w:type="dxa"/>
          <w:left w:w="28" w:type="dxa"/>
          <w:bottom w:w="28" w:type="dxa"/>
          <w:right w:w="28" w:type="dxa"/>
        </w:tblCellMar>
      </w:tblPr>
      <w:tblGrid>
        <w:gridCol w:w="811"/>
        <w:gridCol w:w="1921"/>
      </w:tblGrid>
      <w:tr>
        <w:trPr/>
        <w:tc>
          <w:tcPr>
            <w:tcW w:w="81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27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aps/>
                <w:color w:val="000000"/>
                <w:sz w:val="24"/>
              </w:rPr>
            </w:pPr>
            <w:r>
              <w:rPr>
                <w:rFonts w:ascii="Times New Roman" w:hAnsi="Times New Roman"/>
                <w:b w:val="false"/>
                <w:caps/>
                <w:color w:val="000000"/>
                <w:sz w:val="24"/>
              </w:rPr>
              <w:t>Employee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val="false"/>
                <w:color w:val="000000"/>
                <w:sz w:val="24"/>
              </w:rPr>
              <w:t>By:</w:t>
            </w:r>
            <w:r>
              <w:rPr>
                <w:rFonts w:ascii="Times New Roman" w:hAnsi="Times New Roman"/>
                <w:color w:val="000000"/>
                <w:sz w:val="24"/>
              </w:rPr>
              <w:t xml:space="preserve">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/s/ Gonzaga Chow</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val="false"/>
                <w:color w:val="000000"/>
                <w:sz w:val="24"/>
              </w:rPr>
              <w:t>Date:</w:t>
            </w:r>
            <w:r>
              <w:rPr>
                <w:rFonts w:ascii="Times New Roman" w:hAnsi="Times New Roman"/>
                <w:color w:val="000000"/>
                <w:sz w:val="24"/>
              </w:rPr>
              <w:t xml:space="preserve">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4"/>
              </w:rPr>
              <w:t>10/25/2023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aps/>
                <w:color w:val="000000"/>
                <w:sz w:val="24"/>
              </w:rPr>
            </w:pPr>
            <w:r>
              <w:rPr>
                <w:rFonts w:ascii="Times New Roman" w:hAnsi="Times New Roman"/>
                <w:b w:val="false"/>
                <w:caps/>
                <w:color w:val="000000"/>
                <w:sz w:val="24"/>
              </w:rPr>
              <w:t>CommScope, Inc.</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val="false"/>
                <w:color w:val="000000"/>
                <w:sz w:val="24"/>
              </w:rPr>
              <w:t>By:</w:t>
            </w:r>
            <w:r>
              <w:rPr>
                <w:rFonts w:ascii="Times New Roman" w:hAnsi="Times New Roman"/>
                <w:color w:val="000000"/>
                <w:sz w:val="24"/>
              </w:rPr>
              <w:t xml:space="preserve">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4"/>
              </w:rPr>
              <w:t>/s/ Robyn Mingle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val="false"/>
                <w:color w:val="000000"/>
                <w:sz w:val="24"/>
              </w:rPr>
              <w:t>Name:</w:t>
            </w:r>
            <w:r>
              <w:rPr>
                <w:rFonts w:ascii="Times New Roman" w:hAnsi="Times New Roman"/>
                <w:color w:val="000000"/>
                <w:sz w:val="24"/>
              </w:rPr>
              <w:t xml:space="preserve">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4"/>
              </w:rPr>
              <w:t>Robyn Mingle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val="false"/>
                <w:color w:val="000000"/>
                <w:sz w:val="24"/>
              </w:rPr>
              <w:t>Title:</w:t>
            </w:r>
            <w:r>
              <w:rPr>
                <w:rFonts w:ascii="Times New Roman" w:hAnsi="Times New Roman"/>
                <w:color w:val="000000"/>
                <w:sz w:val="24"/>
              </w:rPr>
              <w:t xml:space="preserve">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4"/>
              </w:rPr>
              <w:t>SVP &amp; CHRO</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val="false"/>
                <w:color w:val="000000"/>
                <w:sz w:val="24"/>
              </w:rPr>
              <w:t>Date:</w:t>
            </w:r>
            <w:r>
              <w:rPr>
                <w:rFonts w:ascii="Times New Roman" w:hAnsi="Times New Roman"/>
                <w:color w:val="000000"/>
                <w:sz w:val="24"/>
              </w:rPr>
              <w:t xml:space="preserve">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4"/>
              </w:rPr>
              <w:t>10/25/2023</w:t>
            </w:r>
          </w:p>
        </w:tc>
      </w:tr>
    </w:tbl>
    <w:p>
      <w:pPr>
        <w:pStyle w:val="TextBody"/>
        <w:bidi w:val="0"/>
        <w:jc w:val="center"/>
        <w:rPr>
          <w:rFonts w:ascii="Times New Roman" w:hAnsi="Times New Roman"/>
          <w:sz w:val="20"/>
        </w:rPr>
      </w:pPr>
      <w:r>
        <w:rPr>
          <w:rFonts w:ascii="Times New Roman" w:hAnsi="Times New Roman"/>
          <w:b w:val="false"/>
          <w:color w:val="000000"/>
          <w:sz w:val="24"/>
        </w:rPr>
        <w:t>-4-</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val="false"/>
          <w:color w:val="000000"/>
          <w:sz w:val="20"/>
        </w:rPr>
        <w:t>Employee Initials: _____</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8" w:name="comm-ex31_1.htm"/>
      <w:bookmarkStart w:id="29" w:name="kscomm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 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Charles L. Treadway,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CommScope Holding Company,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977" w:type="dxa"/>
        <w:jc w:val="left"/>
        <w:tblInd w:w="0" w:type="dxa"/>
        <w:tblLayout w:type="fixed"/>
        <w:tblCellMar>
          <w:top w:w="28" w:type="dxa"/>
          <w:left w:w="28" w:type="dxa"/>
          <w:bottom w:w="28" w:type="dxa"/>
          <w:right w:w="28" w:type="dxa"/>
        </w:tblCellMar>
      </w:tblPr>
      <w:tblGrid>
        <w:gridCol w:w="646"/>
        <w:gridCol w:w="6331"/>
      </w:tblGrid>
      <w:tr>
        <w:trPr/>
        <w:tc>
          <w:tcPr>
            <w:tcW w:w="646" w:type="dxa"/>
            <w:tcBorders/>
            <w:vAlign w:val="center"/>
          </w:tcPr>
          <w:p>
            <w:pPr>
              <w:pStyle w:val="TableContents"/>
              <w:bidi w:val="0"/>
              <w:spacing w:before="0" w:after="283"/>
              <w:jc w:val="left"/>
              <w:rPr>
                <w:sz w:val="4"/>
                <w:szCs w:val="4"/>
              </w:rPr>
            </w:pPr>
            <w:r>
              <w:rPr>
                <w:sz w:val="4"/>
                <w:szCs w:val="4"/>
              </w:rPr>
            </w:r>
          </w:p>
        </w:tc>
        <w:tc>
          <w:tcPr>
            <w:tcW w:w="6331" w:type="dxa"/>
            <w:tcBorders/>
            <w:vAlign w:val="center"/>
          </w:tcPr>
          <w:p>
            <w:pPr>
              <w:pStyle w:val="TableContents"/>
              <w:bidi w:val="0"/>
              <w:spacing w:before="0" w:after="283"/>
              <w:jc w:val="left"/>
              <w:rPr>
                <w:sz w:val="4"/>
                <w:szCs w:val="4"/>
              </w:rPr>
            </w:pPr>
            <w:r>
              <w:rPr>
                <w:sz w:val="4"/>
                <w:szCs w:val="4"/>
              </w:rPr>
            </w:r>
          </w:p>
        </w:tc>
      </w:tr>
      <w:tr>
        <w:trPr/>
        <w:tc>
          <w:tcPr>
            <w:tcW w:w="697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8, 2023</w:t>
            </w:r>
          </w:p>
        </w:tc>
      </w:tr>
      <w:tr>
        <w:trPr/>
        <w:tc>
          <w:tcPr>
            <w:tcW w:w="6977" w:type="dxa"/>
            <w:gridSpan w:val="2"/>
            <w:tcBorders/>
            <w:vAlign w:val="center"/>
          </w:tcPr>
          <w:p>
            <w:pPr>
              <w:pStyle w:val="TableContents"/>
              <w:bidi w:val="0"/>
              <w:spacing w:before="0" w:after="283"/>
              <w:jc w:val="left"/>
              <w:rPr/>
            </w:pPr>
            <w:r>
              <w:rPr/>
              <w:t> </w:t>
            </w:r>
          </w:p>
        </w:tc>
      </w:tr>
      <w:tr>
        <w:trPr/>
        <w:tc>
          <w:tcPr>
            <w:tcW w:w="69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Charles L. Treadway</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63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Charles L. Treadway</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63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Chief Executive Officer and Director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comm-ex31_2.htm"/>
      <w:bookmarkStart w:id="31" w:name="kscomm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 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Kyle D. Lorentzen,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CommScope Holding Company,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397" w:type="dxa"/>
        <w:jc w:val="left"/>
        <w:tblInd w:w="0" w:type="dxa"/>
        <w:tblLayout w:type="fixed"/>
        <w:tblCellMar>
          <w:top w:w="28" w:type="dxa"/>
          <w:left w:w="28" w:type="dxa"/>
          <w:bottom w:w="28" w:type="dxa"/>
          <w:right w:w="28" w:type="dxa"/>
        </w:tblCellMar>
      </w:tblPr>
      <w:tblGrid>
        <w:gridCol w:w="646"/>
        <w:gridCol w:w="6751"/>
      </w:tblGrid>
      <w:tr>
        <w:trPr/>
        <w:tc>
          <w:tcPr>
            <w:tcW w:w="646" w:type="dxa"/>
            <w:tcBorders/>
            <w:vAlign w:val="center"/>
          </w:tcPr>
          <w:p>
            <w:pPr>
              <w:pStyle w:val="TableContents"/>
              <w:bidi w:val="0"/>
              <w:spacing w:before="0" w:after="283"/>
              <w:jc w:val="left"/>
              <w:rPr>
                <w:sz w:val="4"/>
                <w:szCs w:val="4"/>
              </w:rPr>
            </w:pPr>
            <w:r>
              <w:rPr>
                <w:sz w:val="4"/>
                <w:szCs w:val="4"/>
              </w:rPr>
            </w:r>
          </w:p>
        </w:tc>
        <w:tc>
          <w:tcPr>
            <w:tcW w:w="6751" w:type="dxa"/>
            <w:tcBorders/>
            <w:vAlign w:val="center"/>
          </w:tcPr>
          <w:p>
            <w:pPr>
              <w:pStyle w:val="TableContents"/>
              <w:bidi w:val="0"/>
              <w:spacing w:before="0" w:after="283"/>
              <w:jc w:val="left"/>
              <w:rPr>
                <w:sz w:val="4"/>
                <w:szCs w:val="4"/>
              </w:rPr>
            </w:pPr>
            <w:r>
              <w:rPr>
                <w:sz w:val="4"/>
                <w:szCs w:val="4"/>
              </w:rPr>
            </w:r>
          </w:p>
        </w:tc>
      </w:tr>
      <w:tr>
        <w:trPr/>
        <w:tc>
          <w:tcPr>
            <w:tcW w:w="739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8, 2023</w:t>
            </w:r>
          </w:p>
        </w:tc>
      </w:tr>
      <w:tr>
        <w:trPr/>
        <w:tc>
          <w:tcPr>
            <w:tcW w:w="7397" w:type="dxa"/>
            <w:gridSpan w:val="2"/>
            <w:tcBorders/>
            <w:vAlign w:val="center"/>
          </w:tcPr>
          <w:p>
            <w:pPr>
              <w:pStyle w:val="TableContents"/>
              <w:bidi w:val="0"/>
              <w:spacing w:before="0" w:after="283"/>
              <w:jc w:val="left"/>
              <w:rPr/>
            </w:pPr>
            <w:r>
              <w:rPr/>
              <w:t> </w:t>
            </w:r>
          </w:p>
        </w:tc>
      </w:tr>
      <w:tr>
        <w:trPr/>
        <w:tc>
          <w:tcPr>
            <w:tcW w:w="7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Kyle D. Lorentzen</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6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Kyle D. Lorentzen</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6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comm-ex32_1.htm"/>
      <w:bookmarkStart w:id="33" w:name="kscomm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CommScope Holding Company, Inc. (the “Company”) on Form 10-Q for the quarter ended September 30, 2023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Dated: November 8, 2023</w:t>
            </w:r>
          </w:p>
        </w:tc>
      </w:tr>
      <w:tr>
        <w:trPr/>
        <w:tc>
          <w:tcPr>
            <w:tcW w:w="3976" w:type="dxa"/>
            <w:tcBorders/>
            <w:vAlign w:val="center"/>
          </w:tcPr>
          <w:p>
            <w:pPr>
              <w:pStyle w:val="TableContents"/>
              <w:bidi w:val="0"/>
              <w:spacing w:before="0" w:after="283"/>
              <w:jc w:val="left"/>
              <w:rPr/>
            </w:pPr>
            <w:r>
              <w:rPr/>
              <w:t> </w:t>
            </w:r>
          </w:p>
        </w:tc>
      </w:tr>
      <w:tr>
        <w:trPr/>
        <w:tc>
          <w:tcPr>
            <w:tcW w:w="3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Charles L. Treadway</w:t>
            </w:r>
          </w:p>
        </w:tc>
      </w:tr>
      <w:tr>
        <w:trPr/>
        <w:tc>
          <w:tcPr>
            <w:tcW w:w="3976" w:type="dxa"/>
            <w:tcBorders/>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Charles L. Treadway</w:t>
            </w:r>
          </w:p>
        </w:tc>
      </w:tr>
      <w:tr>
        <w:trPr/>
        <w:tc>
          <w:tcPr>
            <w:tcW w:w="39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Chief Executive Officer and Director</w:t>
            </w:r>
          </w:p>
        </w:tc>
      </w:tr>
      <w:tr>
        <w:trPr/>
        <w:tc>
          <w:tcPr>
            <w:tcW w:w="39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Kyle D. Lorentzen</w:t>
            </w:r>
          </w:p>
        </w:tc>
      </w:tr>
      <w:tr>
        <w:trPr/>
        <w:tc>
          <w:tcPr>
            <w:tcW w:w="44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Kyle D. Lorentzen</w:t>
            </w:r>
          </w:p>
        </w:tc>
      </w:tr>
      <w:tr>
        <w:trPr/>
        <w:tc>
          <w:tcPr>
            <w:tcW w:w="44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tc>
      </w:tr>
      <w:tr>
        <w:trPr/>
        <w:tc>
          <w:tcPr>
            <w:tcW w:w="44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25409</Words>
  <Characters>136651</Characters>
  <CharactersWithSpaces>165090</CharactersWithSpaces>
  <Paragraphs>11896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