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6"/>
        </w:rPr>
      </w:pPr>
      <w:bookmarkStart w:id="0" w:name="visn-20260507.htm"/>
      <w:bookmarkStart w:id="1" w:name="ksvisn20260507"/>
      <w:bookmarkEnd w:id="0"/>
      <w:bookmarkEnd w:id="1"/>
      <w:r>
        <w:rPr>
          <w:rFonts w:ascii="Times New Roman" w:hAnsi="Times New Roman"/>
          <w:b/>
          <w:color w:val="000000"/>
          <w:sz w:val="36"/>
        </w:rPr>
        <w:t>UNITED STATES</w:t>
        <w:b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jc w:val="center"/>
        <w:rPr>
          <w:rFonts w:ascii="Times New Roman" w:hAnsi="Times New Roman"/>
          <w:sz w:val="20"/>
        </w:rPr>
      </w:pPr>
      <w:r>
        <w:rPr>
          <w:rFonts w:ascii="Times New Roman" w:hAnsi="Times New Roman"/>
          <w:color w:val="000000"/>
          <w:sz w:val="16"/>
        </w:rPr>
        <w:br/>
      </w:r>
      <w:r>
        <w:rPr>
          <w:rFonts w:ascii="Times New Roman" w:hAnsi="Times New Roman"/>
          <w:color w:val="000000"/>
          <w:sz w:val="20"/>
        </w:rPr>
        <w:t> </w:t>
      </w:r>
    </w:p>
    <w:p>
      <w:pPr>
        <w:pStyle w:val="TextBody"/>
        <w:bidi w:val="0"/>
        <w:jc w:val="center"/>
        <w:rPr>
          <w:rFonts w:ascii="Times New Roman" w:hAnsi="Times New Roman"/>
          <w:sz w:val="20"/>
        </w:rPr>
      </w:pPr>
      <w:r>
        <w:rPr>
          <w:rFonts w:ascii="Times New Roman" w:hAnsi="Times New Roman"/>
          <w:color w:val="000000"/>
          <w:sz w:val="20"/>
        </w:rPr>
        <w:t xml:space="preserve">Date of Report (Date of earliest event reported): </w:t>
      </w:r>
      <w:r>
        <w:rPr>
          <w:rFonts w:ascii="Times New Roman" w:hAnsi="Times New Roman"/>
          <w:b/>
          <w:color w:val="000000"/>
          <w:sz w:val="20"/>
        </w:rPr>
        <w:t>May 7, 2026</w:t>
      </w:r>
    </w:p>
    <w:p>
      <w:pPr>
        <w:pStyle w:val="TextBody"/>
        <w:bidi w:val="0"/>
        <w:jc w:val="center"/>
        <w:rPr>
          <w:rFonts w:ascii="Times New Roman" w:hAnsi="Times New Roman"/>
          <w:b/>
          <w:color w:val="000000"/>
          <w:sz w:val="36"/>
        </w:rPr>
      </w:pPr>
      <w:r>
        <w:rPr>
          <w:rFonts w:ascii="Times New Roman" w:hAnsi="Times New Roman"/>
          <w:b/>
          <w:color w:val="000000"/>
          <w:sz w:val="36"/>
        </w:rPr>
        <w:t>VISTANCE NETWORKS,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tbl>
      <w:tblPr>
        <w:tblW w:w="5306" w:type="dxa"/>
        <w:jc w:val="left"/>
        <w:tblInd w:w="0" w:type="dxa"/>
        <w:tblLayout w:type="fixed"/>
        <w:tblCellMar>
          <w:top w:w="28" w:type="dxa"/>
          <w:left w:w="28" w:type="dxa"/>
          <w:bottom w:w="28" w:type="dxa"/>
          <w:right w:w="28" w:type="dxa"/>
        </w:tblCellMar>
      </w:tblPr>
      <w:tblGrid>
        <w:gridCol w:w="2251"/>
        <w:gridCol w:w="109"/>
        <w:gridCol w:w="1186"/>
        <w:gridCol w:w="109"/>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001-36146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27-4332098</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w:t>
              <w:b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w:t>
              <w:b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br/>
              <w:t>Identification No.)</w:t>
            </w:r>
          </w:p>
        </w:tc>
      </w:tr>
    </w:tbl>
    <w:p>
      <w:pPr>
        <w:pStyle w:val="TextBody"/>
        <w:bidi w:val="0"/>
        <w:jc w:val="center"/>
        <w:rPr>
          <w:rFonts w:ascii="Times New Roman" w:hAnsi="Times New Roman"/>
          <w:b/>
          <w:color w:val="000000"/>
          <w:sz w:val="20"/>
        </w:rPr>
      </w:pPr>
      <w:r>
        <w:rPr>
          <w:rFonts w:ascii="Times New Roman" w:hAnsi="Times New Roman"/>
          <w:b/>
          <w:color w:val="000000"/>
          <w:sz w:val="20"/>
        </w:rPr>
        <w:t>2601 Telecom Parkway</w:t>
      </w:r>
    </w:p>
    <w:p>
      <w:pPr>
        <w:pStyle w:val="TextBody"/>
        <w:bidi w:val="0"/>
        <w:jc w:val="center"/>
        <w:rPr>
          <w:rFonts w:ascii="Times New Roman" w:hAnsi="Times New Roman"/>
          <w:sz w:val="20"/>
        </w:rPr>
      </w:pPr>
      <w:r>
        <w:rPr>
          <w:rFonts w:ascii="Times New Roman" w:hAnsi="Times New Roman"/>
          <w:b/>
          <w:color w:val="000000"/>
          <w:sz w:val="20"/>
        </w:rPr>
        <w:t>Richardson, Texas</w:t>
      </w:r>
      <w:r>
        <w:rPr>
          <w:rFonts w:ascii="Times New Roman" w:hAnsi="Times New Roman"/>
          <w:color w:val="000000"/>
          <w:sz w:val="20"/>
        </w:rPr>
        <w:t xml:space="preserve"> </w:t>
      </w:r>
      <w:r>
        <w:rPr>
          <w:rFonts w:ascii="Times New Roman" w:hAnsi="Times New Roman"/>
          <w:b/>
          <w:color w:val="000000"/>
          <w:sz w:val="20"/>
        </w:rPr>
        <w:t>75082</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w:t>
      </w:r>
    </w:p>
    <w:p>
      <w:pPr>
        <w:pStyle w:val="TextBody"/>
        <w:bidi w:val="0"/>
        <w:jc w:val="center"/>
        <w:rPr>
          <w:rFonts w:ascii="Times New Roman" w:hAnsi="Times New Roman"/>
          <w:sz w:val="20"/>
        </w:rPr>
      </w:pPr>
      <w:r>
        <w:rPr>
          <w:rFonts w:ascii="Times New Roman" w:hAnsi="Times New Roman"/>
          <w:color w:val="000000"/>
          <w:sz w:val="20"/>
        </w:rPr>
        <w:t xml:space="preserve">Registrant’s telephone number, including area code: </w:t>
      </w:r>
      <w:r>
        <w:rPr>
          <w:rFonts w:ascii="Times New Roman" w:hAnsi="Times New Roman"/>
          <w:b/>
          <w:color w:val="000000"/>
          <w:sz w:val="20"/>
        </w:rPr>
        <w:t>(972)</w:t>
      </w:r>
      <w:r>
        <w:rPr>
          <w:rFonts w:ascii="Times New Roman" w:hAnsi="Times New Roman"/>
          <w:color w:val="000000"/>
          <w:sz w:val="20"/>
        </w:rPr>
        <w:t xml:space="preserve"> </w:t>
      </w:r>
      <w:r>
        <w:rPr>
          <w:rFonts w:ascii="Times New Roman" w:hAnsi="Times New Roman"/>
          <w:b/>
          <w:color w:val="000000"/>
          <w:sz w:val="20"/>
        </w:rPr>
        <w:t>957-9700</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823" w:type="dxa"/>
        <w:jc w:val="left"/>
        <w:tblInd w:w="0" w:type="dxa"/>
        <w:tblLayout w:type="fixed"/>
        <w:tblCellMar>
          <w:top w:w="28" w:type="dxa"/>
          <w:left w:w="28" w:type="dxa"/>
          <w:bottom w:w="28" w:type="dxa"/>
          <w:right w:w="28" w:type="dxa"/>
        </w:tblCellMar>
      </w:tblPr>
      <w:tblGrid>
        <w:gridCol w:w="3496"/>
        <w:gridCol w:w="1501"/>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50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w:t>
            </w:r>
          </w:p>
        </w:tc>
        <w:tc>
          <w:tcPr>
            <w:tcW w:w="38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4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50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VISN</w:t>
            </w:r>
          </w:p>
        </w:tc>
        <w:tc>
          <w:tcPr>
            <w:tcW w:w="38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w:t>
            </w:r>
          </w:p>
        </w:tc>
      </w:tr>
    </w:tbl>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796" w:type="dxa"/>
        <w:jc w:val="left"/>
        <w:tblInd w:w="0" w:type="dxa"/>
        <w:tblLayout w:type="fixed"/>
        <w:tblCellMar>
          <w:top w:w="28" w:type="dxa"/>
          <w:left w:w="28" w:type="dxa"/>
          <w:bottom w:w="28" w:type="dxa"/>
          <w:right w:w="28" w:type="dxa"/>
        </w:tblCellMar>
      </w:tblPr>
      <w:tblGrid>
        <w:gridCol w:w="124"/>
        <w:gridCol w:w="2311"/>
        <w:gridCol w:w="361"/>
      </w:tblGrid>
      <w:tr>
        <w:trPr/>
        <w:tc>
          <w:tcPr>
            <w:tcW w:w="124"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0" w:after="36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sing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Vistance Networks, Inc. (the “Company”) held its Annual Meeting of Stockholders (the “Meeting”) on May 7, 2026. The matters that were voted upon at the Meeting, and the number of votes cast for or against, as well as the number of abstentions and broker non-votes as to each such matter, as applicable, are set forth below. There were a total of 225,462,860 shares of common stock eligible to vote at the Meeting. The holders of shares of common stock voted on the election of eight directors and on four other proposals at the Meeting.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Each of the proposals that were voted upon at the Meeting passed by the votes set forth in the tables below for each proposal. </w:t>
      </w:r>
    </w:p>
    <w:tbl>
      <w:tblPr>
        <w:tblW w:w="10205" w:type="dxa"/>
        <w:jc w:val="left"/>
        <w:tblInd w:w="0" w:type="dxa"/>
        <w:tblLayout w:type="fixed"/>
        <w:tblCellMar>
          <w:top w:w="28" w:type="dxa"/>
          <w:left w:w="28" w:type="dxa"/>
          <w:bottom w:w="28" w:type="dxa"/>
          <w:right w:w="28" w:type="dxa"/>
        </w:tblCellMar>
      </w:tblPr>
      <w:tblGrid>
        <w:gridCol w:w="946"/>
        <w:gridCol w:w="352"/>
        <w:gridCol w:w="221"/>
        <w:gridCol w:w="221"/>
        <w:gridCol w:w="1729"/>
        <w:gridCol w:w="221"/>
        <w:gridCol w:w="221"/>
        <w:gridCol w:w="221"/>
        <w:gridCol w:w="1570"/>
        <w:gridCol w:w="221"/>
        <w:gridCol w:w="221"/>
        <w:gridCol w:w="223"/>
        <w:gridCol w:w="1411"/>
        <w:gridCol w:w="221"/>
        <w:gridCol w:w="221"/>
        <w:gridCol w:w="221"/>
        <w:gridCol w:w="1570"/>
        <w:gridCol w:w="194"/>
      </w:tblGrid>
      <w:tr>
        <w:trPr/>
        <w:tc>
          <w:tcPr>
            <w:tcW w:w="9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065"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Election of eight directors for terms ending at the Company’s 2027 Annual Meeting of Stockholders or until their successors are elected and qualified to serve:</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of Director</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w:t>
              <w:br/>
              <w:t>Against</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Abstentions</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w:t>
              <w:br/>
              <w:t>Non-Votes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9" w:type="dxa"/>
            <w:gridSpan w:val="3"/>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C. Gray</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147,139,789</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3,073,685</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242,559</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28,319,066</w:t>
            </w:r>
          </w:p>
        </w:tc>
        <w:tc>
          <w:tcPr>
            <w:tcW w:w="19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8"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 William Krause</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143,046,685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7,176,807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232,541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28,319,066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8" w:type="dxa"/>
            <w:gridSpan w:val="2"/>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Joanne M. Maguire</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134,176,079</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15,966,596</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313,358</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28,319,066</w:t>
            </w:r>
          </w:p>
        </w:tc>
        <w:tc>
          <w:tcPr>
            <w:tcW w:w="19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8"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J. Manning</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147,606,272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2,607,374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242,387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28,319,066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8" w:type="dxa"/>
            <w:gridSpan w:val="2"/>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Derrick A. Roman</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143,638,892</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5,622,801</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1,194,340</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28,319,066</w:t>
            </w:r>
          </w:p>
        </w:tc>
        <w:tc>
          <w:tcPr>
            <w:tcW w:w="19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8"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L. Treadway</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147,814,162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2,425,510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216,361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28,319,066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8" w:type="dxa"/>
            <w:gridSpan w:val="2"/>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Claudius E. Watts IV</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147,008,372</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3,229,897</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217,764</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28,319,066</w:t>
            </w:r>
          </w:p>
        </w:tc>
        <w:tc>
          <w:tcPr>
            <w:tcW w:w="19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8"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Timothy T. Yates</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147,234,953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2,977,947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243,133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28,319,066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0"/>
        <w:gridCol w:w="4054"/>
        <w:gridCol w:w="146"/>
        <w:gridCol w:w="146"/>
        <w:gridCol w:w="1141"/>
        <w:gridCol w:w="146"/>
        <w:gridCol w:w="146"/>
        <w:gridCol w:w="146"/>
        <w:gridCol w:w="931"/>
        <w:gridCol w:w="146"/>
        <w:gridCol w:w="146"/>
        <w:gridCol w:w="170"/>
        <w:gridCol w:w="911"/>
        <w:gridCol w:w="146"/>
        <w:gridCol w:w="146"/>
        <w:gridCol w:w="146"/>
        <w:gridCol w:w="1036"/>
        <w:gridCol w:w="192"/>
      </w:tblGrid>
      <w:tr>
        <w:trPr/>
        <w:tc>
          <w:tcPr>
            <w:tcW w:w="310"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w:t>
              <w:br/>
              <w:t>Against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Abstentions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w:t>
              <w:br/>
              <w:t>Non-Votes</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405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Non-binding, advisory approval of the compensation of the Company’s named executive officers: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148,818,804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1,316,673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320,556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28,319,066</w:t>
            </w:r>
          </w:p>
        </w:tc>
        <w:tc>
          <w:tcPr>
            <w:tcW w:w="19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5"/>
        <w:gridCol w:w="2850"/>
        <w:gridCol w:w="146"/>
        <w:gridCol w:w="146"/>
        <w:gridCol w:w="1141"/>
        <w:gridCol w:w="146"/>
        <w:gridCol w:w="146"/>
        <w:gridCol w:w="146"/>
        <w:gridCol w:w="781"/>
        <w:gridCol w:w="146"/>
        <w:gridCol w:w="146"/>
        <w:gridCol w:w="146"/>
        <w:gridCol w:w="931"/>
        <w:gridCol w:w="146"/>
        <w:gridCol w:w="146"/>
        <w:gridCol w:w="170"/>
        <w:gridCol w:w="911"/>
        <w:gridCol w:w="146"/>
        <w:gridCol w:w="146"/>
        <w:gridCol w:w="146"/>
        <w:gridCol w:w="1036"/>
        <w:gridCol w:w="192"/>
      </w:tblGrid>
      <w:tr>
        <w:trPr/>
        <w:tc>
          <w:tcPr>
            <w:tcW w:w="295"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Every </w:t>
              <w:b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Every 2 </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Every 3 </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Abstentions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w:t>
              <w:br/>
              <w:t>Non-Votes</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285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Non-binding, advisory approval of the frequency of future advisory votes on the compensation of the Company’s named executive officers: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144,988,493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417,845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4,502,847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546,846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28,319,068</w:t>
            </w:r>
          </w:p>
        </w:tc>
        <w:tc>
          <w:tcPr>
            <w:tcW w:w="19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outcome of the vote on the frequency of future advisory votes to approve executive compensation and consistent with its recommendation, the Board has determined that the Company will continue to hold such votes to approve executive compensation every year until the next required frequency vote. Accordingly, the Company will hold its next advisory vote to approve executive compensation at its 2027 annual meeting of stockholders.</w:t>
      </w:r>
    </w:p>
    <w:tbl>
      <w:tblPr>
        <w:tblW w:w="10205" w:type="dxa"/>
        <w:jc w:val="left"/>
        <w:tblInd w:w="0" w:type="dxa"/>
        <w:tblLayout w:type="fixed"/>
        <w:tblCellMar>
          <w:top w:w="28" w:type="dxa"/>
          <w:left w:w="28" w:type="dxa"/>
          <w:bottom w:w="28" w:type="dxa"/>
          <w:right w:w="28" w:type="dxa"/>
        </w:tblCellMar>
      </w:tblPr>
      <w:tblGrid>
        <w:gridCol w:w="316"/>
        <w:gridCol w:w="4048"/>
        <w:gridCol w:w="146"/>
        <w:gridCol w:w="146"/>
        <w:gridCol w:w="1141"/>
        <w:gridCol w:w="146"/>
        <w:gridCol w:w="146"/>
        <w:gridCol w:w="146"/>
        <w:gridCol w:w="931"/>
        <w:gridCol w:w="146"/>
        <w:gridCol w:w="146"/>
        <w:gridCol w:w="170"/>
        <w:gridCol w:w="911"/>
        <w:gridCol w:w="146"/>
        <w:gridCol w:w="146"/>
        <w:gridCol w:w="146"/>
        <w:gridCol w:w="1036"/>
        <w:gridCol w:w="192"/>
      </w:tblGrid>
      <w:tr>
        <w:trPr/>
        <w:tc>
          <w:tcPr>
            <w:tcW w:w="316" w:type="dxa"/>
            <w:tcBorders/>
            <w:vAlign w:val="center"/>
          </w:tcPr>
          <w:p>
            <w:pPr>
              <w:pStyle w:val="TableContents"/>
              <w:bidi w:val="0"/>
              <w:spacing w:before="0" w:after="283"/>
              <w:jc w:val="left"/>
              <w:rPr>
                <w:sz w:val="4"/>
                <w:szCs w:val="4"/>
              </w:rPr>
            </w:pPr>
            <w:r>
              <w:rPr>
                <w:sz w:val="4"/>
                <w:szCs w:val="4"/>
              </w:rPr>
            </w:r>
          </w:p>
        </w:tc>
        <w:tc>
          <w:tcPr>
            <w:tcW w:w="4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w:t>
              <w:br/>
              <w:t>Against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Abstentions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w:t>
              <w:br/>
              <w:t>Non-Votes</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404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Approval of additional shares under the Company’s 2019 Long-Term Incentive Plan: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146,601,441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3,506,349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348,243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28,319,066</w:t>
            </w:r>
          </w:p>
        </w:tc>
        <w:tc>
          <w:tcPr>
            <w:tcW w:w="19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60"/>
        <w:jc w:val="left"/>
        <w:rPr/>
      </w:pPr>
      <w:r>
        <w:rPr/>
        <w:t> </w:t>
      </w:r>
    </w:p>
    <w:tbl>
      <w:tblPr>
        <w:tblW w:w="8553" w:type="dxa"/>
        <w:jc w:val="left"/>
        <w:tblInd w:w="0" w:type="dxa"/>
        <w:tblLayout w:type="fixed"/>
        <w:tblCellMar>
          <w:top w:w="28" w:type="dxa"/>
          <w:left w:w="28" w:type="dxa"/>
          <w:bottom w:w="28" w:type="dxa"/>
          <w:right w:w="28" w:type="dxa"/>
        </w:tblCellMar>
      </w:tblPr>
      <w:tblGrid>
        <w:gridCol w:w="346"/>
        <w:gridCol w:w="3841"/>
        <w:gridCol w:w="146"/>
        <w:gridCol w:w="146"/>
        <w:gridCol w:w="1141"/>
        <w:gridCol w:w="146"/>
        <w:gridCol w:w="146"/>
        <w:gridCol w:w="146"/>
        <w:gridCol w:w="931"/>
        <w:gridCol w:w="146"/>
        <w:gridCol w:w="146"/>
        <w:gridCol w:w="170"/>
        <w:gridCol w:w="911"/>
        <w:gridCol w:w="191"/>
      </w:tblGrid>
      <w:tr>
        <w:trPr/>
        <w:tc>
          <w:tcPr>
            <w:tcW w:w="34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w:t>
              <w:br/>
              <w:t>Against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Abstentions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38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Ratification of Independent Registered Public</w:t>
              <w:br/>
              <w:t>Accounting Firm for 2026: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176,816,731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1,746,298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212,070</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7, 2026, the Company issued a press release announcing the results of the Meeting. A copy of the press release is filed as Exhibit 99.1 to this report and is incorporated herein by reference.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 EXHIBITS</w:t>
      </w:r>
    </w:p>
    <w:p>
      <w:pPr>
        <w:pStyle w:val="TextBody"/>
        <w:bidi w:val="0"/>
        <w:spacing w:before="60" w:after="283"/>
        <w:jc w:val="left"/>
        <w:rPr/>
      </w:pPr>
      <w:r>
        <w:rPr>
          <w:rFonts w:ascii="Times New Roman" w:hAnsi="Times New Roman"/>
          <w:color w:val="000000"/>
          <w:sz w:val="20"/>
        </w:rPr>
        <w:t xml:space="preserve">99.1 </w:t>
      </w:r>
      <w:hyperlink w:anchor="visn-ex99_1.htm">
        <w:r>
          <w:rPr>
            <w:rStyle w:val="InternetLink"/>
            <w:rFonts w:ascii="Times New Roman" w:hAnsi="Times New Roman"/>
            <w:color w:val="0000FF"/>
            <w:sz w:val="20"/>
            <w:u w:val="single"/>
          </w:rPr>
          <w:t>Press Release of Vistance Networks, Inc. dated May 7, 2026.</w:t>
        </w:r>
      </w:hyperlink>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104 Cover Page Interactive Data File (embedded within the Inline XBRL document).</w:t>
        <w:b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Dated: May 8, 2026</w:t>
      </w:r>
    </w:p>
    <w:tbl>
      <w:tblPr>
        <w:tblW w:w="4887" w:type="dxa"/>
        <w:jc w:val="left"/>
        <w:tblInd w:w="0" w:type="dxa"/>
        <w:tblLayout w:type="fixed"/>
        <w:tblCellMar>
          <w:top w:w="28" w:type="dxa"/>
          <w:left w:w="28" w:type="dxa"/>
          <w:bottom w:w="28" w:type="dxa"/>
          <w:right w:w="28" w:type="dxa"/>
        </w:tblCellMar>
      </w:tblPr>
      <w:tblGrid>
        <w:gridCol w:w="651"/>
        <w:gridCol w:w="636"/>
        <w:gridCol w:w="1557"/>
        <w:gridCol w:w="2043"/>
      </w:tblGrid>
      <w:tr>
        <w:trPr/>
        <w:tc>
          <w:tcPr>
            <w:tcW w:w="65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r>
      <w:tr>
        <w:trPr/>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VISTANCE NETWORKS, INC.</w:t>
            </w:r>
          </w:p>
        </w:tc>
      </w:tr>
      <w:tr>
        <w:trPr/>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557" w:type="dxa"/>
            <w:tcBorders/>
            <w:tcMar>
              <w:top w:w="0" w:type="dxa"/>
              <w:left w:w="0" w:type="dxa"/>
              <w:bottom w:w="0" w:type="dxa"/>
              <w:right w:w="0" w:type="dxa"/>
            </w:tcMar>
            <w:vAlign w:val="center"/>
          </w:tcPr>
          <w:p>
            <w:pPr>
              <w:pStyle w:val="TableContents"/>
              <w:bidi w:val="0"/>
              <w:spacing w:before="0" w:after="283"/>
              <w:jc w:val="left"/>
              <w:rPr/>
            </w:pPr>
            <w:r>
              <w:rPr/>
              <w:t> </w:t>
            </w:r>
          </w:p>
        </w:tc>
        <w:tc>
          <w:tcPr>
            <w:tcW w:w="20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360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Krista R. Bowen</w:t>
            </w:r>
          </w:p>
        </w:tc>
      </w:tr>
      <w:tr>
        <w:trPr/>
        <w:tc>
          <w:tcPr>
            <w:tcW w:w="65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3600"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Krista R. Bowen</w:t>
            </w:r>
          </w:p>
          <w:p>
            <w:pPr>
              <w:pStyle w:val="TableContents"/>
              <w:bidi w:val="0"/>
              <w:jc w:val="left"/>
              <w:rPr>
                <w:rFonts w:ascii="Times New Roman" w:hAnsi="Times New Roman"/>
                <w:color w:val="000000"/>
                <w:sz w:val="20"/>
              </w:rPr>
            </w:pPr>
            <w:r>
              <w:rPr>
                <w:rFonts w:ascii="Times New Roman" w:hAnsi="Times New Roman"/>
                <w:color w:val="000000"/>
                <w:sz w:val="20"/>
              </w:rPr>
              <w:t xml:space="preserve">Senior Vice President, General Counsel,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Administrative Officer and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 w:name="visn-ex99_1.htm"/>
      <w:bookmarkStart w:id="3" w:name="ksvisnex99_1"/>
      <w:bookmarkStart w:id="4" w:name="visn-ex99_1.htm"/>
      <w:bookmarkStart w:id="5" w:name="ksvisnex99_1"/>
      <w:bookmarkEnd w:id="4"/>
      <w:bookmarkEnd w:id="5"/>
      <w:r>
        <w:br w:type="page"/>
      </w:r>
    </w:p>
    <w:tbl>
      <w:tblPr>
        <w:tblW w:w="9851" w:type="dxa"/>
        <w:jc w:val="left"/>
        <w:tblInd w:w="0" w:type="dxa"/>
        <w:tblLayout w:type="fixed"/>
        <w:tblCellMar>
          <w:top w:w="28" w:type="dxa"/>
          <w:left w:w="28" w:type="dxa"/>
          <w:bottom w:w="28" w:type="dxa"/>
          <w:right w:w="28" w:type="dxa"/>
        </w:tblCellMar>
      </w:tblPr>
      <w:tblGrid>
        <w:gridCol w:w="9851"/>
      </w:tblGrid>
      <w:tr>
        <w:trPr/>
        <w:tc>
          <w:tcPr>
            <w:tcW w:w="9851" w:type="dxa"/>
            <w:tcBorders/>
            <w:vAlign w:val="center"/>
          </w:tcPr>
          <w:p>
            <w:pPr>
              <w:pStyle w:val="TableContents"/>
              <w:bidi w:val="0"/>
              <w:spacing w:before="0" w:after="283"/>
              <w:jc w:val="left"/>
              <w:rPr>
                <w:sz w:val="4"/>
                <w:szCs w:val="4"/>
              </w:rPr>
            </w:pPr>
            <w:r>
              <w:rPr>
                <w:sz w:val="4"/>
                <w:szCs w:val="4"/>
              </w:rPr>
            </w:r>
          </w:p>
        </w:tc>
      </w:tr>
      <w:tr>
        <w:trPr/>
        <w:tc>
          <w:tcPr>
            <w:tcW w:w="9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Exhibit 99.1</w:t>
            </w:r>
          </w:p>
        </w:tc>
      </w:tr>
      <w:tr>
        <w:trPr/>
        <w:tc>
          <w:tcPr>
            <w:tcW w:w="9851" w:type="dxa"/>
            <w:tcBorders/>
            <w:tcMar>
              <w:top w:w="0" w:type="dxa"/>
              <w:left w:w="0" w:type="dxa"/>
              <w:bottom w:w="0" w:type="dxa"/>
              <w:right w:w="0" w:type="dxa"/>
            </w:tcMar>
            <w:vAlign w:val="center"/>
          </w:tcPr>
          <w:p>
            <w:pPr>
              <w:pStyle w:val="TableContents"/>
              <w:bidi w:val="0"/>
              <w:spacing w:before="120" w:after="283"/>
              <w:jc w:val="center"/>
              <w:rPr/>
            </w:pPr>
            <w:r>
              <w:rPr/>
              <w:drawing>
                <wp:inline distT="0" distB="0" distL="0" distR="0">
                  <wp:extent cx="6162675" cy="1257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62675" cy="1257300"/>
                          </a:xfrm>
                          <a:prstGeom prst="rect">
                            <a:avLst/>
                          </a:prstGeom>
                        </pic:spPr>
                      </pic:pic>
                    </a:graphicData>
                  </a:graphic>
                </wp:inline>
              </w:drawing>
            </w:r>
          </w:p>
        </w:tc>
      </w:tr>
    </w:tbl>
    <w:p>
      <w:pPr>
        <w:pStyle w:val="TextBody"/>
        <w:bidi w:val="0"/>
        <w:jc w:val="left"/>
        <w:rPr/>
      </w:pPr>
      <w:r>
        <w:rPr/>
        <w:t> </w:t>
      </w:r>
    </w:p>
    <w:p>
      <w:pPr>
        <w:pStyle w:val="TextBody"/>
        <w:bidi w:val="0"/>
        <w:jc w:val="center"/>
        <w:rPr>
          <w:rFonts w:ascii="Segoe UI;sans-serif" w:hAnsi="Segoe UI;sans-serif"/>
          <w:b/>
          <w:color w:val="000000"/>
          <w:sz w:val="28"/>
        </w:rPr>
      </w:pPr>
      <w:r>
        <w:rPr>
          <w:rFonts w:ascii="Segoe UI;sans-serif" w:hAnsi="Segoe UI;sans-serif"/>
          <w:b/>
          <w:color w:val="000000"/>
          <w:sz w:val="28"/>
        </w:rPr>
        <w:t>Vistance Networks Stockholders Approve Proxy Proposals</w:t>
      </w:r>
    </w:p>
    <w:p>
      <w:pPr>
        <w:pStyle w:val="TextBody"/>
        <w:bidi w:val="0"/>
        <w:spacing w:before="240" w:after="283"/>
        <w:jc w:val="left"/>
        <w:rPr>
          <w:rFonts w:ascii="Times New Roman" w:hAnsi="Times New Roman"/>
          <w:sz w:val="20"/>
        </w:rPr>
      </w:pPr>
      <w:r>
        <w:rPr>
          <w:rFonts w:ascii="Segoe UI;sans-serif" w:hAnsi="Segoe UI;sans-serif"/>
          <w:b/>
          <w:color w:val="000000"/>
          <w:sz w:val="24"/>
        </w:rPr>
        <w:t>RICHARDSON, TX, May 7, 2026</w:t>
      </w:r>
      <w:r>
        <w:rPr>
          <w:rFonts w:ascii="Times New Roman" w:hAnsi="Times New Roman"/>
          <w:color w:val="000000"/>
          <w:sz w:val="20"/>
        </w:rPr>
        <w:t>—</w:t>
      </w:r>
      <w:r>
        <w:rPr>
          <w:rFonts w:ascii="Segoe UI;sans-serif" w:hAnsi="Segoe UI;sans-serif"/>
          <w:color w:val="000000"/>
          <w:sz w:val="24"/>
        </w:rPr>
        <w:t>The stockholders of Vistance Networks, Inc., a global provider of intelligent network solutions, approved five proxy proposals today at the company’s annual meeting of stockholders.</w:t>
      </w:r>
    </w:p>
    <w:p>
      <w:pPr>
        <w:pStyle w:val="TextBody"/>
        <w:bidi w:val="0"/>
        <w:jc w:val="left"/>
        <w:rPr/>
      </w:pPr>
      <w:r>
        <w:rPr/>
        <w:t> </w:t>
      </w:r>
    </w:p>
    <w:p>
      <w:pPr>
        <w:pStyle w:val="TextBody"/>
        <w:bidi w:val="0"/>
        <w:jc w:val="left"/>
        <w:rPr>
          <w:rFonts w:ascii="Segoe UI;sans-serif" w:hAnsi="Segoe UI;sans-serif"/>
          <w:color w:val="000000"/>
          <w:sz w:val="24"/>
        </w:rPr>
      </w:pPr>
      <w:r>
        <w:rPr>
          <w:rFonts w:ascii="Segoe UI;sans-serif" w:hAnsi="Segoe UI;sans-serif"/>
          <w:color w:val="000000"/>
          <w:sz w:val="24"/>
        </w:rPr>
        <w:t>Vistance Networks stockholders re-elected Stephen C. Gray, L. William Krause, Joanne M. Maguire, Thomas J. Manning, Derrick A. Roman, Charles L. Treadway, Claudius E. Watts IV and Timothy T. Yates as directors, each for a term ending at the 2027 annual meeting, and ratified the appointment of Ernst &amp; Young LLP as the company’s independent registered public accounting firm for the 2026 fiscal year. The stockholders also approved, on a non-binding advisory basis, the compensation of the company’s named executive officers and a frequency of every year for future advisory votes on the compensation of the company’s named executive officers. In addition, the stockholders approved additional shares under the company’s 2019 Long-Term Incentive Plan.</w:t>
      </w:r>
    </w:p>
    <w:p>
      <w:pPr>
        <w:pStyle w:val="TextBody"/>
        <w:bidi w:val="0"/>
        <w:jc w:val="center"/>
        <w:rPr>
          <w:color w:val="000000"/>
        </w:rPr>
      </w:pPr>
      <w:r>
        <w:rPr>
          <w:color w:val="000000"/>
        </w:rPr>
        <w:t>—</w:t>
      </w:r>
      <w:r>
        <w:rPr>
          <w:rFonts w:ascii="Segoe UI;sans-serif" w:hAnsi="Segoe UI;sans-serif"/>
          <w:b/>
          <w:color w:val="000000"/>
          <w:sz w:val="24"/>
        </w:rPr>
        <w:t>END—</w:t>
      </w:r>
    </w:p>
    <w:p>
      <w:pPr>
        <w:pStyle w:val="TextBody"/>
        <w:bidi w:val="0"/>
        <w:spacing w:before="240" w:after="283"/>
        <w:jc w:val="left"/>
        <w:rPr>
          <w:rFonts w:ascii="Segoe UI;sans-serif" w:hAnsi="Segoe UI;sans-serif"/>
          <w:b/>
          <w:color w:val="000000"/>
          <w:sz w:val="24"/>
        </w:rPr>
      </w:pPr>
      <w:r>
        <w:rPr>
          <w:rFonts w:ascii="Segoe UI;sans-serif" w:hAnsi="Segoe UI;sans-serif"/>
          <w:b/>
          <w:color w:val="000000"/>
          <w:sz w:val="24"/>
        </w:rPr>
        <w:t>About Vistance Networks:</w:t>
      </w:r>
    </w:p>
    <w:p>
      <w:pPr>
        <w:pStyle w:val="TextBody"/>
        <w:bidi w:val="0"/>
        <w:spacing w:before="120" w:after="283"/>
        <w:jc w:val="left"/>
        <w:rPr>
          <w:rFonts w:ascii="Times New Roman" w:hAnsi="Times New Roman"/>
          <w:sz w:val="20"/>
        </w:rPr>
      </w:pPr>
      <w:r>
        <w:rPr>
          <w:rFonts w:ascii="Segoe UI;sans-serif" w:hAnsi="Segoe UI;sans-serif"/>
          <w:color w:val="000000"/>
          <w:sz w:val="20"/>
        </w:rPr>
        <w:t xml:space="preserve">Vistance Networks (NASDAQ: VISN)) shapes the future of communications technology, pushing past what is possible. We deliver solutions that bring reliability and performance to a world always in motion. Our global team of innovators and employees are trusted advisors who listen to customers first, then deliver value. Discover more at </w:t>
      </w:r>
      <w:r>
        <w:rPr>
          <w:rFonts w:ascii="Segoe UI;sans-serif" w:hAnsi="Segoe UI;sans-serif"/>
          <w:sz w:val="20"/>
        </w:rPr>
        <w:t>www.vistancenetworks.com</w:t>
      </w:r>
      <w:r>
        <w:rPr>
          <w:rFonts w:ascii="Segoe UI;sans-serif" w:hAnsi="Segoe UI;sans-serif"/>
          <w:color w:val="000000"/>
          <w:sz w:val="20"/>
        </w:rPr>
        <w: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egoe UI;sans-serif" w:hAnsi="Segoe UI;sans-serif"/>
          <w:color w:val="000000"/>
          <w:sz w:val="20"/>
        </w:rPr>
        <w:t xml:space="preserve">Follow us </w:t>
      </w:r>
      <w:r>
        <w:rPr>
          <w:rFonts w:ascii="Aptos;sans-serif" w:hAnsi="Aptos;sans-serif"/>
          <w:color w:val="000000"/>
          <w:sz w:val="20"/>
        </w:rPr>
        <w:t>on LinkedIn.</w:t>
      </w:r>
    </w:p>
    <w:p>
      <w:pPr>
        <w:pStyle w:val="TextBody"/>
        <w:bidi w:val="0"/>
        <w:spacing w:before="240" w:after="283"/>
        <w:jc w:val="left"/>
        <w:rPr>
          <w:rFonts w:ascii="Times New Roman" w:hAnsi="Times New Roman"/>
          <w:sz w:val="20"/>
        </w:rPr>
      </w:pPr>
      <w:r>
        <w:rPr>
          <w:rFonts w:ascii="Segoe UI;sans-serif" w:hAnsi="Segoe UI;sans-serif"/>
          <w:b/>
          <w:color w:val="000000"/>
          <w:sz w:val="24"/>
        </w:rPr>
        <w:t xml:space="preserve">Investor Contact: </w:t>
        <w:br/>
      </w:r>
      <w:r>
        <w:rPr>
          <w:rFonts w:ascii="Segoe UI;sans-serif" w:hAnsi="Segoe UI;sans-serif"/>
          <w:color w:val="000000"/>
          <w:sz w:val="20"/>
        </w:rPr>
        <w:t>Jenny Thompson</w:t>
        <w:br/>
        <w:t>Jenny.Thompson@VistanceNetworks.com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Segoe UI;sans-serif" w:hAnsi="Segoe UI;sans-serif"/>
          <w:b/>
          <w:color w:val="000000"/>
          <w:sz w:val="24"/>
        </w:rPr>
        <w:t>News Media Contact:</w:t>
      </w:r>
      <w:r>
        <w:rPr>
          <w:rFonts w:ascii="Segoe UI;sans-serif" w:hAnsi="Segoe UI;sans-serif"/>
          <w:color w:val="000000"/>
          <w:sz w:val="24"/>
        </w:rPr>
        <w:br/>
      </w:r>
      <w:r>
        <w:rPr>
          <w:rFonts w:ascii="Segoe UI;sans-serif" w:hAnsi="Segoe UI;sans-serif"/>
          <w:color w:val="000000"/>
          <w:sz w:val="20"/>
        </w:rPr>
        <w:t>Luke Hamer</w:t>
        <w:br/>
        <w:t>Luke.Hamer@VistanceNetworks.com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egoe UI;sans-serif" w:hAnsi="Segoe UI;sans-serif"/>
          <w:b/>
          <w:i/>
          <w:color w:val="000000"/>
          <w:sz w:val="24"/>
        </w:rPr>
        <w:t>Source:</w:t>
      </w:r>
      <w:r>
        <w:rPr>
          <w:rFonts w:ascii="Times New Roman" w:hAnsi="Times New Roman"/>
          <w:color w:val="000000"/>
          <w:sz w:val="20"/>
        </w:rPr>
        <w:t xml:space="preserve"> </w:t>
      </w:r>
      <w:r>
        <w:rPr>
          <w:rFonts w:ascii="Segoe UI;sans-serif" w:hAnsi="Segoe UI;sans-serif"/>
          <w:i/>
          <w:color w:val="000000"/>
          <w:sz w:val="24"/>
        </w:rPr>
        <w:t>Vistance Networks</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egoe UI">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1038</Words>
  <Characters>5941</Characters>
  <CharactersWithSpaces>7047</CharactersWithSpaces>
  <Paragraphs>368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