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-215265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87" w:lineRule="exact"/>
        <w:rPr>
          <w:sz w:val="24"/>
          <w:szCs w:val="24"/>
          <w:color w:val="auto"/>
        </w:rPr>
      </w:pPr>
    </w:p>
    <w:p>
      <w:pPr>
        <w:ind w:left="580" w:hanging="559"/>
        <w:spacing w:after="0"/>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57" w:lineRule="exact"/>
        <w:rPr>
          <w:rFonts w:ascii="MS PGothic" w:cs="MS PGothic" w:eastAsia="MS PGothic" w:hAnsi="MS PGothic"/>
          <w:sz w:val="18"/>
          <w:szCs w:val="18"/>
          <w:color w:val="auto"/>
          <w:highlight w:val="black"/>
        </w:rPr>
      </w:pPr>
    </w:p>
    <w:p>
      <w:pPr>
        <w:ind w:left="36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30, 2022</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60" w:hanging="559"/>
        <w:spacing w:after="0" w:line="241" w:lineRule="auto"/>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8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001-36146</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CommScope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-269875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jc w:val="center"/>
              <w:ind w:left="1682"/>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jc w:val="center"/>
              <w:ind w:right="1623"/>
              <w:spacing w:after="0"/>
              <w:rPr>
                <w:sz w:val="20"/>
                <w:szCs w:val="20"/>
                <w:color w:val="auto"/>
              </w:rPr>
            </w:pPr>
            <w:r>
              <w:rPr>
                <w:rFonts w:ascii="Arial" w:cs="Arial" w:eastAsia="Arial" w:hAnsi="Arial"/>
                <w:sz w:val="18"/>
                <w:szCs w:val="18"/>
                <w:b w:val="1"/>
                <w:bCs w:val="1"/>
                <w:color w:val="auto"/>
                <w:w w:val="89"/>
              </w:rPr>
              <w:t>27-4332098</w:t>
            </w:r>
          </w:p>
        </w:tc>
        <w:tc>
          <w:tcPr>
            <w:tcW w:w="0" w:type="dxa"/>
            <w:vAlign w:val="bottom"/>
          </w:tcPr>
          <w:p>
            <w:pPr>
              <w:spacing w:after="0"/>
              <w:rPr>
                <w:sz w:val="1"/>
                <w:szCs w:val="1"/>
                <w:color w:val="auto"/>
              </w:rPr>
            </w:pPr>
          </w:p>
        </w:tc>
      </w:tr>
      <w:tr>
        <w:trPr>
          <w:trHeight w:val="148"/>
        </w:trPr>
        <w:tc>
          <w:tcPr>
            <w:tcW w:w="3880" w:type="dxa"/>
            <w:vAlign w:val="bottom"/>
          </w:tcPr>
          <w:p>
            <w:pPr>
              <w:jc w:val="center"/>
              <w:ind w:left="16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jc w:val="center"/>
              <w:ind w:right="1603"/>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80" w:type="dxa"/>
            <w:vAlign w:val="bottom"/>
          </w:tcPr>
          <w:p>
            <w:pPr>
              <w:jc w:val="center"/>
              <w:ind w:left="1682"/>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vMerge w:val="restart"/>
          </w:tcPr>
          <w:p>
            <w:pPr>
              <w:jc w:val="center"/>
              <w:ind w:right="580"/>
              <w:spacing w:after="0"/>
              <w:rPr>
                <w:sz w:val="20"/>
                <w:szCs w:val="20"/>
                <w:color w:val="auto"/>
              </w:rPr>
            </w:pPr>
            <w:r>
              <w:rPr>
                <w:rFonts w:ascii="Arial" w:cs="Arial" w:eastAsia="Arial" w:hAnsi="Arial"/>
                <w:sz w:val="18"/>
                <w:szCs w:val="18"/>
                <w:b w:val="1"/>
                <w:bCs w:val="1"/>
                <w:color w:val="auto"/>
                <w:w w:val="87"/>
              </w:rPr>
              <w:t>1100 CommScope Place, SE</w:t>
            </w:r>
          </w:p>
        </w:tc>
        <w:tc>
          <w:tcPr>
            <w:tcW w:w="3920" w:type="dxa"/>
            <w:vAlign w:val="bottom"/>
          </w:tcPr>
          <w:p>
            <w:pPr>
              <w:jc w:val="center"/>
              <w:ind w:right="1603"/>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gridSpan w:val="4"/>
            <w:vMerge w:val="continue"/>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94"/>
              </w:rPr>
              <w:t>Hickory, North Carolina</w:t>
            </w: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2200" w:type="dxa"/>
            <w:vAlign w:val="bottom"/>
            <w:gridSpan w:val="4"/>
          </w:tcPr>
          <w:p>
            <w:pPr>
              <w:jc w:val="right"/>
              <w:ind w:right="161"/>
              <w:spacing w:after="0" w:line="198" w:lineRule="exact"/>
              <w:rPr>
                <w:sz w:val="20"/>
                <w:szCs w:val="20"/>
                <w:color w:val="auto"/>
              </w:rPr>
            </w:pPr>
            <w:r>
              <w:rPr>
                <w:rFonts w:ascii="Arial" w:cs="Arial" w:eastAsia="Arial" w:hAnsi="Arial"/>
                <w:sz w:val="18"/>
                <w:szCs w:val="18"/>
                <w:b w:val="1"/>
                <w:bCs w:val="1"/>
                <w:color w:val="auto"/>
              </w:rPr>
              <w:t>28602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5"/>
              </w:rPr>
              <w:t>(Zip Code)</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80" w:type="dxa"/>
            <w:vAlign w:val="bottom"/>
          </w:tcPr>
          <w:p>
            <w:pPr>
              <w:spacing w:after="0"/>
              <w:rPr>
                <w:sz w:val="18"/>
                <w:szCs w:val="18"/>
                <w:color w:val="auto"/>
              </w:rPr>
            </w:pPr>
          </w:p>
        </w:tc>
        <w:tc>
          <w:tcPr>
            <w:tcW w:w="23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(828) 324-2200</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34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vMerge w:val="restart"/>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3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vMerge w:val="restart"/>
          </w:tcPr>
          <w:p>
            <w:pPr>
              <w:jc w:val="center"/>
              <w:ind w:right="132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38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4"/>
            <w:vMerge w:val="continue"/>
          </w:tcPr>
          <w:p>
            <w:pPr>
              <w:spacing w:after="0"/>
              <w:rPr>
                <w:sz w:val="12"/>
                <w:szCs w:val="12"/>
                <w:color w:val="auto"/>
              </w:rPr>
            </w:pPr>
          </w:p>
        </w:tc>
        <w:tc>
          <w:tcPr>
            <w:tcW w:w="3920" w:type="dxa"/>
            <w:vAlign w:val="bottom"/>
            <w:vMerge w:val="restart"/>
          </w:tcPr>
          <w:p>
            <w:pPr>
              <w:jc w:val="center"/>
              <w:ind w:right="1043"/>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3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par value $0.01 per share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1"/>
              <w:spacing w:after="0"/>
              <w:rPr>
                <w:sz w:val="20"/>
                <w:szCs w:val="20"/>
                <w:color w:val="auto"/>
              </w:rPr>
            </w:pPr>
            <w:r>
              <w:rPr>
                <w:rFonts w:ascii="Arial" w:cs="Arial" w:eastAsia="Arial" w:hAnsi="Arial"/>
                <w:sz w:val="16"/>
                <w:szCs w:val="16"/>
                <w:color w:val="auto"/>
                <w:w w:val="98"/>
              </w:rPr>
              <w:t>COMM</w:t>
            </w: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spacing w:after="0"/>
              <w:rPr>
                <w:sz w:val="17"/>
                <w:szCs w:val="17"/>
                <w:color w:val="auto"/>
              </w:rPr>
            </w:pPr>
          </w:p>
        </w:tc>
        <w:tc>
          <w:tcPr>
            <w:tcW w:w="3920" w:type="dxa"/>
            <w:vAlign w:val="bottom"/>
            <w:tcBorders>
              <w:top w:val="single" w:sz="8" w:color="auto"/>
            </w:tcBorders>
          </w:tcPr>
          <w:p>
            <w:pPr>
              <w:jc w:val="center"/>
              <w:ind w:right="1043"/>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3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ind w:right="320"/>
        <w:spacing w:after="0" w:line="24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1440" w:type="dxa"/>
            <w:vAlign w:val="bottom"/>
          </w:tcPr>
          <w:p>
            <w:pPr>
              <w:ind w:left="1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144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29"/>
        </w:trPr>
        <w:tc>
          <w:tcPr>
            <w:tcW w:w="1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18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1440" w:type="dxa"/>
            <w:vAlign w:val="bottom"/>
          </w:tcPr>
          <w:p>
            <w:pPr>
              <w:ind w:left="1280"/>
              <w:spacing w:after="0" w:line="141" w:lineRule="exact"/>
              <w:rPr>
                <w:sz w:val="20"/>
                <w:szCs w:val="20"/>
                <w:color w:val="auto"/>
              </w:rPr>
            </w:pPr>
            <w:r>
              <w:rPr>
                <w:rFonts w:ascii="MS PGothic" w:cs="MS PGothic" w:eastAsia="MS PGothic" w:hAnsi="MS PGothic"/>
                <w:sz w:val="14"/>
                <w:szCs w:val="14"/>
                <w:color w:val="auto"/>
                <w:w w:val="99"/>
              </w:rPr>
              <w:t>☐</w:t>
            </w:r>
          </w:p>
        </w:tc>
      </w:tr>
    </w:tbl>
    <w:p>
      <w:pPr>
        <w:ind w:right="1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720"/>
        <w:spacing w:after="0" w:line="26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21, 2022, there were 208,349,536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jc w:val="right"/>
        <w:ind w:right="4860"/>
        <w:spacing w:after="0"/>
        <w:rPr>
          <w:sz w:val="20"/>
          <w:szCs w:val="20"/>
          <w:color w:val="auto"/>
        </w:rPr>
      </w:pPr>
      <w:r>
        <w:rPr>
          <w:rFonts w:ascii="Arial" w:cs="Arial" w:eastAsia="Arial" w:hAnsi="Arial"/>
          <w:sz w:val="18"/>
          <w:szCs w:val="18"/>
          <w:b w:val="1"/>
          <w:bCs w:val="1"/>
          <w:color w:val="auto"/>
        </w:rPr>
        <w:t>September 30, 2022</w:t>
      </w:r>
    </w:p>
    <w:p>
      <w:pPr>
        <w:jc w:val="right"/>
        <w:ind w:right="4920"/>
        <w:spacing w:after="0"/>
        <w:rPr>
          <w:sz w:val="20"/>
          <w:szCs w:val="20"/>
          <w:color w:val="auto"/>
        </w:rPr>
      </w:pPr>
      <w:r>
        <w:rPr>
          <w:rFonts w:ascii="Arial" w:cs="Arial" w:eastAsia="Arial" w:hAnsi="Arial"/>
          <w:sz w:val="18"/>
          <w:szCs w:val="18"/>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Part I—Financial Information (Unaudited):</w:t>
            </w:r>
          </w:p>
        </w:tc>
        <w:tc>
          <w:tcPr>
            <w:tcW w:w="20" w:type="dxa"/>
            <w:vAlign w:val="bottom"/>
            <w:tcBorders>
              <w:bottom w:val="single" w:sz="8" w:color="0000EE"/>
            </w:tcBorders>
          </w:tcPr>
          <w:p>
            <w:pPr>
              <w:spacing w:after="0"/>
              <w:rPr>
                <w:sz w:val="17"/>
                <w:szCs w:val="17"/>
                <w:color w:val="auto"/>
              </w:rPr>
            </w:pPr>
          </w:p>
        </w:tc>
        <w:tc>
          <w:tcPr>
            <w:tcW w:w="6100" w:type="dxa"/>
            <w:vAlign w:val="bottom"/>
            <w:gridSpan w:val="12"/>
          </w:tcPr>
          <w:p>
            <w:pPr>
              <w:spacing w:after="0"/>
              <w:rPr>
                <w:sz w:val="17"/>
                <w:szCs w:val="17"/>
                <w:color w:val="auto"/>
              </w:rPr>
            </w:pPr>
          </w:p>
        </w:tc>
        <w:tc>
          <w:tcPr>
            <w:tcW w:w="1960" w:type="dxa"/>
            <w:vAlign w:val="bottom"/>
          </w:tcPr>
          <w:p>
            <w:pPr>
              <w:spacing w:after="0"/>
              <w:rPr>
                <w:sz w:val="17"/>
                <w:szCs w:val="17"/>
                <w:color w:val="auto"/>
              </w:rPr>
            </w:pPr>
          </w:p>
        </w:tc>
      </w:tr>
      <w:tr>
        <w:trPr>
          <w:trHeight w:val="331"/>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1. Condensed Consolidated Financial Statements:</w:t>
            </w:r>
          </w:p>
        </w:tc>
        <w:tc>
          <w:tcPr>
            <w:tcW w:w="19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31"/>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Loss</w:t>
            </w: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Deficit</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20" w:type="dxa"/>
            <w:vAlign w:val="bottom"/>
            <w:gridSpan w:val="19"/>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7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920" w:type="dxa"/>
            <w:vAlign w:val="bottom"/>
            <w:tcBorders>
              <w:left w:val="single" w:sz="8" w:color="0000FF"/>
            </w:tcBorders>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4. Controls and Procedures</w:t>
            </w:r>
          </w:p>
        </w:tc>
        <w:tc>
          <w:tcPr>
            <w:tcW w:w="1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2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3"/>
              </w:rPr>
              <w:t>Part II—Other Information:</w:t>
            </w:r>
          </w:p>
        </w:tc>
        <w:tc>
          <w:tcPr>
            <w:tcW w:w="7240" w:type="dxa"/>
            <w:vAlign w:val="bottom"/>
            <w:gridSpan w:val="17"/>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1. Legal Proceedings</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1A. Risk Factors</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392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3. Defaults Upon Senior Securities</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594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4. Mine Safety Disclosures</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8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5. Other Information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940" w:type="dxa"/>
            <w:vAlign w:val="bottom"/>
            <w:gridSpan w:val="15"/>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8780" w:type="dxa"/>
            <w:vAlign w:val="bottom"/>
            <w:gridSpan w:val="21"/>
          </w:tcPr>
          <w:p>
            <w:pPr>
              <w:spacing w:after="0"/>
              <w:rPr>
                <w:sz w:val="20"/>
                <w:szCs w:val="20"/>
                <w:color w:val="auto"/>
              </w:rPr>
            </w:pPr>
            <w:r>
              <w:rPr>
                <w:rFonts w:ascii="Arial" w:cs="Arial" w:eastAsia="Arial" w:hAnsi="Arial"/>
                <w:sz w:val="18"/>
                <w:szCs w:val="18"/>
                <w:color w:val="0000FF"/>
              </w:rPr>
              <w:t>Item 6. Exhibits</w:t>
            </w:r>
          </w:p>
        </w:tc>
        <w:tc>
          <w:tcPr>
            <w:tcW w:w="1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660" w:type="dxa"/>
            <w:vAlign w:val="bottom"/>
            <w:gridSpan w:val="18"/>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44"/>
        </w:trPr>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8480" w:type="dxa"/>
            <w:vAlign w:val="bottom"/>
            <w:gridSpan w:val="2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4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1 -- FINANCIAL INFORMATION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2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ind w:left="3640"/>
        <w:spacing w:after="0"/>
        <w:rPr>
          <w:sz w:val="20"/>
          <w:szCs w:val="20"/>
          <w:color w:val="auto"/>
        </w:rPr>
      </w:pPr>
      <w:r>
        <w:rPr>
          <w:rFonts w:ascii="Arial" w:cs="Arial" w:eastAsia="Arial" w:hAnsi="Arial"/>
          <w:sz w:val="18"/>
          <w:szCs w:val="18"/>
          <w:b w:val="1"/>
          <w:bCs w:val="1"/>
          <w:color w:val="auto"/>
        </w:rPr>
        <w:t>(Unaudited – In millions,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26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09"/>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2,381.4</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6,910.2</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6,362.6</w:t>
            </w:r>
          </w:p>
        </w:tc>
        <w:tc>
          <w:tcPr>
            <w:tcW w:w="100" w:type="dxa"/>
            <w:vAlign w:val="bottom"/>
            <w:shd w:val="clear" w:color="auto" w:fill="CCECFF"/>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4,364.1</w:t>
            </w:r>
          </w:p>
        </w:tc>
        <w:tc>
          <w:tcPr>
            <w:tcW w:w="100" w:type="dxa"/>
            <w:vAlign w:val="bottom"/>
          </w:tcPr>
          <w:p>
            <w:pPr>
              <w:spacing w:after="0"/>
              <w:rPr>
                <w:sz w:val="18"/>
                <w:szCs w:val="18"/>
                <w:color w:val="auto"/>
              </w:rPr>
            </w:pPr>
          </w:p>
        </w:tc>
      </w:tr>
      <w:tr>
        <w:trPr>
          <w:trHeight w:val="209"/>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736.3</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2,055.8</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1,998.5</w:t>
            </w:r>
          </w:p>
        </w:tc>
        <w:tc>
          <w:tcPr>
            <w:tcW w:w="100" w:type="dxa"/>
            <w:vAlign w:val="bottom"/>
            <w:shd w:val="clear" w:color="auto" w:fill="CCECFF"/>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281.7</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314.3</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909.3</w:t>
            </w:r>
          </w:p>
        </w:tc>
        <w:tc>
          <w:tcPr>
            <w:tcW w:w="100" w:type="dxa"/>
            <w:vAlign w:val="bottom"/>
            <w:shd w:val="clear" w:color="auto" w:fill="CCECFF"/>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18"/>
                <w:szCs w:val="18"/>
                <w:color w:val="auto"/>
              </w:rPr>
            </w:pPr>
          </w:p>
        </w:tc>
      </w:tr>
      <w:tr>
        <w:trPr>
          <w:trHeight w:val="216"/>
        </w:trPr>
        <w:tc>
          <w:tcPr>
            <w:tcW w:w="60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Amortization of purchased intangible assets</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134.6</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414.3</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CFF"/>
          </w:tcPr>
          <w:p>
            <w:pPr>
              <w:spacing w:after="0"/>
              <w:rPr>
                <w:sz w:val="18"/>
                <w:szCs w:val="18"/>
                <w:color w:val="auto"/>
              </w:rPr>
            </w:pPr>
          </w:p>
        </w:tc>
      </w:tr>
      <w:tr>
        <w:trPr>
          <w:trHeight w:val="216"/>
        </w:trPr>
        <w:tc>
          <w:tcPr>
            <w:tcW w:w="6060" w:type="dxa"/>
            <w:vAlign w:val="bottom"/>
          </w:tcPr>
          <w:p>
            <w:pPr>
              <w:ind w:left="120"/>
              <w:spacing w:after="0"/>
              <w:rPr>
                <w:sz w:val="20"/>
                <w:szCs w:val="20"/>
                <w:color w:val="auto"/>
              </w:rPr>
            </w:pPr>
            <w:r>
              <w:rPr>
                <w:rFonts w:ascii="Arial" w:cs="Arial" w:eastAsia="Arial" w:hAnsi="Arial"/>
                <w:sz w:val="18"/>
                <w:szCs w:val="18"/>
                <w:color w:val="auto"/>
              </w:rPr>
              <w:t>Restructuring costs (credits),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r>
      <w:tr>
        <w:trPr>
          <w:trHeight w:val="209"/>
        </w:trPr>
        <w:tc>
          <w:tcPr>
            <w:tcW w:w="6060" w:type="dxa"/>
            <w:vAlign w:val="bottom"/>
            <w:tcBorders>
              <w:top w:val="single" w:sz="8" w:color="CCECFF"/>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CFF"/>
          </w:tcPr>
          <w:p>
            <w:pPr>
              <w:spacing w:after="0"/>
              <w:rPr>
                <w:sz w:val="18"/>
                <w:szCs w:val="18"/>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580.7</w:t>
            </w:r>
          </w:p>
        </w:tc>
        <w:tc>
          <w:tcPr>
            <w:tcW w:w="26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spacing w:after="0"/>
              <w:rPr>
                <w:sz w:val="18"/>
                <w:szCs w:val="18"/>
                <w:color w:val="auto"/>
              </w:rPr>
            </w:pP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1,810.3</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380" w:type="dxa"/>
            <w:vAlign w:val="bottom"/>
            <w:tcBorders>
              <w:top w:val="single" w:sz="8" w:color="auto"/>
              <w:bottom w:val="single" w:sz="8" w:color="auto"/>
            </w:tcBorders>
            <w:shd w:val="clear" w:color="auto" w:fill="CCECFF"/>
          </w:tcPr>
          <w:p>
            <w:pPr>
              <w:spacing w:after="0"/>
              <w:rPr>
                <w:sz w:val="18"/>
                <w:szCs w:val="18"/>
                <w:color w:val="auto"/>
              </w:rPr>
            </w:pP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1,987.0</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(29.8 )</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(150.9 )</w:t>
            </w: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(148.6 )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(427.5 )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(424.1 )</w:t>
            </w:r>
          </w:p>
        </w:tc>
      </w:tr>
      <w:tr>
        <w:trPr>
          <w:trHeight w:val="216"/>
        </w:trPr>
        <w:tc>
          <w:tcPr>
            <w:tcW w:w="60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(159.4 )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(173.8 )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(440.9 )</w:t>
            </w:r>
          </w:p>
        </w:tc>
      </w:tr>
      <w:tr>
        <w:trPr>
          <w:trHeight w:val="216"/>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CFF"/>
          </w:tcPr>
          <w:p>
            <w:pPr>
              <w:spacing w:after="0"/>
              <w:rPr>
                <w:sz w:val="18"/>
                <w:szCs w:val="18"/>
                <w:color w:val="auto"/>
              </w:rPr>
            </w:pPr>
          </w:p>
        </w:tc>
      </w:tr>
      <w:tr>
        <w:trPr>
          <w:trHeight w:val="20"/>
        </w:trPr>
        <w:tc>
          <w:tcPr>
            <w:tcW w:w="60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(124.2 )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(178.0 )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(375.6 )</w:t>
            </w:r>
          </w:p>
        </w:tc>
      </w:tr>
      <w:tr>
        <w:trPr>
          <w:trHeight w:val="216"/>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Series A convertible preferred stock dividends</w:t>
            </w:r>
          </w:p>
        </w:tc>
        <w:tc>
          <w:tcPr>
            <w:tcW w:w="26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(14.9 )</w:t>
            </w:r>
          </w:p>
        </w:tc>
        <w:tc>
          <w:tcPr>
            <w:tcW w:w="36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(44.1 )</w:t>
            </w: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(43.0 )</w:t>
            </w:r>
          </w:p>
        </w:tc>
      </w:tr>
      <w:tr>
        <w:trPr>
          <w:trHeight w:val="209"/>
        </w:trPr>
        <w:tc>
          <w:tcPr>
            <w:tcW w:w="60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36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7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(0.68 )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(2.06 )</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(0.68 )</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(2.06 )</w:t>
            </w:r>
          </w:p>
        </w:tc>
      </w:tr>
      <w:tr>
        <w:trPr>
          <w:trHeight w:val="216"/>
        </w:trPr>
        <w:tc>
          <w:tcPr>
            <w:tcW w:w="60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208.2</w:t>
            </w: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CFF"/>
          </w:tcPr>
          <w:p>
            <w:pPr>
              <w:spacing w:after="0"/>
              <w:rPr>
                <w:sz w:val="18"/>
                <w:szCs w:val="18"/>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-2555875</wp:posOffset>
            </wp:positionV>
            <wp:extent cx="7145020" cy="303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303530"/>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-1840865</wp:posOffset>
            </wp:positionV>
            <wp:extent cx="7683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-1840865</wp:posOffset>
            </wp:positionV>
            <wp:extent cx="6858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-1840865</wp:posOffset>
            </wp:positionV>
            <wp:extent cx="6858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-1840865</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-1558290</wp:posOffset>
            </wp:positionV>
            <wp:extent cx="7683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-1558290</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-1558290</wp:posOffset>
            </wp:positionV>
            <wp:extent cx="68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-1558290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4220"/>
        <w:spacing w:after="0"/>
        <w:rPr>
          <w:sz w:val="20"/>
          <w:szCs w:val="20"/>
          <w:color w:val="auto"/>
        </w:rPr>
      </w:pPr>
      <w:r>
        <w:rPr>
          <w:rFonts w:ascii="Arial" w:cs="Arial" w:eastAsia="Arial" w:hAnsi="Arial"/>
          <w:sz w:val="18"/>
          <w:szCs w:val="18"/>
          <w:b w:val="1"/>
          <w:bCs w:val="1"/>
          <w:color w:val="auto"/>
        </w:rPr>
        <w:t>CommScope Holding Company, Inc.</w:t>
      </w:r>
    </w:p>
    <w:p>
      <w:pPr>
        <w:spacing w:after="0" w:line="24"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(Unaudited –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2640" w:type="dxa"/>
            <w:vAlign w:val="bottom"/>
            <w:gridSpan w:val="6"/>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24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6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Comprehensive loss:</w:t>
            </w:r>
          </w:p>
        </w:tc>
        <w:tc>
          <w:tcPr>
            <w:tcW w:w="7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(124.2 )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(178.0 )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(375.6 )</w:t>
            </w:r>
          </w:p>
        </w:tc>
      </w:tr>
      <w:tr>
        <w:trPr>
          <w:trHeight w:val="216"/>
        </w:trPr>
        <w:tc>
          <w:tcPr>
            <w:tcW w:w="6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Other comprehensive loss, net of tax:</w:t>
            </w:r>
          </w:p>
        </w:tc>
        <w:tc>
          <w:tcPr>
            <w:tcW w:w="7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6120" w:type="dxa"/>
            <w:vAlign w:val="bottom"/>
          </w:tcPr>
          <w:p>
            <w:pPr>
              <w:ind w:left="200"/>
              <w:spacing w:after="0"/>
              <w:rPr>
                <w:sz w:val="20"/>
                <w:szCs w:val="20"/>
                <w:color w:val="auto"/>
              </w:rPr>
            </w:pPr>
            <w:r>
              <w:rPr>
                <w:rFonts w:ascii="Arial" w:cs="Arial" w:eastAsia="Arial" w:hAnsi="Arial"/>
                <w:sz w:val="18"/>
                <w:szCs w:val="18"/>
                <w:color w:val="auto"/>
              </w:rPr>
              <w:t>Foreign currency translation loss</w:t>
            </w:r>
          </w:p>
        </w:tc>
        <w:tc>
          <w:tcPr>
            <w:tcW w:w="700" w:type="dxa"/>
            <w:vAlign w:val="bottom"/>
          </w:tcPr>
          <w:p>
            <w:pPr>
              <w:spacing w:after="0"/>
              <w:rPr>
                <w:sz w:val="18"/>
                <w:szCs w:val="18"/>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w w:val="84"/>
              </w:rPr>
              <w:t>(94.5 )</w:t>
            </w:r>
          </w:p>
        </w:tc>
        <w:tc>
          <w:tcPr>
            <w:tcW w:w="36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(40.9 )</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(204.9 )</w:t>
            </w:r>
          </w:p>
        </w:tc>
        <w:tc>
          <w:tcPr>
            <w:tcW w:w="3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(70.7 )</w:t>
            </w:r>
          </w:p>
        </w:tc>
      </w:tr>
      <w:tr>
        <w:trPr>
          <w:trHeight w:val="216"/>
        </w:trPr>
        <w:tc>
          <w:tcPr>
            <w:tcW w:w="61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Pension and other postretirement benefit activity</w:t>
            </w:r>
          </w:p>
        </w:tc>
        <w:tc>
          <w:tcPr>
            <w:tcW w:w="70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(1.3 )</w:t>
            </w:r>
          </w:p>
        </w:tc>
        <w:tc>
          <w:tcPr>
            <w:tcW w:w="38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CFF"/>
          </w:tcPr>
          <w:p>
            <w:pPr>
              <w:spacing w:after="0"/>
              <w:rPr>
                <w:sz w:val="18"/>
                <w:szCs w:val="18"/>
                <w:color w:val="auto"/>
              </w:rPr>
            </w:pPr>
          </w:p>
        </w:tc>
      </w:tr>
      <w:tr>
        <w:trPr>
          <w:trHeight w:val="216"/>
        </w:trPr>
        <w:tc>
          <w:tcPr>
            <w:tcW w:w="6120" w:type="dxa"/>
            <w:vAlign w:val="bottom"/>
          </w:tcPr>
          <w:p>
            <w:pPr>
              <w:ind w:left="200"/>
              <w:spacing w:after="0"/>
              <w:rPr>
                <w:sz w:val="20"/>
                <w:szCs w:val="20"/>
                <w:color w:val="auto"/>
              </w:rPr>
            </w:pPr>
            <w:r>
              <w:rPr>
                <w:rFonts w:ascii="Arial" w:cs="Arial" w:eastAsia="Arial" w:hAnsi="Arial"/>
                <w:sz w:val="18"/>
                <w:szCs w:val="18"/>
                <w:color w:val="auto"/>
              </w:rPr>
              <w:t>Gain on hedging instruments</w:t>
            </w: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09"/>
        </w:trPr>
        <w:tc>
          <w:tcPr>
            <w:tcW w:w="61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Total other comprehensive loss, net of tax</w:t>
            </w:r>
          </w:p>
        </w:tc>
        <w:tc>
          <w:tcPr>
            <w:tcW w:w="700" w:type="dxa"/>
            <w:vAlign w:val="bottom"/>
            <w:tcBorders>
              <w:bottom w:val="single" w:sz="8" w:color="auto"/>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7"/>
              </w:rPr>
              <w:t>(90.8</w:t>
            </w:r>
          </w:p>
        </w:tc>
        <w:tc>
          <w:tcPr>
            <w:tcW w:w="260" w:type="dxa"/>
            <w:vAlign w:val="bottom"/>
            <w:tcBorders>
              <w:bottom w:val="single" w:sz="8" w:color="CCECFF"/>
            </w:tcBorders>
            <w:shd w:val="clear" w:color="auto" w:fill="CCECFF"/>
          </w:tcPr>
          <w:p>
            <w:pPr>
              <w:jc w:val="right"/>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90"/>
              <w:spacing w:after="0"/>
              <w:rPr>
                <w:sz w:val="20"/>
                <w:szCs w:val="20"/>
                <w:color w:val="auto"/>
              </w:rPr>
            </w:pPr>
            <w:r>
              <w:rPr>
                <w:rFonts w:ascii="Arial" w:cs="Arial" w:eastAsia="Arial" w:hAnsi="Arial"/>
                <w:sz w:val="18"/>
                <w:szCs w:val="18"/>
                <w:color w:val="auto"/>
                <w:w w:val="84"/>
              </w:rPr>
              <w:t>(67.9 )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(160.5 )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(368.7 )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(437.2 )</w:t>
            </w:r>
          </w:p>
        </w:tc>
      </w:tr>
      <w:tr>
        <w:trPr>
          <w:trHeight w:val="20"/>
        </w:trPr>
        <w:tc>
          <w:tcPr>
            <w:tcW w:w="6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-170815</wp:posOffset>
            </wp:positionV>
            <wp:extent cx="76835" cy="307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-170815</wp:posOffset>
            </wp:positionV>
            <wp:extent cx="68580" cy="307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-170815</wp:posOffset>
            </wp:positionV>
            <wp:extent cx="68580" cy="307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445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445135"/>
                    </a:xfrm>
                    <a:prstGeom prst="rect">
                      <a:avLst/>
                    </a:prstGeom>
                    <a:noFill/>
                  </pic:spPr>
                </pic:pic>
              </a:graphicData>
            </a:graphic>
          </wp:anchor>
        </w:drawing>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4220"/>
        <w:spacing w:after="0"/>
        <w:rPr>
          <w:sz w:val="20"/>
          <w:szCs w:val="20"/>
          <w:color w:val="auto"/>
        </w:rPr>
      </w:pPr>
      <w:r>
        <w:rPr>
          <w:rFonts w:ascii="Arial" w:cs="Arial" w:eastAsia="Arial" w:hAnsi="Arial"/>
          <w:sz w:val="18"/>
          <w:szCs w:val="18"/>
          <w:b w:val="1"/>
          <w:bCs w:val="1"/>
          <w:color w:val="auto"/>
        </w:rPr>
        <w:t>CommScope Holding Company, Inc.</w:t>
      </w:r>
    </w:p>
    <w:p>
      <w:pPr>
        <w:spacing w:after="0" w:line="24"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millions, except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right"/>
              <w:ind w:right="79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820" w:type="dxa"/>
            <w:vAlign w:val="bottom"/>
            <w:gridSpan w:val="2"/>
            <w:vMerge w:val="restart"/>
          </w:tcPr>
          <w:p>
            <w:pPr>
              <w:jc w:val="right"/>
              <w:ind w:right="42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w w:val="99"/>
              </w:rPr>
              <w:t>September 30, 2022</w:t>
            </w:r>
          </w:p>
        </w:tc>
        <w:tc>
          <w:tcPr>
            <w:tcW w:w="2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40" w:type="dxa"/>
            <w:vAlign w:val="bottom"/>
            <w:shd w:val="clear" w:color="auto" w:fill="CCECFF"/>
          </w:tcPr>
          <w:p>
            <w:pPr>
              <w:ind w:left="32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CFF"/>
          </w:tcPr>
          <w:p>
            <w:pPr>
              <w:spacing w:after="0"/>
              <w:rPr>
                <w:sz w:val="18"/>
                <w:szCs w:val="18"/>
                <w:color w:val="auto"/>
              </w:rPr>
            </w:pPr>
          </w:p>
        </w:tc>
        <w:tc>
          <w:tcPr>
            <w:tcW w:w="168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172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040" w:type="dxa"/>
            <w:vAlign w:val="bottom"/>
            <w:shd w:val="clear" w:color="auto" w:fill="CCECFF"/>
          </w:tcPr>
          <w:p>
            <w:pPr>
              <w:ind w:left="20"/>
              <w:spacing w:after="0" w:line="175" w:lineRule="exact"/>
              <w:rPr>
                <w:sz w:val="20"/>
                <w:szCs w:val="20"/>
                <w:color w:val="auto"/>
              </w:rPr>
            </w:pPr>
            <w:r>
              <w:rPr>
                <w:rFonts w:ascii="Arial" w:cs="Arial" w:eastAsia="Arial" w:hAnsi="Arial"/>
                <w:sz w:val="18"/>
                <w:szCs w:val="18"/>
                <w:color w:val="auto"/>
              </w:rPr>
              <w:t>Accounts receivable, net of allowance for doubtful accounts</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$60.9 and $63.7, respectively</w:t>
            </w:r>
          </w:p>
        </w:tc>
        <w:tc>
          <w:tcPr>
            <w:tcW w:w="24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1,675.9</w:t>
            </w:r>
          </w:p>
        </w:tc>
        <w:tc>
          <w:tcPr>
            <w:tcW w:w="2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1,532.6</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1,543.9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252.1</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3,617.4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040" w:type="dxa"/>
            <w:vAlign w:val="bottom"/>
            <w:shd w:val="clear" w:color="auto" w:fill="CCECFF"/>
          </w:tcPr>
          <w:p>
            <w:pPr>
              <w:ind w:left="20"/>
              <w:spacing w:after="0" w:line="175" w:lineRule="exact"/>
              <w:rPr>
                <w:sz w:val="20"/>
                <w:szCs w:val="20"/>
                <w:color w:val="auto"/>
              </w:rPr>
            </w:pPr>
            <w:r>
              <w:rPr>
                <w:rFonts w:ascii="Arial" w:cs="Arial" w:eastAsia="Arial" w:hAnsi="Arial"/>
                <w:sz w:val="18"/>
                <w:szCs w:val="18"/>
                <w:color w:val="auto"/>
              </w:rPr>
              <w:t>Property, plant and equipment, net of accumulated depreciation</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CFF"/>
          </w:tcPr>
          <w:p>
            <w:pPr>
              <w:ind w:left="160"/>
              <w:spacing w:after="0"/>
              <w:rPr>
                <w:sz w:val="20"/>
                <w:szCs w:val="20"/>
                <w:color w:val="auto"/>
              </w:rPr>
            </w:pPr>
            <w:r>
              <w:rPr>
                <w:rFonts w:ascii="Arial" w:cs="Arial" w:eastAsia="Arial" w:hAnsi="Arial"/>
                <w:sz w:val="18"/>
                <w:szCs w:val="18"/>
                <w:color w:val="auto"/>
              </w:rPr>
              <w:t>of $835.0 and $787.4, respectively</w:t>
            </w:r>
          </w:p>
        </w:tc>
        <w:tc>
          <w:tcPr>
            <w:tcW w:w="24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611.8</w:t>
            </w:r>
          </w:p>
        </w:tc>
        <w:tc>
          <w:tcPr>
            <w:tcW w:w="2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656.3</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5,149.6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2,594.5</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3,027.3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12,757.8</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13,259.5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040" w:type="dxa"/>
            <w:vAlign w:val="bottom"/>
          </w:tcPr>
          <w:p>
            <w:pPr>
              <w:ind w:left="2100"/>
              <w:spacing w:after="0" w:line="196" w:lineRule="exact"/>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999.2</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2,021.2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9,576.8</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9,478.5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431.6</w:t>
            </w:r>
          </w:p>
        </w:tc>
        <w:tc>
          <w:tcPr>
            <w:tcW w:w="2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12,210.4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Series A convertible preferred stock, $0.01 par value</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1,085.4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CFF"/>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7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40" w:type="dxa"/>
            <w:vAlign w:val="bottom"/>
          </w:tcPr>
          <w:p>
            <w:pPr>
              <w:ind w:left="120"/>
              <w:spacing w:after="0" w:line="201" w:lineRule="exact"/>
              <w:rPr>
                <w:sz w:val="20"/>
                <w:szCs w:val="20"/>
                <w:color w:val="auto"/>
              </w:rPr>
            </w:pPr>
            <w:r>
              <w:rPr>
                <w:rFonts w:ascii="Arial" w:cs="Arial" w:eastAsia="Arial" w:hAnsi="Arial"/>
                <w:sz w:val="18"/>
                <w:szCs w:val="18"/>
                <w:color w:val="auto"/>
              </w:rPr>
              <w:t>Preferred stock, $0.01 par value: Authorized shares: 200,000,000;</w:t>
            </w: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40" w:type="dxa"/>
            <w:vAlign w:val="bottom"/>
          </w:tcPr>
          <w:p>
            <w:pPr>
              <w:ind w:left="200"/>
              <w:spacing w:after="0" w:line="189" w:lineRule="exact"/>
              <w:rPr>
                <w:sz w:val="20"/>
                <w:szCs w:val="20"/>
                <w:color w:val="auto"/>
              </w:rPr>
            </w:pPr>
            <w:r>
              <w:rPr>
                <w:rFonts w:ascii="Arial" w:cs="Arial" w:eastAsia="Arial" w:hAnsi="Arial"/>
                <w:sz w:val="18"/>
                <w:szCs w:val="18"/>
                <w:color w:val="auto"/>
              </w:rPr>
              <w:t>Issued and outstanding shares: 1,085,386 and 1,056,144, respectively,</w:t>
            </w: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00"/>
              <w:spacing w:after="0"/>
              <w:rPr>
                <w:sz w:val="20"/>
                <w:szCs w:val="20"/>
                <w:color w:val="auto"/>
              </w:rPr>
            </w:pPr>
            <w:r>
              <w:rPr>
                <w:rFonts w:ascii="Arial" w:cs="Arial" w:eastAsia="Arial" w:hAnsi="Arial"/>
                <w:sz w:val="18"/>
                <w:szCs w:val="18"/>
                <w:color w:val="auto"/>
              </w:rPr>
              <w:t>Series A convertible preferred stock</w:t>
            </w:r>
          </w:p>
        </w:tc>
        <w:tc>
          <w:tcPr>
            <w:tcW w:w="240" w:type="dxa"/>
            <w:vAlign w:val="bottom"/>
          </w:tcPr>
          <w:p>
            <w:pPr>
              <w:spacing w:after="0"/>
              <w:rPr>
                <w:sz w:val="20"/>
                <w:szCs w:val="20"/>
                <w:color w:val="auto"/>
              </w:rPr>
            </w:pPr>
          </w:p>
        </w:tc>
        <w:tc>
          <w:tcPr>
            <w:tcW w:w="19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7040" w:type="dxa"/>
            <w:vAlign w:val="bottom"/>
            <w:shd w:val="clear" w:color="auto" w:fill="CCECFF"/>
          </w:tcPr>
          <w:p>
            <w:pPr>
              <w:ind w:left="120"/>
              <w:spacing w:after="0" w:line="175" w:lineRule="exact"/>
              <w:rPr>
                <w:sz w:val="20"/>
                <w:szCs w:val="20"/>
                <w:color w:val="auto"/>
              </w:rPr>
            </w:pPr>
            <w:r>
              <w:rPr>
                <w:rFonts w:ascii="Arial" w:cs="Arial" w:eastAsia="Arial" w:hAnsi="Arial"/>
                <w:sz w:val="18"/>
                <w:szCs w:val="18"/>
                <w:color w:val="auto"/>
              </w:rPr>
              <w:t>Common stock, $0.01 par value: Authorized shares: 1,300,000,000;</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40" w:type="dxa"/>
            <w:vAlign w:val="bottom"/>
            <w:shd w:val="clear" w:color="auto" w:fill="CCECFF"/>
          </w:tcPr>
          <w:p>
            <w:pPr>
              <w:ind w:left="240"/>
              <w:spacing w:after="0" w:line="189" w:lineRule="exact"/>
              <w:rPr>
                <w:sz w:val="20"/>
                <w:szCs w:val="20"/>
                <w:color w:val="auto"/>
              </w:rPr>
            </w:pPr>
            <w:r>
              <w:rPr>
                <w:rFonts w:ascii="Arial" w:cs="Arial" w:eastAsia="Arial" w:hAnsi="Arial"/>
                <w:sz w:val="18"/>
                <w:szCs w:val="18"/>
                <w:color w:val="auto"/>
              </w:rPr>
              <w:t>Issued and outstanding shares: 208,198,243 and 204,567,294,</w:t>
            </w:r>
          </w:p>
        </w:tc>
        <w:tc>
          <w:tcPr>
            <w:tcW w:w="240" w:type="dxa"/>
            <w:vAlign w:val="bottom"/>
            <w:shd w:val="clear" w:color="auto" w:fill="CCECFF"/>
          </w:tcPr>
          <w:p>
            <w:pPr>
              <w:spacing w:after="0"/>
              <w:rPr>
                <w:sz w:val="16"/>
                <w:szCs w:val="16"/>
                <w:color w:val="auto"/>
              </w:rPr>
            </w:pPr>
          </w:p>
        </w:tc>
        <w:tc>
          <w:tcPr>
            <w:tcW w:w="16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7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CFF"/>
          </w:tcPr>
          <w:p>
            <w:pPr>
              <w:spacing w:after="0"/>
              <w:rPr>
                <w:sz w:val="20"/>
                <w:szCs w:val="20"/>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2,542.0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2,540.7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CFF"/>
          </w:tcPr>
          <w:p>
            <w:pPr>
              <w:spacing w:after="0"/>
              <w:rPr>
                <w:sz w:val="18"/>
                <w:szCs w:val="18"/>
                <w:color w:val="auto"/>
              </w:rPr>
            </w:pPr>
          </w:p>
        </w:tc>
        <w:tc>
          <w:tcPr>
            <w:tcW w:w="190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(2,393.3 )</w:t>
            </w:r>
          </w:p>
        </w:tc>
        <w:tc>
          <w:tcPr>
            <w:tcW w:w="24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(2,215.3 )</w:t>
            </w:r>
          </w:p>
        </w:tc>
        <w:tc>
          <w:tcPr>
            <w:tcW w:w="0" w:type="dxa"/>
            <w:vAlign w:val="bottom"/>
          </w:tcPr>
          <w:p>
            <w:pPr>
              <w:spacing w:after="0"/>
              <w:rPr>
                <w:sz w:val="1"/>
                <w:szCs w:val="1"/>
                <w:color w:val="auto"/>
              </w:rPr>
            </w:pPr>
          </w:p>
        </w:tc>
      </w:tr>
      <w:tr>
        <w:trPr>
          <w:trHeight w:val="216"/>
        </w:trPr>
        <w:tc>
          <w:tcPr>
            <w:tcW w:w="704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900" w:type="dxa"/>
            <w:vAlign w:val="bottom"/>
            <w:gridSpan w:val="2"/>
          </w:tcPr>
          <w:p>
            <w:pPr>
              <w:jc w:val="right"/>
              <w:ind w:right="50"/>
              <w:spacing w:after="0"/>
              <w:rPr>
                <w:sz w:val="20"/>
                <w:szCs w:val="20"/>
                <w:color w:val="auto"/>
              </w:rPr>
            </w:pPr>
            <w:r>
              <w:rPr>
                <w:rFonts w:ascii="Arial" w:cs="Arial" w:eastAsia="Arial" w:hAnsi="Arial"/>
                <w:sz w:val="18"/>
                <w:szCs w:val="18"/>
                <w:color w:val="auto"/>
              </w:rPr>
              <w:t>(397.1 )</w:t>
            </w:r>
          </w:p>
        </w:tc>
        <w:tc>
          <w:tcPr>
            <w:tcW w:w="24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(206.4 )</w:t>
            </w:r>
          </w:p>
        </w:tc>
        <w:tc>
          <w:tcPr>
            <w:tcW w:w="0" w:type="dxa"/>
            <w:vAlign w:val="bottom"/>
          </w:tcPr>
          <w:p>
            <w:pPr>
              <w:spacing w:after="0"/>
              <w:rPr>
                <w:sz w:val="1"/>
                <w:szCs w:val="1"/>
                <w:color w:val="auto"/>
              </w:rPr>
            </w:pPr>
          </w:p>
        </w:tc>
      </w:tr>
      <w:tr>
        <w:trPr>
          <w:trHeight w:val="174"/>
        </w:trPr>
        <w:tc>
          <w:tcPr>
            <w:tcW w:w="7040" w:type="dxa"/>
            <w:vAlign w:val="bottom"/>
            <w:shd w:val="clear" w:color="auto" w:fill="CCECFF"/>
          </w:tcPr>
          <w:p>
            <w:pPr>
              <w:ind w:left="120"/>
              <w:spacing w:after="0" w:line="175" w:lineRule="exact"/>
              <w:rPr>
                <w:sz w:val="20"/>
                <w:szCs w:val="20"/>
                <w:color w:val="auto"/>
              </w:rPr>
            </w:pPr>
            <w:r>
              <w:rPr>
                <w:rFonts w:ascii="Arial" w:cs="Arial" w:eastAsia="Arial" w:hAnsi="Arial"/>
                <w:sz w:val="18"/>
                <w:szCs w:val="18"/>
                <w:color w:val="auto"/>
              </w:rPr>
              <w:t>Treasury stock, at cost: 12,645,562 shares and</w:t>
            </w:r>
          </w:p>
        </w:tc>
        <w:tc>
          <w:tcPr>
            <w:tcW w:w="24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7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10,970,585 shares, respectively</w:t>
            </w:r>
          </w:p>
        </w:tc>
        <w:tc>
          <w:tcPr>
            <w:tcW w:w="240" w:type="dxa"/>
            <w:vAlign w:val="bottom"/>
            <w:shd w:val="clear" w:color="auto" w:fill="CCECFF"/>
          </w:tcPr>
          <w:p>
            <w:pPr>
              <w:spacing w:after="0"/>
              <w:rPr>
                <w:sz w:val="20"/>
                <w:szCs w:val="20"/>
                <w:color w:val="auto"/>
              </w:rPr>
            </w:pPr>
          </w:p>
        </w:tc>
        <w:tc>
          <w:tcPr>
            <w:tcW w:w="190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(291.8 )</w:t>
            </w:r>
          </w:p>
        </w:tc>
        <w:tc>
          <w:tcPr>
            <w:tcW w:w="240" w:type="dxa"/>
            <w:vAlign w:val="bottom"/>
            <w:shd w:val="clear" w:color="auto" w:fill="CCECFF"/>
          </w:tcPr>
          <w:p>
            <w:pPr>
              <w:spacing w:after="0"/>
              <w:rPr>
                <w:sz w:val="20"/>
                <w:szCs w:val="20"/>
                <w:color w:val="auto"/>
              </w:rPr>
            </w:pPr>
          </w:p>
        </w:tc>
        <w:tc>
          <w:tcPr>
            <w:tcW w:w="182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(277.8 )</w:t>
            </w:r>
          </w:p>
        </w:tc>
        <w:tc>
          <w:tcPr>
            <w:tcW w:w="0" w:type="dxa"/>
            <w:vAlign w:val="bottom"/>
          </w:tcPr>
          <w:p>
            <w:pPr>
              <w:spacing w:after="0"/>
              <w:rPr>
                <w:sz w:val="1"/>
                <w:szCs w:val="1"/>
                <w:color w:val="auto"/>
              </w:rPr>
            </w:pPr>
          </w:p>
        </w:tc>
      </w:tr>
      <w:tr>
        <w:trPr>
          <w:trHeight w:val="209"/>
        </w:trPr>
        <w:tc>
          <w:tcPr>
            <w:tcW w:w="7040" w:type="dxa"/>
            <w:vAlign w:val="bottom"/>
          </w:tcPr>
          <w:p>
            <w:pPr>
              <w:ind w:left="20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9"/>
        </w:trPr>
        <w:tc>
          <w:tcPr>
            <w:tcW w:w="70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12,757.8</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13,259.5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-4400550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-4400550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-3441700</wp:posOffset>
            </wp:positionV>
            <wp:extent cx="144716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7165" cy="162560"/>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-2867660</wp:posOffset>
            </wp:positionV>
            <wp:extent cx="6858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-2867660</wp:posOffset>
            </wp:positionV>
            <wp:extent cx="6858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-2311400</wp:posOffset>
            </wp:positionV>
            <wp:extent cx="6858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-328930</wp:posOffset>
            </wp:positionV>
            <wp:extent cx="147256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2565" cy="17970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220"/>
        <w:spacing w:after="0"/>
        <w:rPr>
          <w:sz w:val="20"/>
          <w:szCs w:val="20"/>
          <w:color w:val="auto"/>
        </w:rPr>
      </w:pPr>
      <w:r>
        <w:rPr>
          <w:rFonts w:ascii="Arial" w:cs="Arial" w:eastAsia="Arial" w:hAnsi="Arial"/>
          <w:sz w:val="18"/>
          <w:szCs w:val="18"/>
          <w:b w:val="1"/>
          <w:bCs w:val="1"/>
          <w:color w:val="auto"/>
        </w:rPr>
        <w:t>CommScope Holding Company, Inc.</w:t>
      </w:r>
    </w:p>
    <w:p>
      <w:pPr>
        <w:spacing w:after="0" w:line="2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 -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0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8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85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(178.0 )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(375.6 )</w:t>
            </w: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Adjustments to reconcile net loss to net cash generated by (used in) operating activities: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CFF"/>
          </w:tcPr>
          <w:p>
            <w:pPr>
              <w:spacing w:after="0"/>
              <w:rPr>
                <w:sz w:val="18"/>
                <w:szCs w:val="18"/>
                <w:color w:val="auto"/>
              </w:rPr>
            </w:pPr>
          </w:p>
        </w:tc>
      </w:tr>
      <w:tr>
        <w:trPr>
          <w:trHeight w:val="216"/>
        </w:trPr>
        <w:tc>
          <w:tcPr>
            <w:tcW w:w="85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(75.2 )</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(158.1 )</w:t>
            </w:r>
          </w:p>
        </w:tc>
      </w:tr>
      <w:tr>
        <w:trPr>
          <w:trHeight w:val="216"/>
        </w:trPr>
        <w:tc>
          <w:tcPr>
            <w:tcW w:w="85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(191.0 )</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(36.2 )</w:t>
            </w:r>
          </w:p>
        </w:tc>
      </w:tr>
      <w:tr>
        <w:trPr>
          <w:trHeight w:val="216"/>
        </w:trPr>
        <w:tc>
          <w:tcPr>
            <w:tcW w:w="85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(153.3 )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(173.5 )</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(4.7 )</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(154.8 )</w:t>
            </w:r>
          </w:p>
        </w:tc>
        <w:tc>
          <w:tcPr>
            <w:tcW w:w="4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CFF"/>
          </w:tcPr>
          <w:p>
            <w:pPr>
              <w:spacing w:after="0"/>
              <w:rPr>
                <w:sz w:val="18"/>
                <w:szCs w:val="18"/>
                <w:color w:val="auto"/>
              </w:rPr>
            </w:pP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(14.1 )</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r>
      <w:tr>
        <w:trPr>
          <w:trHeight w:val="209"/>
        </w:trPr>
        <w:tc>
          <w:tcPr>
            <w:tcW w:w="85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26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CFF"/>
          </w:tcPr>
          <w:p>
            <w:pPr>
              <w:spacing w:after="0"/>
              <w:rPr>
                <w:sz w:val="18"/>
                <w:szCs w:val="18"/>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CFF"/>
          </w:tcPr>
          <w:p>
            <w:pPr>
              <w:spacing w:after="0"/>
              <w:rPr>
                <w:sz w:val="18"/>
                <w:szCs w:val="18"/>
                <w:color w:val="auto"/>
              </w:rPr>
            </w:pP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Additions to property, plant and equipment</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(78.7 )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(96.2 )</w:t>
            </w: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Payments upon settlement of net investment hedge</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(18.0 )</w:t>
            </w: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09"/>
        </w:trPr>
        <w:tc>
          <w:tcPr>
            <w:tcW w:w="85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CFF"/>
          </w:tcPr>
          <w:p>
            <w:pPr>
              <w:spacing w:after="0"/>
              <w:rPr>
                <w:sz w:val="18"/>
                <w:szCs w:val="18"/>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Long-term debt repaid</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(252.0 )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(1,274.0 )</w:t>
            </w: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Long-term debt proceeds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(9.6 )</w:t>
            </w: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Debt extinguishment costs</w:t>
            </w:r>
          </w:p>
        </w:tc>
        <w:tc>
          <w:tcPr>
            <w:tcW w:w="26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(34.4 )</w:t>
            </w: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Dividends paid on Series A convertible preferred stock</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(14.9 )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(43.0 )</w:t>
            </w: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Proceeds from the issuance of common shares under equity-based compensation plans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856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Tax withholding payments for vested equity-based compensation awards</w:t>
            </w:r>
          </w:p>
        </w:tc>
        <w:tc>
          <w:tcPr>
            <w:tcW w:w="26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(14.0 )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(24.7 )</w:t>
            </w:r>
          </w:p>
        </w:tc>
      </w:tr>
      <w:tr>
        <w:trPr>
          <w:trHeight w:val="216"/>
        </w:trPr>
        <w:tc>
          <w:tcPr>
            <w:tcW w:w="856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09"/>
        </w:trPr>
        <w:tc>
          <w:tcPr>
            <w:tcW w:w="85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54.4</w:t>
            </w:r>
          </w:p>
        </w:tc>
        <w:tc>
          <w:tcPr>
            <w:tcW w:w="2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(9.9 )</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09"/>
        </w:trPr>
        <w:tc>
          <w:tcPr>
            <w:tcW w:w="85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Change in cash and cash equivalents</w:t>
            </w:r>
          </w:p>
        </w:tc>
        <w:tc>
          <w:tcPr>
            <w:tcW w:w="260" w:type="dxa"/>
            <w:vAlign w:val="bottom"/>
            <w:tcBorders>
              <w:top w:val="single" w:sz="8" w:color="auto"/>
            </w:tcBorders>
            <w:shd w:val="clear" w:color="auto" w:fill="CCECFF"/>
          </w:tcPr>
          <w:p>
            <w:pPr>
              <w:spacing w:after="0"/>
              <w:rPr>
                <w:sz w:val="18"/>
                <w:szCs w:val="18"/>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(214.8</w:t>
            </w:r>
          </w:p>
        </w:tc>
        <w:tc>
          <w:tcPr>
            <w:tcW w:w="2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CFF"/>
          </w:tcPr>
          <w:p>
            <w:pPr>
              <w:spacing w:after="0"/>
              <w:rPr>
                <w:sz w:val="18"/>
                <w:szCs w:val="18"/>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560" w:type="dxa"/>
            <w:vAlign w:val="bottom"/>
          </w:tcPr>
          <w:p>
            <w:pPr>
              <w:ind w:left="20"/>
              <w:spacing w:after="0"/>
              <w:rPr>
                <w:sz w:val="20"/>
                <w:szCs w:val="20"/>
                <w:color w:val="auto"/>
              </w:rPr>
            </w:pPr>
            <w:r>
              <w:rPr>
                <w:rFonts w:ascii="Arial" w:cs="Arial" w:eastAsia="Arial" w:hAnsi="Arial"/>
                <w:sz w:val="18"/>
                <w:szCs w:val="18"/>
                <w:color w:val="auto"/>
              </w:rPr>
              <w:t>Cash and cash equivalent at beginning of period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w:t>
            </w:r>
          </w:p>
        </w:tc>
        <w:tc>
          <w:tcPr>
            <w:tcW w:w="100" w:type="dxa"/>
            <w:vAlign w:val="bottom"/>
          </w:tcPr>
          <w:p>
            <w:pPr>
              <w:spacing w:after="0"/>
              <w:rPr>
                <w:sz w:val="18"/>
                <w:szCs w:val="18"/>
                <w:color w:val="auto"/>
              </w:rPr>
            </w:pPr>
          </w:p>
        </w:tc>
      </w:tr>
      <w:tr>
        <w:trPr>
          <w:trHeight w:val="249"/>
        </w:trPr>
        <w:tc>
          <w:tcPr>
            <w:tcW w:w="85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-24765</wp:posOffset>
            </wp:positionV>
            <wp:extent cx="958850" cy="299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58850" cy="299720"/>
                    </a:xfrm>
                    <a:prstGeom prst="rect">
                      <a:avLst/>
                    </a:prstGeom>
                    <a:noFill/>
                  </pic:spPr>
                </pic:pic>
              </a:graphicData>
            </a:graphic>
          </wp:anchor>
        </w:drawing>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CommScope Holding Company,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 In millions,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7"/>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760" w:type="dxa"/>
            <w:vAlign w:val="bottom"/>
            <w:gridSpan w:val="6"/>
          </w:tcPr>
          <w:p>
            <w:pPr>
              <w:jc w:val="right"/>
              <w:ind w:right="8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Number of common shares outstanding:</w:t>
            </w:r>
          </w:p>
        </w:tc>
        <w:tc>
          <w:tcPr>
            <w:tcW w:w="26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208,162,986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204,154,201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204,567,294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200,095,232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20" w:type="dxa"/>
            <w:vAlign w:val="bottom"/>
            <w:shd w:val="clear" w:color="auto" w:fill="CCECFF"/>
          </w:tcPr>
          <w:p>
            <w:pPr>
              <w:ind w:left="120"/>
              <w:spacing w:after="0" w:line="175" w:lineRule="exact"/>
              <w:rPr>
                <w:sz w:val="20"/>
                <w:szCs w:val="20"/>
                <w:color w:val="auto"/>
              </w:rPr>
            </w:pPr>
            <w:r>
              <w:rPr>
                <w:rFonts w:ascii="Arial" w:cs="Arial" w:eastAsia="Arial" w:hAnsi="Arial"/>
                <w:sz w:val="18"/>
                <w:szCs w:val="18"/>
                <w:color w:val="auto"/>
              </w:rPr>
              <w:t>Issuance of shares under equity-based</w:t>
            </w:r>
          </w:p>
        </w:tc>
        <w:tc>
          <w:tcPr>
            <w:tcW w:w="26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shd w:val="clear" w:color="auto" w:fill="CCECFF"/>
          </w:tcPr>
          <w:p>
            <w:pPr>
              <w:spacing w:after="0"/>
              <w:rPr>
                <w:sz w:val="20"/>
                <w:szCs w:val="20"/>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46,467</w:t>
            </w:r>
          </w:p>
        </w:tc>
        <w:tc>
          <w:tcPr>
            <w:tcW w:w="1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97,750</w:t>
            </w: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240" w:type="dxa"/>
            <w:vAlign w:val="bottom"/>
            <w:shd w:val="clear" w:color="auto" w:fill="CCECFF"/>
          </w:tcPr>
          <w:p>
            <w:pPr>
              <w:spacing w:after="0"/>
              <w:rPr>
                <w:sz w:val="20"/>
                <w:szCs w:val="20"/>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5,305,926</w:t>
            </w:r>
          </w:p>
        </w:tc>
        <w:tc>
          <w:tcPr>
            <w:tcW w:w="10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5,768,251</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120" w:type="dxa"/>
            <w:vAlign w:val="bottom"/>
          </w:tcPr>
          <w:p>
            <w:pPr>
              <w:ind w:left="120"/>
              <w:spacing w:after="0" w:line="175" w:lineRule="exact"/>
              <w:rPr>
                <w:sz w:val="20"/>
                <w:szCs w:val="20"/>
                <w:color w:val="auto"/>
              </w:rPr>
            </w:pPr>
            <w:r>
              <w:rPr>
                <w:rFonts w:ascii="Arial" w:cs="Arial" w:eastAsia="Arial" w:hAnsi="Arial"/>
                <w:sz w:val="18"/>
                <w:szCs w:val="18"/>
                <w:color w:val="auto"/>
              </w:rPr>
              <w:t>Shares surrendered under equity-based</w:t>
            </w:r>
          </w:p>
        </w:tc>
        <w:tc>
          <w:tcPr>
            <w:tcW w:w="26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(11,210 )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(4,359 )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(1,674,977 )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(1,615,891 )</w:t>
            </w:r>
          </w:p>
        </w:tc>
        <w:tc>
          <w:tcPr>
            <w:tcW w:w="0" w:type="dxa"/>
            <w:vAlign w:val="bottom"/>
          </w:tcPr>
          <w:p>
            <w:pPr>
              <w:spacing w:after="0"/>
              <w:rPr>
                <w:sz w:val="1"/>
                <w:szCs w:val="1"/>
                <w:color w:val="auto"/>
              </w:rPr>
            </w:pPr>
          </w:p>
        </w:tc>
      </w:tr>
      <w:tr>
        <w:trPr>
          <w:trHeight w:val="217"/>
        </w:trPr>
        <w:tc>
          <w:tcPr>
            <w:tcW w:w="51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208,198,243</w:t>
            </w:r>
          </w:p>
        </w:tc>
        <w:tc>
          <w:tcPr>
            <w:tcW w:w="12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top w:val="single" w:sz="8" w:color="auto"/>
              <w:bottom w:val="single" w:sz="8" w:color="auto"/>
            </w:tcBorders>
            <w:shd w:val="clear" w:color="auto" w:fill="CCECFF"/>
          </w:tcPr>
          <w:p>
            <w:pPr>
              <w:spacing w:after="0"/>
              <w:rPr>
                <w:sz w:val="21"/>
                <w:szCs w:val="21"/>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204,247,592</w:t>
            </w:r>
          </w:p>
        </w:tc>
        <w:tc>
          <w:tcPr>
            <w:tcW w:w="1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208,198,243</w:t>
            </w:r>
          </w:p>
        </w:tc>
        <w:tc>
          <w:tcPr>
            <w:tcW w:w="1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top w:val="single" w:sz="8" w:color="auto"/>
              <w:bottom w:val="single" w:sz="8" w:color="auto"/>
            </w:tcBorders>
            <w:shd w:val="clear" w:color="auto" w:fill="CCECFF"/>
          </w:tcPr>
          <w:p>
            <w:pPr>
              <w:spacing w:after="0"/>
              <w:rPr>
                <w:sz w:val="21"/>
                <w:szCs w:val="21"/>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204,247,592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20" w:type="dxa"/>
            <w:vAlign w:val="bottom"/>
          </w:tcPr>
          <w:p>
            <w:pPr>
              <w:ind w:left="120"/>
              <w:spacing w:after="0" w:line="175" w:lineRule="exact"/>
              <w:rPr>
                <w:sz w:val="20"/>
                <w:szCs w:val="20"/>
                <w:color w:val="auto"/>
              </w:rPr>
            </w:pPr>
            <w:r>
              <w:rPr>
                <w:rFonts w:ascii="Arial" w:cs="Arial" w:eastAsia="Arial" w:hAnsi="Arial"/>
                <w:sz w:val="18"/>
                <w:szCs w:val="18"/>
                <w:color w:val="auto"/>
              </w:rPr>
              <w:t>Issuance of shares under equity-based</w:t>
            </w:r>
          </w:p>
        </w:tc>
        <w:tc>
          <w:tcPr>
            <w:tcW w:w="260" w:type="dxa"/>
            <w:vAlign w:val="bottom"/>
          </w:tcPr>
          <w:p>
            <w:pPr>
              <w:spacing w:after="0"/>
              <w:rPr>
                <w:sz w:val="15"/>
                <w:szCs w:val="15"/>
                <w:color w:val="auto"/>
              </w:rPr>
            </w:pPr>
          </w:p>
        </w:tc>
        <w:tc>
          <w:tcPr>
            <w:tcW w:w="132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2,540.4</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2,528.1</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2,540.7</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2,512.9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120" w:type="dxa"/>
            <w:vAlign w:val="bottom"/>
          </w:tcPr>
          <w:p>
            <w:pPr>
              <w:ind w:left="120"/>
              <w:spacing w:after="0" w:line="175" w:lineRule="exact"/>
              <w:rPr>
                <w:sz w:val="20"/>
                <w:szCs w:val="20"/>
                <w:color w:val="auto"/>
              </w:rPr>
            </w:pPr>
            <w:r>
              <w:rPr>
                <w:rFonts w:ascii="Arial" w:cs="Arial" w:eastAsia="Arial" w:hAnsi="Arial"/>
                <w:sz w:val="18"/>
                <w:szCs w:val="18"/>
                <w:color w:val="auto"/>
              </w:rPr>
              <w:t>Issuance of shares under equity-based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Equity-based compensation</w:t>
            </w:r>
          </w:p>
        </w:tc>
        <w:tc>
          <w:tcPr>
            <w:tcW w:w="26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Dividends on Series A convertible preferred stock</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(43.0 )</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2,542.0</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2,536.3</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2,542.0</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2,536.3</w:t>
            </w:r>
          </w:p>
        </w:tc>
        <w:tc>
          <w:tcPr>
            <w:tcW w:w="100" w:type="dxa"/>
            <w:vAlign w:val="bottom"/>
            <w:tcBorders>
              <w:top w:val="single" w:sz="8" w:color="CCECFF"/>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(2,416.2 )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(2,004.1 )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(2,215.3 )</w:t>
            </w: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(1,752.7 )</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(124.2 )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(178.0 )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(375.6 )</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CFF"/>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(2,393.3</w:t>
            </w:r>
          </w:p>
        </w:tc>
        <w:tc>
          <w:tcPr>
            <w:tcW w:w="12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(2,128.3</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(2,393.3</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CFF"/>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(2,128.3</w:t>
            </w:r>
          </w:p>
        </w:tc>
        <w:tc>
          <w:tcPr>
            <w:tcW w:w="10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(306.3 )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(181.2 )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(206.4 )</w:t>
            </w: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(155.9 )</w:t>
            </w:r>
          </w:p>
        </w:tc>
        <w:tc>
          <w:tcPr>
            <w:tcW w:w="0" w:type="dxa"/>
            <w:vAlign w:val="bottom"/>
          </w:tcPr>
          <w:p>
            <w:pPr>
              <w:spacing w:after="0"/>
              <w:rPr>
                <w:sz w:val="1"/>
                <w:szCs w:val="1"/>
                <w:color w:val="auto"/>
              </w:rPr>
            </w:pP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Other comprehensive loss, net of tax</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(190.7 )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(61.6 )</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Treasury stock, at cost: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(291.7 )</w:t>
            </w:r>
          </w:p>
        </w:tc>
        <w:tc>
          <w:tcPr>
            <w:tcW w:w="1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(276.0 )</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(277.8 )</w:t>
            </w:r>
          </w:p>
        </w:tc>
        <w:tc>
          <w:tcPr>
            <w:tcW w:w="120" w:type="dxa"/>
            <w:vAlign w:val="bottom"/>
            <w:shd w:val="clear" w:color="auto" w:fill="CCECFF"/>
          </w:tcPr>
          <w:p>
            <w:pPr>
              <w:spacing w:after="0"/>
              <w:rPr>
                <w:sz w:val="18"/>
                <w:szCs w:val="18"/>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(251.4 )</w:t>
            </w:r>
          </w:p>
        </w:tc>
        <w:tc>
          <w:tcPr>
            <w:tcW w:w="0" w:type="dxa"/>
            <w:vAlign w:val="bottom"/>
          </w:tcPr>
          <w:p>
            <w:pPr>
              <w:spacing w:after="0"/>
              <w:rPr>
                <w:sz w:val="1"/>
                <w:szCs w:val="1"/>
                <w:color w:val="auto"/>
              </w:rPr>
            </w:pPr>
          </w:p>
        </w:tc>
      </w:tr>
      <w:tr>
        <w:trPr>
          <w:trHeight w:val="174"/>
        </w:trPr>
        <w:tc>
          <w:tcPr>
            <w:tcW w:w="5120" w:type="dxa"/>
            <w:vAlign w:val="bottom"/>
          </w:tcPr>
          <w:p>
            <w:pPr>
              <w:ind w:left="120"/>
              <w:spacing w:after="0" w:line="175" w:lineRule="exact"/>
              <w:rPr>
                <w:sz w:val="20"/>
                <w:szCs w:val="20"/>
                <w:color w:val="auto"/>
              </w:rPr>
            </w:pPr>
            <w:r>
              <w:rPr>
                <w:rFonts w:ascii="Arial" w:cs="Arial" w:eastAsia="Arial" w:hAnsi="Arial"/>
                <w:sz w:val="18"/>
                <w:szCs w:val="18"/>
                <w:color w:val="auto"/>
              </w:rPr>
              <w:t>Net shares surrendered under equity-based</w:t>
            </w:r>
          </w:p>
        </w:tc>
        <w:tc>
          <w:tcPr>
            <w:tcW w:w="26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(14.0 )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17"/>
        </w:trPr>
        <w:tc>
          <w:tcPr>
            <w:tcW w:w="5120" w:type="dxa"/>
            <w:vAlign w:val="bottom"/>
          </w:tcPr>
          <w:p>
            <w:pPr>
              <w:ind w:left="240"/>
              <w:spacing w:after="0"/>
              <w:rPr>
                <w:sz w:val="20"/>
                <w:szCs w:val="20"/>
                <w:color w:val="auto"/>
              </w:rPr>
            </w:pPr>
            <w:r>
              <w:rPr>
                <w:rFonts w:ascii="Arial" w:cs="Arial" w:eastAsia="Arial" w:hAnsi="Arial"/>
                <w:sz w:val="18"/>
                <w:szCs w:val="18"/>
                <w:color w:val="auto"/>
              </w:rPr>
              <w:t>compensation plans</w:t>
            </w:r>
          </w:p>
        </w:tc>
        <w:tc>
          <w:tcPr>
            <w:tcW w:w="2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5120" w:type="dxa"/>
            <w:vAlign w:val="bottom"/>
          </w:tcPr>
          <w:p>
            <w:pPr>
              <w:ind w:left="20"/>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(538.0 )</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(83.4 )</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(538.0 )</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(83.4 )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-3629660</wp:posOffset>
            </wp:positionV>
            <wp:extent cx="303085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0855" cy="16256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-2936240</wp:posOffset>
            </wp:positionV>
            <wp:extent cx="7683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-2936240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-2936240</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-2135505</wp:posOffset>
            </wp:positionV>
            <wp:extent cx="7145020" cy="303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5020" cy="303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-1570355</wp:posOffset>
            </wp:positionV>
            <wp:extent cx="7145020" cy="303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5020" cy="303530"/>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-847090</wp:posOffset>
            </wp:positionV>
            <wp:extent cx="7683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-847090</wp:posOffset>
            </wp:positionV>
            <wp:extent cx="6858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-847090</wp:posOffset>
            </wp:positionV>
            <wp:extent cx="6858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-170815</wp:posOffset>
            </wp:positionV>
            <wp:extent cx="76835" cy="307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30797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-170815</wp:posOffset>
            </wp:positionV>
            <wp:extent cx="68580" cy="307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-170815</wp:posOffset>
            </wp:positionV>
            <wp:extent cx="68580" cy="307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445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445135"/>
                    </a:xfrm>
                    <a:prstGeom prst="rect">
                      <a:avLst/>
                    </a:prstGeom>
                    <a:noFill/>
                  </pic:spPr>
                </pic:pic>
              </a:graphicData>
            </a:graphic>
          </wp:anchor>
        </w:drawing>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179" w:lineRule="exact"/>
        <w:rPr>
          <w:sz w:val="20"/>
          <w:szCs w:val="20"/>
          <w:color w:val="auto"/>
        </w:rPr>
      </w:pPr>
    </w:p>
    <w:p>
      <w:pPr>
        <w:ind w:right="7000" w:firstLine="8"/>
        <w:spacing w:after="0" w:line="369"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 Background</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CommScope Holding Company, Inc., along with its direct and indirect subsidiaries (CommScope or the Company), is a global provider of infrastructure solutions for communication and entertainment networks. The Company’s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The Company’s solutions are complemented by a broad array of services including technical support, systems design and integration. CommScope is a leader in digital video and IP television distribution systems, broadband access infrastructure platforms and equipment that delivers data and voice networks to homes. CommScope’s global leadership position is built upon innovative technology, broad solution offerings, high-quality and cost-effective customer solutions, and global manufacturing and distribution scale.</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As of January 1, 2022, the Company reorganized its internal management and reporting structure to align its portfolio of products and solutions more closely with the markets it serves and bring better performance clarity with its competitive peer set. The reorganization changed the information regularly reviewed by the Company’s chief operating decision maker for purposes of allocating resources and assessing performance. As a result, the Company is now reporting financial performance based on the following operating segments: Connectivity and Cable Solutions (CCS), Outdoor Wireless Networks (OWN), Networking, Intelligent Cellular and Security Solutions (NICS), Access Network Solutions (ANS) and Home Networks (Home). These five segments represent non-aggregated reportable operating segments. Prior to this change, the Company operated and reported four operating segments: Broadband Networks, Outdoor Wireless Networks, Venue and Campus Networks and Home Networks. All prior period amounts in these condensed consolidated financial statements have been recast to reflect these operating segment changes.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The accompanying condensed consolidated financial statements are unaudited and reflect all adjustments of a normal, recurring nature that are, in the opinion of management, necessary for a fair presentation of the interim period financial statements. The results of operations for these interim periods are not necessarily indicative of the results of operations to be expected for any future period or the full fiscal year. Certain prior year amounts have been reclassified to conform to the current year presentation.</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generally accepted accounting principles (GAAP) in the United States (U.S.) for interim financial information and are presented in accordance with the applicable requirements of Regulation S-X. Accordingly, these financial statements do not include all of the information and notes required by U.S. GAAP for complete financial statements. These unaudited condensed consolidated financial statements should be read in conjunction with the Company’s audited consolidated financial statements in the Company’s Annual Report on Form 10-K for the year ended December 31, 2021 (the 2021 Annual Report). The significant accounting policies followed by the Company are set forth in Note 2 within the Company’s audited consolidated financial statements included in the 2021 Annual Report. There were no material changes in the Company’s significant accounting policies during the three or nine months ended September 30,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 and Related Party Transactions</w:t>
      </w:r>
    </w:p>
    <w:p>
      <w:pPr>
        <w:spacing w:after="0" w:line="10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sales to Comcast Corporation and affiliates (Comcast) accounted for 11% of the Company's total net sales during the three months ended September 30, 2022. No direct customer accounted for 10% or more of the Company’s total net sales during the nine months ended September 30, 2022 or the three or nine months ended September 30, 2021. As of September 30, 2022, no direct customer accounted for 10% or more of the Company’s accounts receivable.</w:t>
      </w:r>
    </w:p>
    <w:p>
      <w:pPr>
        <w:spacing w:after="0" w:line="14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The Company relies on sole suppliers or a limited group of suppliers for certain key components, subassemblies and modules and a limited group of contract manufacturers to manufacture a significant portion of its products. Any disruption or termination of these arrangements could have a material adverse impact on the Company’s results of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As of September 30, 2022, funds affiliated with Carlyle Partners VII S1 Holdings, L.P. (Carlyle) owned 100% of the Series A convertible preferred stock (the Convertible Preferred Stock), which was sold to Carlyle to fund a portion of the acquisition of ARRIS International plc (ARRIS) in 2019. See Note 9 for further discussion of the Convertible Preferred Stock. Other than transactions related to the Convertible Preferred Stock, there were no material related party transactions for the three or nine months ended September 30,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recognizes a liability for the estimated claims that may be paid under its customer warranty agreements to remedy potential deficiencies of quality or performance of the Company’s products. These product warranties extend over various periods depending upon the product subject to the warranty and the terms of the individual agreements. The Company records a provision for estimated future warranty claims as cost of sales based upon the historical relationship of warranty claims to sales and specifically identified warranty issues. The Company bases its estimates on assumptions that are believed to be reasonable under the circumstances and revises its estimates, as appropriate, when events or changes in circumstances indicate that revisions may be necessary. Such revisions may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in the product warranty accrual, included in accrued and other liabilities and other noncurrent liabilities on the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19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5260" w:type="dxa"/>
            <w:vAlign w:val="bottom"/>
            <w:shd w:val="clear" w:color="auto" w:fill="CCECFF"/>
          </w:tcPr>
          <w:p>
            <w:pPr>
              <w:spacing w:after="0"/>
              <w:rPr>
                <w:sz w:val="20"/>
                <w:szCs w:val="20"/>
                <w:color w:val="auto"/>
              </w:rPr>
            </w:pPr>
            <w:r>
              <w:rPr>
                <w:rFonts w:ascii="Arial" w:cs="Arial" w:eastAsia="Arial" w:hAnsi="Arial"/>
                <w:sz w:val="18"/>
                <w:szCs w:val="18"/>
                <w:color w:val="auto"/>
              </w:rPr>
              <w:t>Product warranty accrual, beginning of period</w:t>
            </w:r>
          </w:p>
        </w:tc>
        <w:tc>
          <w:tcPr>
            <w:tcW w:w="640" w:type="dxa"/>
            <w:vAlign w:val="bottom"/>
            <w:shd w:val="clear" w:color="auto" w:fill="CCECFF"/>
          </w:tcPr>
          <w:p>
            <w:pPr>
              <w:jc w:val="right"/>
              <w:ind w:right="45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5"/>
              </w:rPr>
              <w:t>60.9</w:t>
            </w:r>
          </w:p>
        </w:tc>
        <w:tc>
          <w:tcPr>
            <w:tcW w:w="300" w:type="dxa"/>
            <w:vAlign w:val="bottom"/>
            <w:shd w:val="clear" w:color="auto" w:fill="CCECFF"/>
          </w:tcPr>
          <w:p>
            <w:pPr>
              <w:spacing w:after="0"/>
              <w:rPr>
                <w:sz w:val="18"/>
                <w:szCs w:val="18"/>
                <w:color w:val="auto"/>
              </w:rPr>
            </w:pPr>
          </w:p>
        </w:tc>
        <w:tc>
          <w:tcPr>
            <w:tcW w:w="660" w:type="dxa"/>
            <w:vAlign w:val="bottom"/>
            <w:shd w:val="clear" w:color="auto" w:fill="CCECFF"/>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5"/>
              </w:rPr>
              <w:t>69.5</w:t>
            </w:r>
          </w:p>
        </w:tc>
        <w:tc>
          <w:tcPr>
            <w:tcW w:w="26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C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for warranty claims</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r>
      <w:tr>
        <w:trPr>
          <w:trHeight w:val="216"/>
        </w:trPr>
        <w:tc>
          <w:tcPr>
            <w:tcW w:w="5260" w:type="dxa"/>
            <w:vAlign w:val="bottom"/>
            <w:shd w:val="clear" w:color="auto" w:fill="CCECFF"/>
          </w:tcPr>
          <w:p>
            <w:pPr>
              <w:spacing w:after="0"/>
              <w:rPr>
                <w:sz w:val="20"/>
                <w:szCs w:val="20"/>
                <w:color w:val="auto"/>
              </w:rPr>
            </w:pPr>
            <w:r>
              <w:rPr>
                <w:rFonts w:ascii="Arial" w:cs="Arial" w:eastAsia="Arial" w:hAnsi="Arial"/>
                <w:sz w:val="18"/>
                <w:szCs w:val="18"/>
                <w:color w:val="auto"/>
              </w:rPr>
              <w:t>Warranty claims paid</w:t>
            </w:r>
          </w:p>
        </w:tc>
        <w:tc>
          <w:tcPr>
            <w:tcW w:w="640" w:type="dxa"/>
            <w:vAlign w:val="bottom"/>
            <w:shd w:val="clear" w:color="auto" w:fill="CCECFF"/>
          </w:tcPr>
          <w:p>
            <w:pPr>
              <w:spacing w:after="0"/>
              <w:rPr>
                <w:sz w:val="18"/>
                <w:szCs w:val="18"/>
                <w:color w:val="auto"/>
              </w:rPr>
            </w:pPr>
          </w:p>
        </w:tc>
        <w:tc>
          <w:tcPr>
            <w:tcW w:w="6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w w:val="95"/>
              </w:rPr>
              <w:t>(9.3 )</w:t>
            </w:r>
          </w:p>
        </w:tc>
        <w:tc>
          <w:tcPr>
            <w:tcW w:w="66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0"/>
              </w:rPr>
              <w:t>(9.2 )</w:t>
            </w:r>
          </w:p>
        </w:tc>
        <w:tc>
          <w:tcPr>
            <w:tcW w:w="22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(27.0 )</w:t>
            </w:r>
          </w:p>
        </w:tc>
        <w:tc>
          <w:tcPr>
            <w:tcW w:w="34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(22.4 )</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Foreign exchange</w:t>
            </w:r>
          </w:p>
        </w:tc>
        <w:tc>
          <w:tcPr>
            <w:tcW w:w="6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(0.4 )</w:t>
            </w:r>
          </w:p>
        </w:tc>
        <w:tc>
          <w:tcPr>
            <w:tcW w:w="6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(0.2 )</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(0.8 )</w:t>
            </w: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(0.3 )</w:t>
            </w:r>
          </w:p>
        </w:tc>
      </w:tr>
      <w:tr>
        <w:trPr>
          <w:trHeight w:val="249"/>
        </w:trPr>
        <w:tc>
          <w:tcPr>
            <w:tcW w:w="52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Product warranty accrual, end of period</w:t>
            </w:r>
          </w:p>
        </w:tc>
        <w:tc>
          <w:tcPr>
            <w:tcW w:w="640" w:type="dxa"/>
            <w:vAlign w:val="bottom"/>
            <w:tcBorders>
              <w:top w:val="single" w:sz="8" w:color="auto"/>
              <w:bottom w:val="single" w:sz="8" w:color="auto"/>
            </w:tcBorders>
            <w:shd w:val="clear" w:color="auto" w:fill="CCECFF"/>
          </w:tcPr>
          <w:p>
            <w:pPr>
              <w:jc w:val="right"/>
              <w:ind w:right="45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5"/>
              </w:rPr>
              <w:t>57.0</w:t>
            </w:r>
          </w:p>
        </w:tc>
        <w:tc>
          <w:tcPr>
            <w:tcW w:w="300" w:type="dxa"/>
            <w:vAlign w:val="bottom"/>
            <w:tcBorders>
              <w:bottom w:val="single" w:sz="8" w:color="CCECFF"/>
            </w:tcBorders>
            <w:shd w:val="clear" w:color="auto" w:fill="CCECFF"/>
          </w:tcPr>
          <w:p>
            <w:pPr>
              <w:spacing w:after="0"/>
              <w:rPr>
                <w:sz w:val="21"/>
                <w:szCs w:val="21"/>
                <w:color w:val="auto"/>
              </w:rPr>
            </w:pPr>
          </w:p>
        </w:tc>
        <w:tc>
          <w:tcPr>
            <w:tcW w:w="660" w:type="dxa"/>
            <w:vAlign w:val="bottom"/>
            <w:tcBorders>
              <w:top w:val="single" w:sz="8" w:color="auto"/>
              <w:bottom w:val="single" w:sz="8" w:color="auto"/>
            </w:tcBorders>
            <w:shd w:val="clear" w:color="auto" w:fill="CCECFF"/>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85"/>
              </w:rPr>
              <w:t>69.8</w:t>
            </w:r>
          </w:p>
        </w:tc>
        <w:tc>
          <w:tcPr>
            <w:tcW w:w="2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Guarantees</w:t>
      </w:r>
    </w:p>
    <w:p>
      <w:pPr>
        <w:spacing w:after="0" w:line="103"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Company was contingently liable under open standby letters of credit issued by its banks in favor of third parties that totaled $36.7 million as of September 30, 2022. These letters of credit primarily support performance obligations of a third-party contractor. These amounts represent an estimate of the maximum amounts the Company would expect to incur upon the contractual non-performance of the third-party contractor, but the Company also has cross-indemnities in place that may enable it to recover amounts in the event of non-performance by the third-party contractor. The Company believes the likelihood of having to perform under these guarantees is remote. There were no material amounts recorded in the condensed consolidated financial statements related to third-party guarantee agreements as of or for the three or nine months ended September 30, 2022. As of September 30, 2022, these instruments reduced the available borrowings under the senior secured asset-based revolving credit facility (the Revolving Credit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Repurchase Obligations</w:t>
      </w:r>
    </w:p>
    <w:p>
      <w:pPr>
        <w:spacing w:after="0" w:line="10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The Company periodically enters into sell / buy transactions with its contract manufacturers, where it sells certain component inventory to its contract manufacturers for use in its finished goods. The Company is obligated to subsequently repurchase this inventory either as a finished good or the original component inventory if it is not consumed after a specific period of time. The Company records an accounts receivable and a corresponding contract manufacturer inventory repurchase obligation in accrued and other liabilities related to these transactions. The Company does not record a sale upon shipment of the inventory to the contract manufacturer and the original value of the inventory remains in its inventory balance.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 is party to certain intellectual property claims and periodically receives notices asserting that its products infringe on another party’s patents and other intellectual property rights. These claims and assertions, whether against the Company directly or against its customers, could require the Company to pay damages, incur royalties, stop offering the relevant products and/or cease other activities. The Company may also be called upon to indemnify certain customers for costs related to claims made regarding certain products sold to such customers. The outcome of these claims and assertions is uncertain and a reasonable estimate of the loss from unfavorable outcomes in certain of these matters either cannot be determined or is estimated at the minimum amount of a range of estimates. The actual loss could be material and may vary significantly from the Company's estimates. From time to time, the Company may also be involved as a plaintiff involving intellectual property claims. Gain contingencies, if any, are recognized when they are realized.</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 had liabilities of $10.9 million and $24.6 million as of September 30, 2022 and December 31, 2021, respectively, recorded in accrued and other liabilities and noncurrent liabilities on the Condensed Consolidated Balance Sheets related to certain intellectual property claims and assertions. Charges related to these intellectual property claims and assertions were not material for the three or nine months ended September 30, 2022. For the three and nine months ended September 30, 2021, the Company recorded charges to cost of sales in the Condensed Consolidated Statements of Operations of $5.0 million and $46.5 million, respectively, related to these intellectual property claims and assertions. These amounts are reflected in the results of the Home, ANS and NICS segments for the prior year periods. The Company paid $11.2 million and $21.0 million during the three and nine months ended September 30, 2022, respectively, and paid $51.0 million and $55.0 million during the three and nine months ended September 30, 2021, respectively, to settle intellectual property claims and assertions.</w:t>
      </w:r>
    </w:p>
    <w:p>
      <w:pPr>
        <w:spacing w:after="0" w:line="173"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 Company is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107"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Goodwill is tested for impairment annually or at other times if events have occurred or circumstances exist that indicate the carrying value of the reporting unit may exceed its fair value. The Company assessed goodwill for impairment due to a change in the composition of certain reporting units resulting from the new segment structure as of January 1, 2022. The Company performed impairment testing immediately before and after the change and determined that no goodwill impairment existed. There were no goodwill impairments identified during the three or nine months ended September 30, 2022 or 2021.</w:t>
      </w:r>
    </w:p>
    <w:p>
      <w:pPr>
        <w:spacing w:after="0" w:line="152"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Company will perform its next annual goodwill impairment test during the fourth quarter of 2022 and will compare the fair value of the reporting units with the carrying amount, including goodwill. The fair value of the reporting units can be materially impacted by slight changes in significant assumptions or business factors. Although the Company believes the current financial projections and assumptions to be reasonable, if projections and assumptions change as part of performing the annual goodwill impairment test, particularly related to the ANS reporting unit, it is reasonably possible that the estimate of the reporting unit fair value may change resulting in an impairment charge during the fourth quarter of 2022 that could be material. As of September 30, 2022, the goodwill balance in the ANS reporting unit was $1,827.9 million.</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Property, plant and equipment, intangible assets with finite lives and right of use assets are reviewed for impairment whenever events or changes in circumstances indicate that the carrying value of the assets may not be recoverable, based on the undiscounted cash flows expected to be derived from the use and ultimate disposition of the assets. Assets identified as impaired are adjusted to estimated fair value. Equity investments without readily determinable fair values are evaluated each reporting period for impairment based on a qualitative assessment and are then measured at fair value if an impairment is determined to exist. Other than certain assets impaired as a result of restructuring actions, there were no definite-lived intangible or other long-lived asset impairments identified during the three or nine months ended September 30, 2022 or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For the three and nine months ended September 30, 2022, the Company recognized a tax benefit of $12.2 million on pretax income of $10.7 million and $4.2 million of income tax expense on a pretax loss of $173.8 million, respectively. For the three months ended September 30, 2022, the Company’s tax benefit was driven by the impacts of federal tax credits, partially offset by unfavorable impacts of U.S. anti-deferral provisions, non-creditable withholding taxes and $3.7 million of tax expense related to state law changes. For the nine months ended September 30, 2022, the Company's tax expense was driven by the unfavorable impacts of U.S. anti-deferral provisions, non-creditable withholding taxes and the tax expense related to state law changes, partially offset by the impacts of federal tax credits.</w:t>
      </w:r>
    </w:p>
    <w:p>
      <w:pPr>
        <w:spacing w:after="0" w:line="185" w:lineRule="exact"/>
        <w:rPr>
          <w:sz w:val="20"/>
          <w:szCs w:val="20"/>
          <w:color w:val="auto"/>
        </w:rPr>
      </w:pPr>
    </w:p>
    <w:p>
      <w:pPr>
        <w:ind w:right="1600"/>
        <w:spacing w:after="0" w:line="287" w:lineRule="auto"/>
        <w:rPr>
          <w:sz w:val="20"/>
          <w:szCs w:val="20"/>
          <w:color w:val="auto"/>
        </w:rPr>
      </w:pPr>
      <w:r>
        <w:rPr>
          <w:rFonts w:ascii="Arial" w:cs="Arial" w:eastAsia="Arial" w:hAnsi="Arial"/>
          <w:sz w:val="16"/>
          <w:szCs w:val="16"/>
          <w:color w:val="auto"/>
        </w:rPr>
        <w:t>For the three months ended September 30, 2021, the Company’s effective tax rate was 22.1% and the Company recognized a tax benefit of $35.2 million on a pretax loss of $159.4 million. The Company’s tax benefit was higher than the statutory rate of 21% due to favorable changes in uncertain tax positions. For the nine months ended September 30, 2021, the Company’s effective tax rate was 14.8% and the Company recognized a tax benefit of $65.3 million on a pretax loss of $440.9 million. The Company’s tax benefit was lower than the statutory rate primarily due to the impact of $37.4 million in tax expense related to a foreign tax rate change.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10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Basic earnings (loss) per share (EPS) is computed by dividing net income (loss), less any dividends and deemed dividends related to the Convertible Preferred Stock, by the weighted average number of common shares outstanding during the period. The numerator in diluted EPS is based on the basic EPS numerator adjusted to add back any dividends and deemed dividends related to the Convertible Preferred Stock, subject to antidilution requirements. The denominator used in diluted EPS is based on the basic EPS computation plus the effect of potentially dilutive common shares related to the Convertible Preferred Stock and equity-based compensation plans, subject to antidilution requirements.</w:t>
      </w:r>
    </w:p>
    <w:p>
      <w:pPr>
        <w:spacing w:after="0" w:line="16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For the three and nine months ended September 30, 2022, 7.7 million and 11.6 million shares, respectively, of outstanding equity-based compensation awards were not included in the computation of diluted EPS because the effect was antidilutive or the performance conditions were not met. Of those amounts, for the nine months ended September 30, 2022, 2.6 million shares would have been considered dilutive if the Company had not been in a net loss position. For the three and nine months ended September 30, 2021, 11.9 million and 12.3 million shares, respectively, of outstanding equity-based compensation awards were not included in the computation of diluted EPS because the effect was antidilutive or the performance conditions were not met. Of those amounts, for the three and nine months ended September 30, 2021, 5.0 million and 5.2 million shares, respectively, would have been considered dilutive if the Company had not been in a net loss position.</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For the three and nine months ended September 30, 2022, 39.5 million and 38.9 million, respectively, of as-if converted shares related to the Convertible Preferred Stock were excluded from the diluted share count because they were antidilutive. For the nine months ended September 30, 2022, these shares may have been considered dilutive if the Company had not been in a net loss position. For both the three and nine months ended September 30, 2021, 37.9 million of as-if converted shares related to the Convertible Preferred Stock were excluded from the diluted share count because they were antidilutive and may have been considered dilutive if the Company had not been in a net loss position.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basis for the EPS computations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72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72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71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120" w:type="dxa"/>
            <w:vAlign w:val="bottom"/>
            <w:shd w:val="clear" w:color="auto" w:fill="CCEC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712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(124.2 )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96"/>
              </w:rPr>
              <w:t>(178.0 )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(375.6 )</w:t>
            </w:r>
          </w:p>
        </w:tc>
      </w:tr>
      <w:tr>
        <w:trPr>
          <w:trHeight w:val="216"/>
        </w:trPr>
        <w:tc>
          <w:tcPr>
            <w:tcW w:w="7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Dividends on Series A convertible preferred stock</w:t>
            </w:r>
          </w:p>
        </w:tc>
        <w:tc>
          <w:tcPr>
            <w:tcW w:w="20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(14.9 )</w:t>
            </w:r>
          </w:p>
        </w:tc>
        <w:tc>
          <w:tcPr>
            <w:tcW w:w="20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(14.3 )</w:t>
            </w:r>
          </w:p>
        </w:tc>
        <w:tc>
          <w:tcPr>
            <w:tcW w:w="16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(44.1 )</w:t>
            </w:r>
          </w:p>
        </w:tc>
        <w:tc>
          <w:tcPr>
            <w:tcW w:w="2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(43.0 )</w:t>
            </w:r>
          </w:p>
        </w:tc>
      </w:tr>
      <w:tr>
        <w:trPr>
          <w:trHeight w:val="209"/>
        </w:trPr>
        <w:tc>
          <w:tcPr>
            <w:tcW w:w="7120" w:type="dxa"/>
            <w:vAlign w:val="bottom"/>
          </w:tcPr>
          <w:p>
            <w:pPr>
              <w:ind w:left="120"/>
              <w:spacing w:after="0"/>
              <w:rPr>
                <w:sz w:val="20"/>
                <w:szCs w:val="20"/>
                <w:color w:val="auto"/>
              </w:rPr>
            </w:pPr>
            <w:r>
              <w:rPr>
                <w:rFonts w:ascii="Arial" w:cs="Arial" w:eastAsia="Arial" w:hAnsi="Arial"/>
                <w:sz w:val="18"/>
                <w:szCs w:val="18"/>
                <w:color w:val="auto"/>
              </w:rPr>
              <w:t>Net income (loss) attributable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208.2</w:t>
            </w:r>
          </w:p>
        </w:tc>
        <w:tc>
          <w:tcPr>
            <w:tcW w:w="2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204.2</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207.1</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CFF"/>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8"/>
                <w:szCs w:val="18"/>
                <w:color w:val="auto"/>
              </w:rPr>
              <w:t>Dilutive effect of as-if converted Series A convertible preferred stock</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shd w:val="clear" w:color="auto" w:fill="CCECFF"/>
          </w:tcPr>
          <w:p>
            <w:pPr>
              <w:ind w:left="300"/>
              <w:spacing w:after="0"/>
              <w:rPr>
                <w:sz w:val="20"/>
                <w:szCs w:val="20"/>
                <w:color w:val="auto"/>
              </w:rPr>
            </w:pPr>
            <w:r>
              <w:rPr>
                <w:rFonts w:ascii="Arial" w:cs="Arial" w:eastAsia="Arial" w:hAnsi="Arial"/>
                <w:sz w:val="18"/>
                <w:szCs w:val="18"/>
                <w:color w:val="auto"/>
              </w:rPr>
              <w:t>Dilutive effect of equity-based awards</w:t>
            </w:r>
          </w:p>
        </w:tc>
        <w:tc>
          <w:tcPr>
            <w:tcW w:w="20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09"/>
        </w:trPr>
        <w:tc>
          <w:tcPr>
            <w:tcW w:w="7120" w:type="dxa"/>
            <w:vAlign w:val="bottom"/>
            <w:tcBorders>
              <w:top w:val="single" w:sz="8" w:color="CCECFF"/>
            </w:tcBorders>
          </w:tcPr>
          <w:p>
            <w:pPr>
              <w:ind w:left="120"/>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40" w:type="dxa"/>
            <w:vAlign w:val="bottom"/>
            <w:tcBorders>
              <w:top w:val="single" w:sz="8" w:color="CCEC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20" w:type="dxa"/>
            <w:vAlign w:val="bottom"/>
            <w:tcBorders>
              <w:top w:val="single" w:sz="8" w:color="CCEC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Borders>
              <w:top w:val="single" w:sz="8" w:color="CCEC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top w:val="single" w:sz="8" w:color="CCECFF"/>
            </w:tcBorders>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6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5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20" w:type="dxa"/>
            <w:vAlign w:val="bottom"/>
            <w:shd w:val="clear" w:color="auto" w:fill="CCEC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CFF"/>
          </w:tcPr>
          <w:p>
            <w:pPr>
              <w:spacing w:after="0"/>
              <w:rPr>
                <w:sz w:val="18"/>
                <w:szCs w:val="18"/>
                <w:color w:val="auto"/>
              </w:rPr>
            </w:pPr>
          </w:p>
        </w:tc>
        <w:tc>
          <w:tcPr>
            <w:tcW w:w="2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(0.68 )</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(1.07 )</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(2.06 )</w:t>
            </w:r>
          </w:p>
        </w:tc>
      </w:tr>
      <w:tr>
        <w:trPr>
          <w:trHeight w:val="230"/>
        </w:trPr>
        <w:tc>
          <w:tcPr>
            <w:tcW w:w="712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(0.68 )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(1.07 )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-727710</wp:posOffset>
            </wp:positionV>
            <wp:extent cx="7683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-727710</wp:posOffset>
            </wp:positionV>
            <wp:extent cx="685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-727710</wp:posOffset>
            </wp:positionV>
            <wp:extent cx="6858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During the Nine Months Ended September 30, 2022</w:t>
      </w:r>
    </w:p>
    <w:p>
      <w:pPr>
        <w:spacing w:after="0" w:line="10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 xml:space="preserve">On January 1, 2022, the Company adopted Accounting Standards Update (ASU) No. 2020-06, </w:t>
      </w:r>
      <w:r>
        <w:rPr>
          <w:rFonts w:ascii="Arial" w:cs="Arial" w:eastAsia="Arial" w:hAnsi="Arial"/>
          <w:sz w:val="16"/>
          <w:szCs w:val="16"/>
          <w:i w:val="1"/>
          <w:iCs w:val="1"/>
          <w:color w:val="auto"/>
        </w:rPr>
        <w:t>Debt—Debt with Conversion and Other Options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470-20) and Derivatives and Hedging—Contracts in Entity’s Own Equity (Subtopic 815-40): Accounting for Convertible Instruments and Contracts in an Entity’s Own Equity</w:t>
      </w:r>
      <w:r>
        <w:rPr>
          <w:rFonts w:ascii="Arial" w:cs="Arial" w:eastAsia="Arial" w:hAnsi="Arial"/>
          <w:sz w:val="16"/>
          <w:szCs w:val="16"/>
          <w:color w:val="auto"/>
        </w:rPr>
        <w:t>. The new guidance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and convertible preferred stock and amends the guidance for the derivatives scope exception for contracts in an entity’s own equity to reduce form-over-substance-based accounting conclusions and requires the application of the if-converted method for calculating diluted earnings per share, along with expanded disclosures. The impact of adopting this new guidance was not material to the condensed consolidated financial statements.</w:t>
      </w:r>
    </w:p>
    <w:p>
      <w:pPr>
        <w:spacing w:after="0" w:line="15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On January 1, 2022, the Company early adopted ASU No.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Contracts with Customers. </w:t>
      </w:r>
      <w:r>
        <w:rPr>
          <w:rFonts w:ascii="Arial" w:cs="Arial" w:eastAsia="Arial" w:hAnsi="Arial"/>
          <w:sz w:val="17"/>
          <w:szCs w:val="17"/>
          <w:color w:val="auto"/>
        </w:rPr>
        <w:t>The new guidance is expected to improve the accounting for acquired revenue contracts with customers in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by addressing diversity in practice and inconsistency related to recognition of an acquired contract liability, as well as payment terms which affect subsequent revenue recognized by the acquirer. According to the guidance, at the acquisition date, an acquirer should account for the related revenue contracts in accordance with Topic 606 as if the acquirer had originated the contracts. The impact of this guidance will depend on future business combinations and will be applied prospectively to business combinations occurring on or after the adoption date. The adoption of this new guidance had no impact to the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Issued but Not Adopted</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 xml:space="preserve">In September 2022, the Financial Accounting Standards Board (FASB) issued ASU No. 2022-04, </w:t>
      </w:r>
      <w:r>
        <w:rPr>
          <w:rFonts w:ascii="Arial" w:cs="Arial" w:eastAsia="Arial" w:hAnsi="Arial"/>
          <w:sz w:val="16"/>
          <w:szCs w:val="16"/>
          <w:i w:val="1"/>
          <w:iCs w:val="1"/>
          <w:color w:val="auto"/>
        </w:rPr>
        <w:t>Liabilities—Supplier Finance Programs (Subtopic 405-50): Disclosure of Supplier Finance Program Obligations</w:t>
      </w:r>
      <w:r>
        <w:rPr>
          <w:rFonts w:ascii="Arial" w:cs="Arial" w:eastAsia="Arial" w:hAnsi="Arial"/>
          <w:sz w:val="16"/>
          <w:szCs w:val="16"/>
          <w:color w:val="auto"/>
        </w:rPr>
        <w:t>. The new guidance is expected to improve the transparency of supplier finance programs by</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that a buyer in a supplier finance program disclose sufficient qualitative and quantitative information about the program to allow a user of its financial statements to understand the program's nature, activity during the period, changes from period to period and potential magnitude. ASU No. 2022-04 is effective for the Company as of January 1, 2023 on a retrospective basis including interim periods within those fiscal years, except for the requirement to disclose rollforward information which is effective for the Company as of January 1, 2024. Early adoption is permitted. The Company had no supplier finance programs in the nine months ended September 30, 2022. The Company is currently reviewing the provisions of this new pronouncement and does not expect this guidance to have a material impact on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and January 2021, the FASB issued ASU No. 2020-04, </w:t>
      </w:r>
      <w:r>
        <w:rPr>
          <w:rFonts w:ascii="Arial" w:cs="Arial" w:eastAsia="Arial" w:hAnsi="Arial"/>
          <w:sz w:val="16"/>
          <w:szCs w:val="16"/>
          <w:i w:val="1"/>
          <w:iCs w:val="1"/>
          <w:color w:val="auto"/>
        </w:rPr>
        <w:t>Reference Rate Reform (Topic 848): Facilitation of the Effects of Reference Rate</w:t>
      </w:r>
    </w:p>
    <w:p>
      <w:pPr>
        <w:spacing w:after="0" w:line="46"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Reform on Financial Reporting </w:t>
      </w:r>
      <w:r>
        <w:rPr>
          <w:rFonts w:ascii="Arial" w:cs="Arial" w:eastAsia="Arial" w:hAnsi="Arial"/>
          <w:sz w:val="16"/>
          <w:szCs w:val="16"/>
          <w:color w:val="auto"/>
        </w:rPr>
        <w:t>and ASU No. 2021-01</w:t>
      </w:r>
      <w:r>
        <w:rPr>
          <w:rFonts w:ascii="Arial" w:cs="Arial" w:eastAsia="Arial" w:hAnsi="Arial"/>
          <w:sz w:val="16"/>
          <w:szCs w:val="16"/>
          <w:i w:val="1"/>
          <w:iCs w:val="1"/>
          <w:color w:val="auto"/>
        </w:rPr>
        <w:t>, Reference Rate Reform (Topic 848): Scope</w:t>
      </w:r>
      <w:r>
        <w:rPr>
          <w:rFonts w:ascii="Arial" w:cs="Arial" w:eastAsia="Arial" w:hAnsi="Arial"/>
          <w:sz w:val="16"/>
          <w:szCs w:val="16"/>
          <w:color w:val="auto"/>
        </w:rPr>
        <w:t>, respectively. Together, the ASUs provide temporary</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guidance to ease the potential burden in accounting for reference rate reform. The new guidance provides optional expedients and exceptions for applying generally accepted accounting principles to transactions affected by reference rate reform if certain criteria are met. These transactions include contract modifications, hedging relationships, and sale or transfer of debt securities classified as held-to-maturity. The Company can elect to apply the amendments through December 31, 2022. As of September 30, 2022, the Company had not utilized any of the expedients discussed within this ASU; however, management continues to assess the Company's agreements to determine whether the expedients would be utilized through the remainder of 2022.</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goodwill by reportable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w w:val="98"/>
              </w:rPr>
              <w:t>December 31, 2021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Activity</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w w:val="94"/>
              </w:rPr>
              <w:t>September 30, 2022</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57"/>
              <w:spacing w:after="0"/>
              <w:rPr>
                <w:sz w:val="20"/>
                <w:szCs w:val="20"/>
                <w:color w:val="auto"/>
              </w:rPr>
            </w:pPr>
            <w:r>
              <w:rPr>
                <w:rFonts w:ascii="Arial" w:cs="Arial" w:eastAsia="Arial" w:hAnsi="Arial"/>
                <w:sz w:val="13"/>
                <w:szCs w:val="13"/>
                <w:b w:val="1"/>
                <w:bCs w:val="1"/>
                <w:color w:val="auto"/>
              </w:rPr>
              <w:t>Goodwill</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right"/>
              <w:ind w:right="435"/>
              <w:spacing w:after="0" w:line="129" w:lineRule="exact"/>
              <w:rPr>
                <w:sz w:val="20"/>
                <w:szCs w:val="20"/>
                <w:color w:val="auto"/>
              </w:rPr>
            </w:pPr>
            <w:r>
              <w:rPr>
                <w:rFonts w:ascii="Arial" w:cs="Arial" w:eastAsia="Arial" w:hAnsi="Arial"/>
                <w:sz w:val="13"/>
                <w:szCs w:val="13"/>
                <w:b w:val="1"/>
                <w:bCs w:val="1"/>
                <w:color w:val="auto"/>
              </w:rPr>
              <w:t>Accumulated</w:t>
            </w: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97"/>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60"/>
              <w:spacing w:after="0" w:line="129" w:lineRule="exact"/>
              <w:rPr>
                <w:sz w:val="20"/>
                <w:szCs w:val="20"/>
                <w:color w:val="auto"/>
              </w:rPr>
            </w:pPr>
            <w:r>
              <w:rPr>
                <w:rFonts w:ascii="Arial" w:cs="Arial" w:eastAsia="Arial" w:hAnsi="Arial"/>
                <w:sz w:val="13"/>
                <w:szCs w:val="13"/>
                <w:b w:val="1"/>
                <w:bCs w:val="1"/>
                <w:color w:val="auto"/>
                <w:w w:val="92"/>
              </w:rPr>
              <w:t>Foreign Exchange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257"/>
              <w:spacing w:after="0"/>
              <w:rPr>
                <w:sz w:val="20"/>
                <w:szCs w:val="20"/>
                <w:color w:val="auto"/>
              </w:rPr>
            </w:pPr>
            <w:r>
              <w:rPr>
                <w:rFonts w:ascii="Arial" w:cs="Arial" w:eastAsia="Arial" w:hAnsi="Arial"/>
                <w:sz w:val="13"/>
                <w:szCs w:val="13"/>
                <w:b w:val="1"/>
                <w:bCs w:val="1"/>
                <w:color w:val="auto"/>
              </w:rPr>
              <w:t>Goodwill</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395"/>
              <w:spacing w:after="0" w:line="129" w:lineRule="exact"/>
              <w:rPr>
                <w:sz w:val="20"/>
                <w:szCs w:val="20"/>
                <w:color w:val="auto"/>
              </w:rPr>
            </w:pPr>
            <w:r>
              <w:rPr>
                <w:rFonts w:ascii="Arial" w:cs="Arial" w:eastAsia="Arial" w:hAnsi="Arial"/>
                <w:sz w:val="13"/>
                <w:szCs w:val="13"/>
                <w:b w:val="1"/>
                <w:bCs w:val="1"/>
                <w:color w:val="auto"/>
                <w:w w:val="97"/>
              </w:rPr>
              <w:t>Accumulated</w:t>
            </w: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right"/>
              <w:ind w:right="255"/>
              <w:spacing w:after="0"/>
              <w:rPr>
                <w:sz w:val="20"/>
                <w:szCs w:val="20"/>
                <w:color w:val="auto"/>
              </w:rPr>
            </w:pPr>
            <w:r>
              <w:rPr>
                <w:rFonts w:ascii="Arial" w:cs="Arial" w:eastAsia="Arial" w:hAnsi="Arial"/>
                <w:sz w:val="13"/>
                <w:szCs w:val="13"/>
                <w:b w:val="1"/>
                <w:bCs w:val="1"/>
                <w:color w:val="auto"/>
                <w:w w:val="99"/>
              </w:rPr>
              <w:t>Impairment Losses</w:t>
            </w: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7"/>
              </w:rPr>
              <w:t>and Other</w:t>
            </w: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jc w:val="right"/>
              <w:ind w:right="195"/>
              <w:spacing w:after="0"/>
              <w:rPr>
                <w:sz w:val="20"/>
                <w:szCs w:val="20"/>
                <w:color w:val="auto"/>
              </w:rPr>
            </w:pPr>
            <w:r>
              <w:rPr>
                <w:rFonts w:ascii="Arial" w:cs="Arial" w:eastAsia="Arial" w:hAnsi="Arial"/>
                <w:sz w:val="13"/>
                <w:szCs w:val="13"/>
                <w:b w:val="1"/>
                <w:bCs w:val="1"/>
                <w:color w:val="auto"/>
                <w:w w:val="97"/>
              </w:rPr>
              <w:t>Impairment Losses</w:t>
            </w: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CFF"/>
          </w:tcPr>
          <w:p>
            <w:pPr>
              <w:ind w:left="20"/>
              <w:spacing w:after="0"/>
              <w:rPr>
                <w:sz w:val="20"/>
                <w:szCs w:val="20"/>
                <w:color w:val="auto"/>
              </w:rPr>
            </w:pPr>
            <w:r>
              <w:rPr>
                <w:rFonts w:ascii="Arial" w:cs="Arial" w:eastAsia="Arial" w:hAnsi="Arial"/>
                <w:sz w:val="17"/>
                <w:szCs w:val="17"/>
                <w:color w:val="auto"/>
              </w:rPr>
              <w:t>CCS</w:t>
            </w:r>
          </w:p>
        </w:tc>
        <w:tc>
          <w:tcPr>
            <w:tcW w:w="22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2,307.3</w:t>
            </w:r>
          </w:p>
        </w:tc>
        <w:tc>
          <w:tcPr>
            <w:tcW w:w="240" w:type="dxa"/>
            <w:vAlign w:val="bottom"/>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jc w:val="right"/>
              <w:ind w:right="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(51.5</w:t>
            </w:r>
          </w:p>
        </w:tc>
        <w:tc>
          <w:tcPr>
            <w:tcW w:w="240" w:type="dxa"/>
            <w:vAlign w:val="bottom"/>
            <w:shd w:val="clear" w:color="auto" w:fill="CCECFF"/>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C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2,255.8</w:t>
            </w:r>
          </w:p>
        </w:tc>
        <w:tc>
          <w:tcPr>
            <w:tcW w:w="220" w:type="dxa"/>
            <w:vAlign w:val="bottom"/>
            <w:shd w:val="clear" w:color="auto" w:fill="CCECFF"/>
          </w:tcPr>
          <w:p>
            <w:pPr>
              <w:spacing w:after="0"/>
              <w:rPr>
                <w:sz w:val="17"/>
                <w:szCs w:val="17"/>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jc w:val="right"/>
              <w:ind w:right="1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2,271.9</w:t>
            </w:r>
          </w:p>
        </w:tc>
        <w:tc>
          <w:tcPr>
            <w:tcW w:w="220" w:type="dxa"/>
            <w:vAlign w:val="bottom"/>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(51.5</w:t>
            </w:r>
          </w:p>
        </w:tc>
        <w:tc>
          <w:tcPr>
            <w:tcW w:w="220" w:type="dxa"/>
            <w:vAlign w:val="bottom"/>
            <w:shd w:val="clear" w:color="auto" w:fill="CCEC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C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2,220.4</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Pr>
          <w:p>
            <w:pPr>
              <w:ind w:left="20"/>
              <w:spacing w:after="0"/>
              <w:rPr>
                <w:sz w:val="20"/>
                <w:szCs w:val="20"/>
                <w:color w:val="auto"/>
              </w:rPr>
            </w:pPr>
            <w:r>
              <w:rPr>
                <w:rFonts w:ascii="Arial" w:cs="Arial" w:eastAsia="Arial" w:hAnsi="Arial"/>
                <w:sz w:val="17"/>
                <w:szCs w:val="17"/>
                <w:color w:val="auto"/>
              </w:rPr>
              <w:t>OWN</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75"/>
              <w:spacing w:after="0"/>
              <w:rPr>
                <w:sz w:val="20"/>
                <w:szCs w:val="20"/>
                <w:color w:val="auto"/>
              </w:rPr>
            </w:pPr>
            <w:r>
              <w:rPr>
                <w:rFonts w:ascii="Arial" w:cs="Arial" w:eastAsia="Arial" w:hAnsi="Arial"/>
                <w:sz w:val="17"/>
                <w:szCs w:val="17"/>
                <w:color w:val="auto"/>
              </w:rPr>
              <w:t>(159.5 )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507.1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5"/>
              <w:spacing w:after="0"/>
              <w:rPr>
                <w:sz w:val="20"/>
                <w:szCs w:val="20"/>
                <w:color w:val="auto"/>
              </w:rPr>
            </w:pPr>
            <w:r>
              <w:rPr>
                <w:rFonts w:ascii="Arial" w:cs="Arial" w:eastAsia="Arial" w:hAnsi="Arial"/>
                <w:sz w:val="17"/>
                <w:szCs w:val="17"/>
                <w:color w:val="auto"/>
              </w:rPr>
              <w:t>(159.5 )</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shd w:val="clear" w:color="auto" w:fill="CCECFF"/>
          </w:tcPr>
          <w:p>
            <w:pPr>
              <w:ind w:left="20"/>
              <w:spacing w:after="0"/>
              <w:rPr>
                <w:sz w:val="20"/>
                <w:szCs w:val="20"/>
                <w:color w:val="auto"/>
              </w:rPr>
            </w:pPr>
            <w:r>
              <w:rPr>
                <w:rFonts w:ascii="Arial" w:cs="Arial" w:eastAsia="Arial" w:hAnsi="Arial"/>
                <w:sz w:val="17"/>
                <w:szCs w:val="17"/>
                <w:color w:val="auto"/>
              </w:rPr>
              <w:t>NICS</w:t>
            </w:r>
          </w:p>
        </w:tc>
        <w:tc>
          <w:tcPr>
            <w:tcW w:w="22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653.0</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360" w:type="dxa"/>
            <w:vAlign w:val="bottom"/>
            <w:gridSpan w:val="2"/>
            <w:shd w:val="clear" w:color="auto" w:fill="CCECFF"/>
          </w:tcPr>
          <w:p>
            <w:pPr>
              <w:jc w:val="right"/>
              <w:ind w:right="75"/>
              <w:spacing w:after="0"/>
              <w:rPr>
                <w:sz w:val="20"/>
                <w:szCs w:val="20"/>
                <w:color w:val="auto"/>
              </w:rPr>
            </w:pPr>
            <w:r>
              <w:rPr>
                <w:rFonts w:ascii="Arial" w:cs="Arial" w:eastAsia="Arial" w:hAnsi="Arial"/>
                <w:sz w:val="17"/>
                <w:szCs w:val="17"/>
                <w:color w:val="auto"/>
              </w:rPr>
              <w:t>(41.2 )</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611.8</w:t>
            </w: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80" w:type="dxa"/>
            <w:vAlign w:val="bottom"/>
            <w:gridSpan w:val="2"/>
            <w:shd w:val="clear" w:color="auto" w:fill="CCECFF"/>
          </w:tcPr>
          <w:p>
            <w:pPr>
              <w:jc w:val="right"/>
              <w:spacing w:after="0"/>
              <w:rPr>
                <w:sz w:val="20"/>
                <w:szCs w:val="20"/>
                <w:color w:val="auto"/>
              </w:rPr>
            </w:pPr>
            <w:r>
              <w:rPr>
                <w:rFonts w:ascii="Arial" w:cs="Arial" w:eastAsia="Arial" w:hAnsi="Arial"/>
                <w:sz w:val="17"/>
                <w:szCs w:val="17"/>
                <w:color w:val="auto"/>
              </w:rPr>
              <w:t>(9.6 )</w:t>
            </w:r>
          </w:p>
        </w:tc>
        <w:tc>
          <w:tcPr>
            <w:tcW w:w="12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643.4</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55"/>
              <w:spacing w:after="0"/>
              <w:rPr>
                <w:sz w:val="20"/>
                <w:szCs w:val="20"/>
                <w:color w:val="auto"/>
              </w:rPr>
            </w:pPr>
            <w:r>
              <w:rPr>
                <w:rFonts w:ascii="Arial" w:cs="Arial" w:eastAsia="Arial" w:hAnsi="Arial"/>
                <w:sz w:val="17"/>
                <w:szCs w:val="17"/>
                <w:color w:val="auto"/>
              </w:rPr>
              <w:t>(41.2 )</w:t>
            </w:r>
          </w:p>
        </w:tc>
        <w:tc>
          <w:tcPr>
            <w:tcW w:w="30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602.2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tcPr>
          <w:p>
            <w:pPr>
              <w:ind w:left="20"/>
              <w:spacing w:after="0"/>
              <w:rPr>
                <w:sz w:val="20"/>
                <w:szCs w:val="20"/>
                <w:color w:val="auto"/>
              </w:rPr>
            </w:pPr>
            <w:r>
              <w:rPr>
                <w:rFonts w:ascii="Arial" w:cs="Arial" w:eastAsia="Arial" w:hAnsi="Arial"/>
                <w:sz w:val="17"/>
                <w:szCs w:val="17"/>
                <w:color w:val="auto"/>
              </w:rPr>
              <w:t>ANS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1,999.1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75"/>
              <w:spacing w:after="0"/>
              <w:rPr>
                <w:sz w:val="20"/>
                <w:szCs w:val="20"/>
                <w:color w:val="auto"/>
              </w:rPr>
            </w:pPr>
            <w:r>
              <w:rPr>
                <w:rFonts w:ascii="Arial" w:cs="Arial" w:eastAsia="Arial" w:hAnsi="Arial"/>
                <w:sz w:val="17"/>
                <w:szCs w:val="17"/>
                <w:color w:val="auto"/>
              </w:rPr>
              <w:t>(142.1 )</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1,857.0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(29.1 )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1,970.0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55"/>
              <w:spacing w:after="0"/>
              <w:rPr>
                <w:sz w:val="20"/>
                <w:szCs w:val="20"/>
                <w:color w:val="auto"/>
              </w:rPr>
            </w:pPr>
            <w:r>
              <w:rPr>
                <w:rFonts w:ascii="Arial" w:cs="Arial" w:eastAsia="Arial" w:hAnsi="Arial"/>
                <w:sz w:val="17"/>
                <w:szCs w:val="17"/>
                <w:color w:val="auto"/>
              </w:rPr>
              <w:t>(142.1 )</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1,827.9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shd w:val="clear" w:color="auto" w:fill="CCECFF"/>
          </w:tcPr>
          <w:p>
            <w:pPr>
              <w:ind w:left="20"/>
              <w:spacing w:after="0"/>
              <w:rPr>
                <w:sz w:val="20"/>
                <w:szCs w:val="20"/>
                <w:color w:val="auto"/>
              </w:rPr>
            </w:pPr>
            <w:r>
              <w:rPr>
                <w:rFonts w:ascii="Arial" w:cs="Arial" w:eastAsia="Arial" w:hAnsi="Arial"/>
                <w:sz w:val="17"/>
                <w:szCs w:val="17"/>
                <w:color w:val="auto"/>
              </w:rPr>
              <w:t>Home</w:t>
            </w:r>
          </w:p>
        </w:tc>
        <w:tc>
          <w:tcPr>
            <w:tcW w:w="22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413.2</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360" w:type="dxa"/>
            <w:vAlign w:val="bottom"/>
            <w:gridSpan w:val="2"/>
            <w:shd w:val="clear" w:color="auto" w:fill="CCECFF"/>
          </w:tcPr>
          <w:p>
            <w:pPr>
              <w:jc w:val="right"/>
              <w:ind w:right="75"/>
              <w:spacing w:after="0"/>
              <w:rPr>
                <w:sz w:val="20"/>
                <w:szCs w:val="20"/>
                <w:color w:val="auto"/>
              </w:rPr>
            </w:pPr>
            <w:r>
              <w:rPr>
                <w:rFonts w:ascii="Arial" w:cs="Arial" w:eastAsia="Arial" w:hAnsi="Arial"/>
                <w:sz w:val="17"/>
                <w:szCs w:val="17"/>
                <w:color w:val="auto"/>
              </w:rPr>
              <w:t>(413.2 )</w:t>
            </w:r>
          </w:p>
        </w:tc>
        <w:tc>
          <w:tcPr>
            <w:tcW w:w="30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400" w:type="dxa"/>
            <w:vAlign w:val="bottom"/>
            <w:gridSpan w:val="3"/>
            <w:shd w:val="clear" w:color="auto" w:fill="CCEC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413.2</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55"/>
              <w:spacing w:after="0"/>
              <w:rPr>
                <w:sz w:val="20"/>
                <w:szCs w:val="20"/>
                <w:color w:val="auto"/>
              </w:rPr>
            </w:pPr>
            <w:r>
              <w:rPr>
                <w:rFonts w:ascii="Arial" w:cs="Arial" w:eastAsia="Arial" w:hAnsi="Arial"/>
                <w:sz w:val="17"/>
                <w:szCs w:val="17"/>
                <w:color w:val="auto"/>
              </w:rPr>
              <w:t>(413.2 )</w:t>
            </w:r>
          </w:p>
        </w:tc>
        <w:tc>
          <w:tcPr>
            <w:tcW w:w="300" w:type="dxa"/>
            <w:vAlign w:val="bottom"/>
            <w:shd w:val="clear" w:color="auto" w:fill="CCECFF"/>
          </w:tcPr>
          <w:p>
            <w:pPr>
              <w:spacing w:after="0"/>
              <w:rPr>
                <w:sz w:val="17"/>
                <w:szCs w:val="17"/>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6,039.2</w:t>
            </w:r>
          </w:p>
        </w:tc>
        <w:tc>
          <w:tcPr>
            <w:tcW w:w="2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75"/>
              <w:spacing w:after="0"/>
              <w:rPr>
                <w:sz w:val="20"/>
                <w:szCs w:val="20"/>
                <w:color w:val="auto"/>
              </w:rPr>
            </w:pPr>
            <w:r>
              <w:rPr>
                <w:rFonts w:ascii="Arial" w:cs="Arial" w:eastAsia="Arial" w:hAnsi="Arial"/>
                <w:sz w:val="17"/>
                <w:szCs w:val="17"/>
                <w:color w:val="auto"/>
              </w:rPr>
              <w:t>(807.5 )</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5,231.7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(82.1 )</w:t>
            </w:r>
          </w:p>
        </w:tc>
        <w:tc>
          <w:tcPr>
            <w:tcW w:w="12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5,957.1</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5"/>
              <w:spacing w:after="0"/>
              <w:rPr>
                <w:sz w:val="20"/>
                <w:szCs w:val="20"/>
                <w:color w:val="auto"/>
              </w:rPr>
            </w:pPr>
            <w:r>
              <w:rPr>
                <w:rFonts w:ascii="Arial" w:cs="Arial" w:eastAsia="Arial" w:hAnsi="Arial"/>
                <w:sz w:val="17"/>
                <w:szCs w:val="17"/>
                <w:color w:val="auto"/>
              </w:rPr>
              <w:t>(807.5 )</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5,149.6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-161925</wp:posOffset>
            </wp:positionV>
            <wp:extent cx="7683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-161925</wp:posOffset>
            </wp:positionV>
            <wp:extent cx="7683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3352800</wp:posOffset>
            </wp:positionH>
            <wp:positionV relativeFrom="paragraph">
              <wp:posOffset>-161925</wp:posOffset>
            </wp:positionV>
            <wp:extent cx="6858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-161925</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-161925</wp:posOffset>
            </wp:positionV>
            <wp:extent cx="685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-161925</wp:posOffset>
            </wp:positionV>
            <wp:extent cx="6858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Goodwill at December 31, 2021 reflects the reorganization of the Company's segment structure, as disclosed in Note 1, resulting in the reallocation of goodwill from the previous segments to the new segments.</w:t>
      </w:r>
    </w:p>
    <w:p>
      <w:pPr>
        <w:spacing w:after="0" w:line="260" w:lineRule="exact"/>
        <w:rPr>
          <w:sz w:val="20"/>
          <w:szCs w:val="20"/>
          <w:color w:val="auto"/>
        </w:rPr>
      </w:pPr>
    </w:p>
    <w:p>
      <w:pPr>
        <w:ind w:right="6680" w:firstLine="8"/>
        <w:spacing w:after="0" w:line="369"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Disaggregated Net Sales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the presentation of net sales by segment and geographic region.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4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September 30,</w:t>
            </w:r>
          </w:p>
        </w:tc>
        <w:tc>
          <w:tcPr>
            <w:tcW w:w="3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09"/>
        </w:trPr>
        <w:tc>
          <w:tcPr>
            <w:tcW w:w="47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Allowance for doubtful accounts, beginning of period</w:t>
            </w:r>
          </w:p>
        </w:tc>
        <w:tc>
          <w:tcPr>
            <w:tcW w:w="1460" w:type="dxa"/>
            <w:vAlign w:val="bottom"/>
            <w:shd w:val="clear" w:color="auto" w:fill="CCECFF"/>
          </w:tcPr>
          <w:p>
            <w:pPr>
              <w:spacing w:after="0"/>
              <w:rPr>
                <w:sz w:val="18"/>
                <w:szCs w:val="18"/>
                <w:color w:val="auto"/>
              </w:rPr>
            </w:pPr>
          </w:p>
        </w:tc>
        <w:tc>
          <w:tcPr>
            <w:tcW w:w="720" w:type="dxa"/>
            <w:vAlign w:val="bottom"/>
            <w:shd w:val="clear" w:color="auto" w:fill="CCECFF"/>
          </w:tcPr>
          <w:p>
            <w:pPr>
              <w:jc w:val="right"/>
              <w:ind w:right="53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1"/>
              </w:rPr>
              <w:t>61.6</w:t>
            </w: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1"/>
              </w:rPr>
              <w:t>30.8</w:t>
            </w:r>
          </w:p>
        </w:tc>
        <w:tc>
          <w:tcPr>
            <w:tcW w:w="20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63.7</w:t>
            </w:r>
          </w:p>
        </w:tc>
        <w:tc>
          <w:tcPr>
            <w:tcW w:w="22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C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4720" w:type="dxa"/>
            <w:vAlign w:val="bottom"/>
            <w:shd w:val="clear" w:color="auto" w:fill="CCECFF"/>
          </w:tcPr>
          <w:p>
            <w:pPr>
              <w:ind w:left="20"/>
              <w:spacing w:after="0"/>
              <w:rPr>
                <w:sz w:val="20"/>
                <w:szCs w:val="20"/>
                <w:color w:val="auto"/>
              </w:rPr>
            </w:pPr>
            <w:r>
              <w:rPr>
                <w:rFonts w:ascii="Arial" w:cs="Arial" w:eastAsia="Arial" w:hAnsi="Arial"/>
                <w:sz w:val="18"/>
                <w:szCs w:val="18"/>
                <w:color w:val="auto"/>
              </w:rPr>
              <w:t>Write-offs</w:t>
            </w:r>
          </w:p>
        </w:tc>
        <w:tc>
          <w:tcPr>
            <w:tcW w:w="14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w w:val="99"/>
              </w:rPr>
              <w:t>(0.8 )</w:t>
            </w:r>
          </w:p>
        </w:tc>
        <w:tc>
          <w:tcPr>
            <w:tcW w:w="720" w:type="dxa"/>
            <w:vAlign w:val="bottom"/>
            <w:shd w:val="clear" w:color="auto" w:fill="CCECFF"/>
          </w:tcPr>
          <w:p>
            <w:pPr>
              <w:spacing w:after="0"/>
              <w:rPr>
                <w:sz w:val="18"/>
                <w:szCs w:val="18"/>
                <w:color w:val="auto"/>
              </w:rPr>
            </w:pPr>
          </w:p>
        </w:tc>
        <w:tc>
          <w:tcPr>
            <w:tcW w:w="5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w w:val="95"/>
              </w:rPr>
              <w:t>(0.2 )</w:t>
            </w:r>
          </w:p>
        </w:tc>
        <w:tc>
          <w:tcPr>
            <w:tcW w:w="24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(1.9 )</w:t>
            </w:r>
          </w:p>
        </w:tc>
        <w:tc>
          <w:tcPr>
            <w:tcW w:w="36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(0.7 )</w:t>
            </w: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Foreign exchange and other</w:t>
            </w: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(1.3 )</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(0.6 )</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3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49"/>
        </w:trPr>
        <w:tc>
          <w:tcPr>
            <w:tcW w:w="47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1460" w:type="dxa"/>
            <w:vAlign w:val="bottom"/>
            <w:tcBorders>
              <w:bottom w:val="single" w:sz="8" w:color="CCECFF"/>
            </w:tcBorders>
            <w:shd w:val="clear" w:color="auto" w:fill="CCECFF"/>
          </w:tcPr>
          <w:p>
            <w:pPr>
              <w:spacing w:after="0"/>
              <w:rPr>
                <w:sz w:val="21"/>
                <w:szCs w:val="21"/>
                <w:color w:val="auto"/>
              </w:rPr>
            </w:pPr>
          </w:p>
        </w:tc>
        <w:tc>
          <w:tcPr>
            <w:tcW w:w="720" w:type="dxa"/>
            <w:vAlign w:val="bottom"/>
            <w:tcBorders>
              <w:top w:val="single" w:sz="8" w:color="auto"/>
              <w:bottom w:val="single" w:sz="8" w:color="auto"/>
            </w:tcBorders>
            <w:shd w:val="clear" w:color="auto" w:fill="CCECFF"/>
          </w:tcPr>
          <w:p>
            <w:pPr>
              <w:jc w:val="right"/>
              <w:ind w:right="53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60.9</w:t>
            </w:r>
          </w:p>
        </w:tc>
        <w:tc>
          <w:tcPr>
            <w:tcW w:w="240" w:type="dxa"/>
            <w:vAlign w:val="bottom"/>
            <w:tcBorders>
              <w:bottom w:val="single" w:sz="8" w:color="CCECFF"/>
            </w:tcBorders>
            <w:shd w:val="clear" w:color="auto" w:fill="CCECFF"/>
          </w:tcPr>
          <w:p>
            <w:pPr>
              <w:spacing w:after="0"/>
              <w:rPr>
                <w:sz w:val="21"/>
                <w:szCs w:val="21"/>
                <w:color w:val="auto"/>
              </w:rPr>
            </w:pPr>
          </w:p>
        </w:tc>
        <w:tc>
          <w:tcPr>
            <w:tcW w:w="720" w:type="dxa"/>
            <w:vAlign w:val="bottom"/>
            <w:tcBorders>
              <w:top w:val="single" w:sz="8" w:color="auto"/>
              <w:bottom w:val="single" w:sz="8" w:color="auto"/>
            </w:tcBorders>
            <w:shd w:val="clear" w:color="auto" w:fill="CCECFF"/>
          </w:tcPr>
          <w:p>
            <w:pPr>
              <w:jc w:val="right"/>
              <w:ind w:right="53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1"/>
              </w:rPr>
              <w:t>45.6</w:t>
            </w:r>
          </w:p>
        </w:tc>
        <w:tc>
          <w:tcPr>
            <w:tcW w:w="2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top w:val="single" w:sz="8" w:color="auto"/>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614"/>
        </w:trPr>
        <w:tc>
          <w:tcPr>
            <w:tcW w:w="4720" w:type="dxa"/>
            <w:vAlign w:val="bottom"/>
          </w:tcPr>
          <w:p>
            <w:pPr>
              <w:spacing w:after="0"/>
              <w:rPr>
                <w:sz w:val="24"/>
                <w:szCs w:val="24"/>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47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-761365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-744220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-761365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-744220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-761365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-744220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-761365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-744220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Contract Balances</w:t>
      </w:r>
    </w:p>
    <w:p>
      <w:pPr>
        <w:spacing w:after="0" w:line="1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provides the balance sheet location and amounts of contract assets, or unbilled accounts receivable, and contract liabilities, or deferred revenue, from contracts with customers as of September 30, 2022 and December 31, 2021.</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Contract Balance Type</w:t>
            </w:r>
          </w:p>
        </w:tc>
        <w:tc>
          <w:tcPr>
            <w:tcW w:w="220" w:type="dxa"/>
            <w:vAlign w:val="bottom"/>
          </w:tcPr>
          <w:p>
            <w:pPr>
              <w:spacing w:after="0"/>
              <w:rPr>
                <w:sz w:val="14"/>
                <w:szCs w:val="14"/>
                <w:color w:val="auto"/>
              </w:rPr>
            </w:pPr>
          </w:p>
        </w:tc>
        <w:tc>
          <w:tcPr>
            <w:tcW w:w="52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6"/>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2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shd w:val="clear" w:color="auto" w:fill="CCECFF"/>
          </w:tcPr>
          <w:p>
            <w:pPr>
              <w:ind w:left="20"/>
              <w:spacing w:after="0"/>
              <w:rPr>
                <w:sz w:val="20"/>
                <w:szCs w:val="20"/>
                <w:color w:val="auto"/>
              </w:rPr>
            </w:pPr>
            <w:r>
              <w:rPr>
                <w:rFonts w:ascii="Arial" w:cs="Arial" w:eastAsia="Arial" w:hAnsi="Arial"/>
                <w:sz w:val="18"/>
                <w:szCs w:val="18"/>
                <w:color w:val="auto"/>
              </w:rPr>
              <w:t>Unbilled accounts receivable</w:t>
            </w:r>
          </w:p>
        </w:tc>
        <w:tc>
          <w:tcPr>
            <w:tcW w:w="220" w:type="dxa"/>
            <w:vAlign w:val="bottom"/>
            <w:shd w:val="clear" w:color="auto" w:fill="CCECFF"/>
          </w:tcPr>
          <w:p>
            <w:pPr>
              <w:spacing w:after="0"/>
              <w:rPr>
                <w:sz w:val="18"/>
                <w:szCs w:val="18"/>
                <w:color w:val="auto"/>
              </w:rPr>
            </w:pPr>
          </w:p>
        </w:tc>
        <w:tc>
          <w:tcPr>
            <w:tcW w:w="52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Accounts receivable, net of allowance for doubtful accounts</w:t>
            </w: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Deferred revenue - current</w:t>
            </w:r>
          </w:p>
        </w:tc>
        <w:tc>
          <w:tcPr>
            <w:tcW w:w="220" w:type="dxa"/>
            <w:vAlign w:val="bottom"/>
            <w:shd w:val="clear" w:color="auto" w:fill="CCECFF"/>
          </w:tcPr>
          <w:p>
            <w:pPr>
              <w:spacing w:after="0"/>
              <w:rPr>
                <w:sz w:val="18"/>
                <w:szCs w:val="18"/>
                <w:color w:val="auto"/>
              </w:rPr>
            </w:pPr>
          </w:p>
        </w:tc>
        <w:tc>
          <w:tcPr>
            <w:tcW w:w="52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Accrued and other liabilities</w:t>
            </w:r>
          </w:p>
        </w:tc>
        <w:tc>
          <w:tcPr>
            <w:tcW w:w="2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220" w:type="dxa"/>
            <w:vAlign w:val="bottom"/>
          </w:tcPr>
          <w:p>
            <w:pPr>
              <w:spacing w:after="0"/>
              <w:rPr>
                <w:sz w:val="18"/>
                <w:szCs w:val="18"/>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00" w:type="dxa"/>
            <w:vAlign w:val="bottom"/>
            <w:tcBorders>
              <w:bottom w:val="single" w:sz="8" w:color="CCECFF"/>
            </w:tcBorders>
            <w:shd w:val="clear" w:color="auto" w:fill="CCECFF"/>
          </w:tcPr>
          <w:p>
            <w:pPr>
              <w:ind w:left="16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bottom w:val="single" w:sz="8" w:color="CCECFF"/>
            </w:tcBorders>
            <w:shd w:val="clear" w:color="auto" w:fill="CCECFF"/>
          </w:tcPr>
          <w:p>
            <w:pPr>
              <w:spacing w:after="0"/>
              <w:rPr>
                <w:sz w:val="21"/>
                <w:szCs w:val="21"/>
                <w:color w:val="auto"/>
              </w:rPr>
            </w:pPr>
          </w:p>
        </w:tc>
        <w:tc>
          <w:tcPr>
            <w:tcW w:w="524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170.4</w:t>
            </w:r>
          </w:p>
        </w:tc>
        <w:tc>
          <w:tcPr>
            <w:tcW w:w="20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There were no material changes to contract asset balances for the three or nine months ended September 30, 2022 as a result of changes in estimates or impairments. The change in the contract liability balance from December 31, 2021 to September 30, 2022 was primarily due to upfront support billings to be recognized over the support term. During the three and nine months ended September 30, 2022, the Company recognized revenue related to contract liabilities recorded as of December 31, 2021 of $16.7 million and $76.5 million, respectively.</w:t>
      </w:r>
    </w:p>
    <w:p>
      <w:pPr>
        <w:spacing w:after="0" w:line="289" w:lineRule="exact"/>
        <w:rPr>
          <w:sz w:val="20"/>
          <w:szCs w:val="20"/>
          <w:color w:val="auto"/>
        </w:rPr>
      </w:pPr>
    </w:p>
    <w:p>
      <w:pPr>
        <w:ind w:right="6000" w:firstLine="8"/>
        <w:spacing w:after="0" w:line="536"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STATEMENT INFORMATION Accounts Receivable</w:t>
      </w:r>
    </w:p>
    <w:tbl>
      <w:tblPr>
        <w:tblLayout w:type="fixed"/>
        <w:tblInd w:w="0" w:type="dxa"/>
        <w:tblCellMar>
          <w:top w:w="0" w:type="dxa"/>
          <w:left w:w="0" w:type="dxa"/>
          <w:bottom w:w="0" w:type="dxa"/>
          <w:right w:w="0" w:type="dxa"/>
        </w:tblCellMar>
      </w:tblPr>
      <w:tr>
        <w:trPr>
          <w:trHeight w:val="150"/>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gridSpan w:val="4"/>
          </w:tcPr>
          <w:p>
            <w:pPr>
              <w:ind w:left="180"/>
              <w:spacing w:after="0" w:line="150"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center"/>
              <w:ind w:right="480"/>
              <w:spacing w:after="0" w:line="150" w:lineRule="exact"/>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Accounts receivable - trade</w:t>
            </w:r>
          </w:p>
        </w:tc>
        <w:tc>
          <w:tcPr>
            <w:tcW w:w="1440" w:type="dxa"/>
            <w:vAlign w:val="bottom"/>
            <w:shd w:val="clear" w:color="auto" w:fill="CCECFF"/>
          </w:tcPr>
          <w:p>
            <w:pPr>
              <w:spacing w:after="0"/>
              <w:rPr>
                <w:sz w:val="18"/>
                <w:szCs w:val="18"/>
                <w:color w:val="auto"/>
              </w:rPr>
            </w:pPr>
          </w:p>
        </w:tc>
        <w:tc>
          <w:tcPr>
            <w:tcW w:w="360" w:type="dxa"/>
            <w:vAlign w:val="bottom"/>
            <w:gridSpan w:val="3"/>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1,581.0</w:t>
            </w:r>
          </w:p>
        </w:tc>
        <w:tc>
          <w:tcPr>
            <w:tcW w:w="6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Accounts receivable - other</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Allowance for doubtful accounts</w:t>
            </w:r>
          </w:p>
        </w:tc>
        <w:tc>
          <w:tcPr>
            <w:tcW w:w="144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70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(60.9 )</w:t>
            </w:r>
          </w:p>
        </w:tc>
        <w:tc>
          <w:tcPr>
            <w:tcW w:w="1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6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(63.7 )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Total accounts receivable, net</w:t>
            </w:r>
          </w:p>
        </w:tc>
        <w:tc>
          <w:tcPr>
            <w:tcW w:w="1440" w:type="dxa"/>
            <w:vAlign w:val="bottom"/>
            <w:tcBorders>
              <w:top w:val="single" w:sz="8" w:color="CCECFF"/>
            </w:tcBorders>
          </w:tcPr>
          <w:p>
            <w:pPr>
              <w:spacing w:after="0"/>
              <w:rPr>
                <w:sz w:val="18"/>
                <w:szCs w:val="18"/>
                <w:color w:val="auto"/>
              </w:rPr>
            </w:pPr>
          </w:p>
        </w:tc>
        <w:tc>
          <w:tcPr>
            <w:tcW w:w="360" w:type="dxa"/>
            <w:vAlign w:val="bottom"/>
            <w:tcBorders>
              <w:top w:val="single" w:sz="8" w:color="auto"/>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1,675.9</w:t>
            </w:r>
          </w:p>
        </w:tc>
        <w:tc>
          <w:tcPr>
            <w:tcW w:w="60" w:type="dxa"/>
            <w:vAlign w:val="bottom"/>
            <w:tcBorders>
              <w:top w:val="single" w:sz="8" w:color="CCECFF"/>
            </w:tcBorders>
          </w:tcPr>
          <w:p>
            <w:pPr>
              <w:spacing w:after="0"/>
              <w:rPr>
                <w:sz w:val="18"/>
                <w:szCs w:val="18"/>
                <w:color w:val="auto"/>
              </w:rPr>
            </w:pPr>
          </w:p>
        </w:tc>
        <w:tc>
          <w:tcPr>
            <w:tcW w:w="40" w:type="dxa"/>
            <w:vAlign w:val="bottom"/>
            <w:tcBorders>
              <w:top w:val="single" w:sz="8" w:color="CCECFF"/>
            </w:tcBorders>
          </w:tcPr>
          <w:p>
            <w:pPr>
              <w:spacing w:after="0"/>
              <w:rPr>
                <w:sz w:val="18"/>
                <w:szCs w:val="18"/>
                <w:color w:val="auto"/>
              </w:rPr>
            </w:pPr>
          </w:p>
        </w:tc>
        <w:tc>
          <w:tcPr>
            <w:tcW w:w="140" w:type="dxa"/>
            <w:vAlign w:val="bottom"/>
            <w:tcBorders>
              <w:top w:val="single" w:sz="8" w:color="CCEC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100" w:type="dxa"/>
            <w:vAlign w:val="bottom"/>
            <w:tcBorders>
              <w:top w:val="single" w:sz="8" w:color="CCEC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Inventories</w:t>
            </w:r>
          </w:p>
        </w:tc>
        <w:tc>
          <w:tcPr>
            <w:tcW w:w="1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Raw materials</w:t>
            </w:r>
          </w:p>
        </w:tc>
        <w:tc>
          <w:tcPr>
            <w:tcW w:w="1460" w:type="dxa"/>
            <w:vAlign w:val="bottom"/>
            <w:gridSpan w:val="2"/>
            <w:shd w:val="clear" w:color="auto" w:fill="CCECFF"/>
          </w:tcPr>
          <w:p>
            <w:pPr>
              <w:spacing w:after="0"/>
              <w:rPr>
                <w:sz w:val="18"/>
                <w:szCs w:val="18"/>
                <w:color w:val="auto"/>
              </w:rPr>
            </w:pPr>
          </w:p>
        </w:tc>
        <w:tc>
          <w:tcPr>
            <w:tcW w:w="34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533.1</w:t>
            </w:r>
          </w:p>
        </w:tc>
        <w:tc>
          <w:tcPr>
            <w:tcW w:w="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Work in process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217.6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Finished goods</w:t>
            </w:r>
          </w:p>
        </w:tc>
        <w:tc>
          <w:tcPr>
            <w:tcW w:w="144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auto"/>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166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793.2</w:t>
            </w:r>
          </w:p>
        </w:tc>
        <w:tc>
          <w:tcPr>
            <w:tcW w:w="4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shd w:val="clear" w:color="auto" w:fill="CCECFF"/>
          </w:tcPr>
          <w:p>
            <w:pPr>
              <w:spacing w:after="0"/>
              <w:rPr>
                <w:sz w:val="18"/>
                <w:szCs w:val="18"/>
                <w:color w:val="auto"/>
              </w:rPr>
            </w:pPr>
          </w:p>
        </w:tc>
        <w:tc>
          <w:tcPr>
            <w:tcW w:w="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Borders>
              <w:bottom w:val="single" w:sz="8" w:color="CCECFF"/>
            </w:tcBorders>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inventories, net</w:t>
            </w:r>
          </w:p>
        </w:tc>
        <w:tc>
          <w:tcPr>
            <w:tcW w:w="180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1,543.9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1,435.8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and Other Liabilities</w:t>
            </w: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04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Compensation and employee benefit liabilities</w:t>
            </w:r>
          </w:p>
        </w:tc>
        <w:tc>
          <w:tcPr>
            <w:tcW w:w="1520" w:type="dxa"/>
            <w:vAlign w:val="bottom"/>
            <w:gridSpan w:val="3"/>
            <w:shd w:val="clear" w:color="auto" w:fill="CCECFF"/>
          </w:tcPr>
          <w:p>
            <w:pPr>
              <w:spacing w:after="0"/>
              <w:rPr>
                <w:sz w:val="18"/>
                <w:szCs w:val="18"/>
                <w:color w:val="auto"/>
              </w:rPr>
            </w:pP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266.3</w:t>
            </w:r>
          </w:p>
        </w:tc>
        <w:tc>
          <w:tcPr>
            <w:tcW w:w="140" w:type="dxa"/>
            <w:vAlign w:val="bottom"/>
            <w:shd w:val="clear" w:color="auto" w:fill="CCECFF"/>
          </w:tcPr>
          <w:p>
            <w:pPr>
              <w:spacing w:after="0"/>
              <w:rPr>
                <w:sz w:val="18"/>
                <w:szCs w:val="18"/>
                <w:color w:val="auto"/>
              </w:rPr>
            </w:pPr>
          </w:p>
        </w:tc>
        <w:tc>
          <w:tcPr>
            <w:tcW w:w="140" w:type="dxa"/>
            <w:vAlign w:val="bottom"/>
            <w:gridSpan w:val="2"/>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Deferred revenue</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Contract manufacturer inventory repurchase obligation</w:t>
            </w:r>
          </w:p>
        </w:tc>
        <w:tc>
          <w:tcPr>
            <w:tcW w:w="144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70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Accrued interest</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Restructuring liabilities</w:t>
            </w:r>
          </w:p>
        </w:tc>
        <w:tc>
          <w:tcPr>
            <w:tcW w:w="144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70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Product warranty accrual</w:t>
            </w:r>
          </w:p>
        </w:tc>
        <w:tc>
          <w:tcPr>
            <w:tcW w:w="144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70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340.2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44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accrued and other liabilities</w:t>
            </w:r>
          </w:p>
        </w:tc>
        <w:tc>
          <w:tcPr>
            <w:tcW w:w="1520" w:type="dxa"/>
            <w:vAlign w:val="bottom"/>
            <w:tcBorders>
              <w:bottom w:val="single" w:sz="8" w:color="CCECFF"/>
            </w:tcBorders>
            <w:gridSpan w:val="3"/>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gridSpan w:val="3"/>
            <w:shd w:val="clear" w:color="auto" w:fill="CCECFF"/>
          </w:tcPr>
          <w:p>
            <w:pPr>
              <w:jc w:val="right"/>
              <w:ind w:right="20"/>
              <w:spacing w:after="0"/>
              <w:rPr>
                <w:sz w:val="20"/>
                <w:szCs w:val="20"/>
                <w:color w:val="auto"/>
              </w:rPr>
            </w:pPr>
            <w:r>
              <w:rPr>
                <w:rFonts w:ascii="Arial" w:cs="Arial" w:eastAsia="Arial" w:hAnsi="Arial"/>
                <w:sz w:val="18"/>
                <w:szCs w:val="18"/>
                <w:color w:val="auto"/>
              </w:rPr>
              <w:t>990.0</w:t>
            </w:r>
          </w:p>
        </w:tc>
        <w:tc>
          <w:tcPr>
            <w:tcW w:w="14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bottom w:val="single" w:sz="8" w:color="CCECFF"/>
            </w:tcBorders>
            <w:gridSpan w:val="2"/>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Borders>
              <w:bottom w:val="single" w:sz="8" w:color="CCECFF"/>
            </w:tcBorders>
            <w:shd w:val="clear" w:color="auto" w:fill="CCEC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4"/>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5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-4091940</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-4091940</wp:posOffset>
            </wp:positionV>
            <wp:extent cx="5969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-2850515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-2850515</wp:posOffset>
            </wp:positionV>
            <wp:extent cx="5969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-770255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-753110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-770255</wp:posOffset>
            </wp:positionV>
            <wp:extent cx="596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-753110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Information</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2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Right of use assets</w:t>
            </w:r>
          </w:p>
        </w:tc>
        <w:tc>
          <w:tcPr>
            <w:tcW w:w="2660" w:type="dxa"/>
            <w:vAlign w:val="bottom"/>
            <w:shd w:val="clear" w:color="auto" w:fill="CCECFF"/>
          </w:tcPr>
          <w:p>
            <w:pPr>
              <w:ind w:left="6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CFF"/>
          </w:tcPr>
          <w:p>
            <w:pPr>
              <w:spacing w:after="0"/>
              <w:rPr>
                <w:sz w:val="20"/>
                <w:szCs w:val="20"/>
                <w:color w:val="auto"/>
              </w:rPr>
            </w:pPr>
            <w:r>
              <w:rPr>
                <w:rFonts w:ascii="Arial" w:cs="Arial" w:eastAsia="Arial" w:hAnsi="Arial"/>
                <w:sz w:val="18"/>
                <w:szCs w:val="18"/>
                <w:color w:val="auto"/>
              </w:rPr>
              <w:t>Lease liabilities - current</w:t>
            </w:r>
          </w:p>
        </w:tc>
        <w:tc>
          <w:tcPr>
            <w:tcW w:w="2660" w:type="dxa"/>
            <w:vAlign w:val="bottom"/>
            <w:shd w:val="clear" w:color="auto" w:fill="CCECFF"/>
          </w:tcPr>
          <w:p>
            <w:pPr>
              <w:ind w:left="40"/>
              <w:spacing w:after="0"/>
              <w:rPr>
                <w:sz w:val="20"/>
                <w:szCs w:val="20"/>
                <w:color w:val="auto"/>
              </w:rPr>
            </w:pPr>
            <w:r>
              <w:rPr>
                <w:rFonts w:ascii="Arial" w:cs="Arial" w:eastAsia="Arial" w:hAnsi="Arial"/>
                <w:sz w:val="18"/>
                <w:szCs w:val="18"/>
                <w:color w:val="auto"/>
              </w:rPr>
              <w:t>Accrued and other liabilities</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46.5</w:t>
            </w:r>
          </w:p>
        </w:tc>
        <w:tc>
          <w:tcPr>
            <w:tcW w:w="4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Lease liabilities - noncurrent</w:t>
            </w:r>
          </w:p>
        </w:tc>
        <w:tc>
          <w:tcPr>
            <w:tcW w:w="2660" w:type="dxa"/>
            <w:vAlign w:val="bottom"/>
          </w:tcPr>
          <w:p>
            <w:pPr>
              <w:ind w:left="6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lease liabilities</w:t>
            </w:r>
          </w:p>
        </w:tc>
        <w:tc>
          <w:tcPr>
            <w:tcW w:w="26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175.2</w:t>
            </w:r>
          </w:p>
        </w:tc>
        <w:tc>
          <w:tcPr>
            <w:tcW w:w="3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-24765</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accumulated other comprehensive loss (AOCL), net of tax: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380" w:type="dxa"/>
            <w:vAlign w:val="bottom"/>
            <w:gridSpan w:val="5"/>
          </w:tcPr>
          <w:p>
            <w:pPr>
              <w:jc w:val="right"/>
              <w:ind w:right="68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9"/>
        </w:trPr>
        <w:tc>
          <w:tcPr>
            <w:tcW w:w="20" w:type="dxa"/>
            <w:vAlign w:val="bottom"/>
            <w:tcBorders>
              <w:bottom w:val="single" w:sz="8" w:color="CCECFF"/>
            </w:tcBorders>
            <w:shd w:val="clear" w:color="auto" w:fill="CCECFF"/>
          </w:tcPr>
          <w:p>
            <w:pPr>
              <w:spacing w:after="0"/>
              <w:rPr>
                <w:sz w:val="16"/>
                <w:szCs w:val="16"/>
                <w:color w:val="auto"/>
              </w:rPr>
            </w:pPr>
          </w:p>
        </w:tc>
        <w:tc>
          <w:tcPr>
            <w:tcW w:w="2040" w:type="dxa"/>
            <w:vAlign w:val="bottom"/>
            <w:tcBorders>
              <w:bottom w:val="single" w:sz="8" w:color="auto"/>
            </w:tcBorders>
            <w:gridSpan w:val="2"/>
            <w:shd w:val="clear" w:color="auto" w:fill="CCECFF"/>
          </w:tcPr>
          <w:p>
            <w:pPr>
              <w:spacing w:after="0" w:line="169" w:lineRule="exact"/>
              <w:rPr>
                <w:sz w:val="20"/>
                <w:szCs w:val="20"/>
                <w:color w:val="auto"/>
              </w:rPr>
            </w:pPr>
            <w:r>
              <w:rPr>
                <w:rFonts w:ascii="Arial" w:cs="Arial" w:eastAsia="Arial" w:hAnsi="Arial"/>
                <w:sz w:val="18"/>
                <w:szCs w:val="18"/>
                <w:color w:val="auto"/>
                <w:w w:val="90"/>
              </w:rPr>
              <w:t>Foreign currency translation</w:t>
            </w:r>
          </w:p>
        </w:tc>
        <w:tc>
          <w:tcPr>
            <w:tcW w:w="3700" w:type="dxa"/>
            <w:vAlign w:val="bottom"/>
            <w:tcBorders>
              <w:bottom w:val="single" w:sz="8" w:color="CCECFF"/>
            </w:tcBorders>
            <w:gridSpan w:val="2"/>
            <w:shd w:val="clear" w:color="auto" w:fill="CCECFF"/>
          </w:tcPr>
          <w:p>
            <w:pPr>
              <w:spacing w:after="0"/>
              <w:rPr>
                <w:sz w:val="16"/>
                <w:szCs w:val="16"/>
                <w:color w:val="auto"/>
              </w:rPr>
            </w:pPr>
          </w:p>
        </w:tc>
        <w:tc>
          <w:tcPr>
            <w:tcW w:w="280" w:type="dxa"/>
            <w:vAlign w:val="bottom"/>
            <w:tcBorders>
              <w:bottom w:val="single" w:sz="8" w:color="CCECFF"/>
            </w:tcBorders>
            <w:shd w:val="clear" w:color="auto" w:fill="CCECFF"/>
          </w:tcPr>
          <w:p>
            <w:pPr>
              <w:spacing w:after="0"/>
              <w:rPr>
                <w:sz w:val="16"/>
                <w:szCs w:val="16"/>
                <w:color w:val="auto"/>
              </w:rPr>
            </w:pPr>
          </w:p>
        </w:tc>
        <w:tc>
          <w:tcPr>
            <w:tcW w:w="900" w:type="dxa"/>
            <w:vAlign w:val="bottom"/>
            <w:tcBorders>
              <w:bottom w:val="single" w:sz="8" w:color="CCECFF"/>
            </w:tcBorders>
            <w:shd w:val="clear" w:color="auto" w:fill="CCECFF"/>
          </w:tcPr>
          <w:p>
            <w:pPr>
              <w:spacing w:after="0"/>
              <w:rPr>
                <w:sz w:val="16"/>
                <w:szCs w:val="16"/>
                <w:color w:val="auto"/>
              </w:rPr>
            </w:pPr>
          </w:p>
        </w:tc>
        <w:tc>
          <w:tcPr>
            <w:tcW w:w="240" w:type="dxa"/>
            <w:vAlign w:val="bottom"/>
            <w:tcBorders>
              <w:bottom w:val="single" w:sz="8" w:color="CCECFF"/>
            </w:tcBorders>
            <w:shd w:val="clear" w:color="auto" w:fill="CCECFF"/>
          </w:tcPr>
          <w:p>
            <w:pPr>
              <w:spacing w:after="0"/>
              <w:rPr>
                <w:sz w:val="16"/>
                <w:szCs w:val="16"/>
                <w:color w:val="auto"/>
              </w:rPr>
            </w:pPr>
          </w:p>
        </w:tc>
        <w:tc>
          <w:tcPr>
            <w:tcW w:w="380" w:type="dxa"/>
            <w:vAlign w:val="bottom"/>
            <w:tcBorders>
              <w:bottom w:val="single" w:sz="8" w:color="CCECFF"/>
            </w:tcBorders>
            <w:shd w:val="clear" w:color="auto" w:fill="CCECFF"/>
          </w:tcPr>
          <w:p>
            <w:pPr>
              <w:spacing w:after="0"/>
              <w:rPr>
                <w:sz w:val="16"/>
                <w:szCs w:val="16"/>
                <w:color w:val="auto"/>
              </w:rPr>
            </w:pPr>
          </w:p>
        </w:tc>
        <w:tc>
          <w:tcPr>
            <w:tcW w:w="80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280" w:type="dxa"/>
            <w:vAlign w:val="bottom"/>
            <w:tcBorders>
              <w:bottom w:val="single" w:sz="8" w:color="CCECFF"/>
            </w:tcBorders>
            <w:shd w:val="clear" w:color="auto" w:fill="CCECFF"/>
          </w:tcPr>
          <w:p>
            <w:pPr>
              <w:spacing w:after="0"/>
              <w:rPr>
                <w:sz w:val="16"/>
                <w:szCs w:val="16"/>
                <w:color w:val="auto"/>
              </w:rPr>
            </w:pPr>
          </w:p>
        </w:tc>
        <w:tc>
          <w:tcPr>
            <w:tcW w:w="860" w:type="dxa"/>
            <w:vAlign w:val="bottom"/>
            <w:tcBorders>
              <w:bottom w:val="single" w:sz="8" w:color="CCECFF"/>
            </w:tcBorders>
            <w:shd w:val="clear" w:color="auto" w:fill="CCECFF"/>
          </w:tcPr>
          <w:p>
            <w:pPr>
              <w:spacing w:after="0"/>
              <w:rPr>
                <w:sz w:val="16"/>
                <w:szCs w:val="16"/>
                <w:color w:val="auto"/>
              </w:rPr>
            </w:pPr>
          </w:p>
        </w:tc>
        <w:tc>
          <w:tcPr>
            <w:tcW w:w="220" w:type="dxa"/>
            <w:vAlign w:val="bottom"/>
            <w:tcBorders>
              <w:bottom w:val="single" w:sz="8" w:color="CCECFF"/>
            </w:tcBorders>
            <w:shd w:val="clear" w:color="auto" w:fill="CCECFF"/>
          </w:tcPr>
          <w:p>
            <w:pPr>
              <w:spacing w:after="0"/>
              <w:rPr>
                <w:sz w:val="16"/>
                <w:szCs w:val="16"/>
                <w:color w:val="auto"/>
              </w:rPr>
            </w:pPr>
          </w:p>
        </w:tc>
        <w:tc>
          <w:tcPr>
            <w:tcW w:w="400" w:type="dxa"/>
            <w:vAlign w:val="bottom"/>
            <w:tcBorders>
              <w:bottom w:val="single" w:sz="8" w:color="CCECFF"/>
            </w:tcBorders>
            <w:shd w:val="clear" w:color="auto" w:fill="CCECFF"/>
          </w:tcPr>
          <w:p>
            <w:pPr>
              <w:spacing w:after="0"/>
              <w:rPr>
                <w:sz w:val="16"/>
                <w:szCs w:val="16"/>
                <w:color w:val="auto"/>
              </w:rPr>
            </w:pPr>
          </w:p>
        </w:tc>
        <w:tc>
          <w:tcPr>
            <w:tcW w:w="800" w:type="dxa"/>
            <w:vAlign w:val="bottom"/>
            <w:tcBorders>
              <w:bottom w:val="single" w:sz="8" w:color="CCECFF"/>
            </w:tcBorders>
            <w:shd w:val="clear" w:color="auto" w:fill="CCECFF"/>
          </w:tcPr>
          <w:p>
            <w:pPr>
              <w:spacing w:after="0"/>
              <w:rPr>
                <w:sz w:val="16"/>
                <w:szCs w:val="16"/>
                <w:color w:val="auto"/>
              </w:rPr>
            </w:pPr>
          </w:p>
        </w:tc>
        <w:tc>
          <w:tcPr>
            <w:tcW w:w="100" w:type="dxa"/>
            <w:vAlign w:val="bottom"/>
            <w:tcBorders>
              <w:bottom w:val="single" w:sz="8" w:color="CCECFF"/>
            </w:tcBorders>
            <w:shd w:val="clear" w:color="auto" w:fill="CCEC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(276.2 )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(110.3 )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(165.8 )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(80.5 )</w:t>
            </w:r>
          </w:p>
        </w:tc>
      </w:tr>
      <w:tr>
        <w:trPr>
          <w:trHeight w:val="216"/>
        </w:trPr>
        <w:tc>
          <w:tcPr>
            <w:tcW w:w="20" w:type="dxa"/>
            <w:vAlign w:val="bottom"/>
            <w:shd w:val="clear" w:color="auto" w:fill="CCECFF"/>
          </w:tcPr>
          <w:p>
            <w:pPr>
              <w:spacing w:after="0"/>
              <w:rPr>
                <w:sz w:val="18"/>
                <w:szCs w:val="18"/>
                <w:color w:val="auto"/>
              </w:rPr>
            </w:pPr>
          </w:p>
        </w:tc>
        <w:tc>
          <w:tcPr>
            <w:tcW w:w="574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(94.5 )</w:t>
            </w:r>
          </w:p>
        </w:tc>
        <w:tc>
          <w:tcPr>
            <w:tcW w:w="3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(41.4 )</w:t>
            </w:r>
          </w:p>
        </w:tc>
        <w:tc>
          <w:tcPr>
            <w:tcW w:w="28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(204.9 )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(71.7 )</w:t>
            </w:r>
          </w:p>
        </w:tc>
      </w:tr>
      <w:tr>
        <w:trPr>
          <w:trHeight w:val="216"/>
        </w:trPr>
        <w:tc>
          <w:tcPr>
            <w:tcW w:w="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Amounts reclassified from AOCL</w:t>
            </w: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09"/>
        </w:trPr>
        <w:tc>
          <w:tcPr>
            <w:tcW w:w="20" w:type="dxa"/>
            <w:vAlign w:val="bottom"/>
            <w:tcBorders>
              <w:bottom w:val="single" w:sz="8" w:color="CCECFF"/>
            </w:tcBorders>
            <w:shd w:val="clear" w:color="auto" w:fill="CCECFF"/>
          </w:tcPr>
          <w:p>
            <w:pPr>
              <w:spacing w:after="0"/>
              <w:rPr>
                <w:sz w:val="18"/>
                <w:szCs w:val="18"/>
                <w:color w:val="auto"/>
              </w:rPr>
            </w:pPr>
          </w:p>
        </w:tc>
        <w:tc>
          <w:tcPr>
            <w:tcW w:w="5740" w:type="dxa"/>
            <w:vAlign w:val="bottom"/>
            <w:tcBorders>
              <w:bottom w:val="single" w:sz="8" w:color="CCECFF"/>
            </w:tcBorders>
            <w:gridSpan w:val="4"/>
            <w:shd w:val="clear" w:color="auto" w:fill="CCECFF"/>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(370.7</w:t>
            </w:r>
          </w:p>
        </w:tc>
        <w:tc>
          <w:tcPr>
            <w:tcW w:w="2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(370.7</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0" w:type="dxa"/>
            <w:vAlign w:val="bottom"/>
            <w:shd w:val="clear" w:color="auto" w:fill="CCECFF"/>
          </w:tcPr>
          <w:p>
            <w:pPr>
              <w:spacing w:after="0"/>
              <w:rPr>
                <w:sz w:val="15"/>
                <w:szCs w:val="15"/>
                <w:color w:val="auto"/>
              </w:rPr>
            </w:pPr>
          </w:p>
        </w:tc>
        <w:tc>
          <w:tcPr>
            <w:tcW w:w="5740" w:type="dxa"/>
            <w:vAlign w:val="bottom"/>
            <w:gridSpan w:val="4"/>
            <w:shd w:val="clear" w:color="auto" w:fill="CCECFF"/>
          </w:tcPr>
          <w:p>
            <w:pPr>
              <w:spacing w:after="0" w:line="176" w:lineRule="exact"/>
              <w:rPr>
                <w:sz w:val="20"/>
                <w:szCs w:val="20"/>
                <w:color w:val="auto"/>
              </w:rPr>
            </w:pPr>
            <w:r>
              <w:rPr>
                <w:rFonts w:ascii="Arial" w:cs="Arial" w:eastAsia="Arial" w:hAnsi="Arial"/>
                <w:sz w:val="18"/>
                <w:szCs w:val="18"/>
                <w:color w:val="auto"/>
              </w:rPr>
              <w:t>Defined benefit plan activity</w:t>
            </w:r>
          </w:p>
        </w:tc>
        <w:tc>
          <w:tcPr>
            <w:tcW w:w="2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20"/>
        </w:trPr>
        <w:tc>
          <w:tcPr>
            <w:tcW w:w="20" w:type="dxa"/>
            <w:vAlign w:val="bottom"/>
            <w:tcBorders>
              <w:top w:val="single" w:sz="8" w:color="CCECFF"/>
            </w:tcBorders>
            <w:shd w:val="clear" w:color="auto" w:fill="CCECFF"/>
          </w:tcPr>
          <w:p>
            <w:pPr>
              <w:spacing w:after="0" w:line="20" w:lineRule="exact"/>
              <w:rPr>
                <w:sz w:val="1"/>
                <w:szCs w:val="1"/>
                <w:color w:val="auto"/>
              </w:rPr>
            </w:pPr>
          </w:p>
        </w:tc>
        <w:tc>
          <w:tcPr>
            <w:tcW w:w="1500" w:type="dxa"/>
            <w:vAlign w:val="bottom"/>
            <w:tcBorders>
              <w:top w:val="single" w:sz="8" w:color="auto"/>
            </w:tcBorders>
            <w:shd w:val="clear" w:color="auto" w:fill="CCECFF"/>
          </w:tcPr>
          <w:p>
            <w:pPr>
              <w:spacing w:after="0" w:line="20" w:lineRule="exact"/>
              <w:rPr>
                <w:sz w:val="1"/>
                <w:szCs w:val="1"/>
                <w:color w:val="auto"/>
              </w:rPr>
            </w:pPr>
          </w:p>
        </w:tc>
        <w:tc>
          <w:tcPr>
            <w:tcW w:w="540" w:type="dxa"/>
            <w:vAlign w:val="bottom"/>
            <w:tcBorders>
              <w:top w:val="single" w:sz="8" w:color="auto"/>
            </w:tcBorders>
            <w:shd w:val="clear" w:color="auto" w:fill="CCECFF"/>
          </w:tcPr>
          <w:p>
            <w:pPr>
              <w:spacing w:after="0" w:line="20" w:lineRule="exact"/>
              <w:rPr>
                <w:sz w:val="1"/>
                <w:szCs w:val="1"/>
                <w:color w:val="auto"/>
              </w:rPr>
            </w:pPr>
          </w:p>
        </w:tc>
        <w:tc>
          <w:tcPr>
            <w:tcW w:w="20" w:type="dxa"/>
            <w:vAlign w:val="bottom"/>
            <w:tcBorders>
              <w:top w:val="single" w:sz="8" w:color="auto"/>
            </w:tcBorders>
            <w:shd w:val="clear" w:color="auto" w:fill="CCECFF"/>
          </w:tcPr>
          <w:p>
            <w:pPr>
              <w:spacing w:after="0" w:line="20" w:lineRule="exact"/>
              <w:rPr>
                <w:sz w:val="1"/>
                <w:szCs w:val="1"/>
                <w:color w:val="auto"/>
              </w:rPr>
            </w:pPr>
          </w:p>
        </w:tc>
        <w:tc>
          <w:tcPr>
            <w:tcW w:w="36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9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40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(14.7 )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(35.8 )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(13.4 )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(36.4 )</w:t>
            </w:r>
          </w:p>
        </w:tc>
      </w:tr>
      <w:tr>
        <w:trPr>
          <w:trHeight w:val="216"/>
        </w:trPr>
        <w:tc>
          <w:tcPr>
            <w:tcW w:w="20" w:type="dxa"/>
            <w:vAlign w:val="bottom"/>
            <w:shd w:val="clear" w:color="auto" w:fill="CCECFF"/>
          </w:tcPr>
          <w:p>
            <w:pPr>
              <w:spacing w:after="0"/>
              <w:rPr>
                <w:sz w:val="18"/>
                <w:szCs w:val="18"/>
                <w:color w:val="auto"/>
              </w:rPr>
            </w:pPr>
          </w:p>
        </w:tc>
        <w:tc>
          <w:tcPr>
            <w:tcW w:w="5740" w:type="dxa"/>
            <w:vAlign w:val="bottom"/>
            <w:gridSpan w:val="4"/>
            <w:shd w:val="clear" w:color="auto" w:fill="CCECFF"/>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8"/>
                <w:szCs w:val="18"/>
                <w:color w:val="auto"/>
              </w:rPr>
            </w:pPr>
          </w:p>
        </w:tc>
        <w:tc>
          <w:tcPr>
            <w:tcW w:w="108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(1.6 )</w:t>
            </w:r>
          </w:p>
        </w:tc>
        <w:tc>
          <w:tcPr>
            <w:tcW w:w="4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Amounts reclassified from AOCL</w:t>
            </w:r>
          </w:p>
        </w:tc>
        <w:tc>
          <w:tcPr>
            <w:tcW w:w="2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09"/>
        </w:trPr>
        <w:tc>
          <w:tcPr>
            <w:tcW w:w="20" w:type="dxa"/>
            <w:vAlign w:val="bottom"/>
            <w:tcBorders>
              <w:bottom w:val="single" w:sz="8" w:color="CCECFF"/>
            </w:tcBorders>
            <w:shd w:val="clear" w:color="auto" w:fill="CCECFF"/>
          </w:tcPr>
          <w:p>
            <w:pPr>
              <w:spacing w:after="0"/>
              <w:rPr>
                <w:sz w:val="18"/>
                <w:szCs w:val="18"/>
                <w:color w:val="auto"/>
              </w:rPr>
            </w:pPr>
          </w:p>
        </w:tc>
        <w:tc>
          <w:tcPr>
            <w:tcW w:w="5740" w:type="dxa"/>
            <w:vAlign w:val="bottom"/>
            <w:tcBorders>
              <w:bottom w:val="single" w:sz="8" w:color="CCECFF"/>
            </w:tcBorders>
            <w:gridSpan w:val="4"/>
            <w:shd w:val="clear" w:color="auto" w:fill="CCECFF"/>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20" w:type="dxa"/>
            <w:vAlign w:val="bottom"/>
            <w:shd w:val="clear" w:color="auto" w:fill="CCECFF"/>
          </w:tcPr>
          <w:p>
            <w:pPr>
              <w:spacing w:after="0"/>
              <w:rPr>
                <w:sz w:val="15"/>
                <w:szCs w:val="15"/>
                <w:color w:val="auto"/>
              </w:rPr>
            </w:pPr>
          </w:p>
        </w:tc>
        <w:tc>
          <w:tcPr>
            <w:tcW w:w="5740" w:type="dxa"/>
            <w:vAlign w:val="bottom"/>
            <w:gridSpan w:val="4"/>
            <w:shd w:val="clear" w:color="auto" w:fill="CCECFF"/>
          </w:tcPr>
          <w:p>
            <w:pPr>
              <w:spacing w:after="0" w:line="176" w:lineRule="exact"/>
              <w:rPr>
                <w:sz w:val="20"/>
                <w:szCs w:val="20"/>
                <w:color w:val="auto"/>
              </w:rPr>
            </w:pPr>
            <w:r>
              <w:rPr>
                <w:rFonts w:ascii="Arial" w:cs="Arial" w:eastAsia="Arial" w:hAnsi="Arial"/>
                <w:sz w:val="18"/>
                <w:szCs w:val="18"/>
                <w:color w:val="auto"/>
              </w:rPr>
              <w:t>Hedging instruments</w:t>
            </w:r>
          </w:p>
        </w:tc>
        <w:tc>
          <w:tcPr>
            <w:tcW w:w="28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8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20"/>
        </w:trPr>
        <w:tc>
          <w:tcPr>
            <w:tcW w:w="20" w:type="dxa"/>
            <w:vAlign w:val="bottom"/>
            <w:tcBorders>
              <w:top w:val="single" w:sz="8" w:color="CCECFF"/>
            </w:tcBorders>
            <w:shd w:val="clear" w:color="auto" w:fill="CCECFF"/>
          </w:tcPr>
          <w:p>
            <w:pPr>
              <w:spacing w:after="0" w:line="20" w:lineRule="exact"/>
              <w:rPr>
                <w:sz w:val="1"/>
                <w:szCs w:val="1"/>
                <w:color w:val="auto"/>
              </w:rPr>
            </w:pPr>
          </w:p>
        </w:tc>
        <w:tc>
          <w:tcPr>
            <w:tcW w:w="1500" w:type="dxa"/>
            <w:vAlign w:val="bottom"/>
            <w:tcBorders>
              <w:top w:val="single" w:sz="8" w:color="auto"/>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0" w:type="dxa"/>
            <w:vAlign w:val="bottom"/>
            <w:tcBorders>
              <w:top w:val="single" w:sz="8" w:color="CCECFF"/>
            </w:tcBorders>
            <w:shd w:val="clear" w:color="auto" w:fill="CCECFF"/>
          </w:tcPr>
          <w:p>
            <w:pPr>
              <w:spacing w:after="0" w:line="20" w:lineRule="exact"/>
              <w:rPr>
                <w:sz w:val="1"/>
                <w:szCs w:val="1"/>
                <w:color w:val="auto"/>
              </w:rPr>
            </w:pPr>
          </w:p>
        </w:tc>
        <w:tc>
          <w:tcPr>
            <w:tcW w:w="368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90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8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40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(15.4 )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(35.1 )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(27.2 )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(39.0 )</w:t>
            </w:r>
          </w:p>
        </w:tc>
      </w:tr>
      <w:tr>
        <w:trPr>
          <w:trHeight w:val="216"/>
        </w:trPr>
        <w:tc>
          <w:tcPr>
            <w:tcW w:w="20" w:type="dxa"/>
            <w:vAlign w:val="bottom"/>
            <w:tcBorders>
              <w:bottom w:val="single" w:sz="8" w:color="CCECFF"/>
            </w:tcBorders>
            <w:shd w:val="clear" w:color="auto" w:fill="CCECFF"/>
          </w:tcPr>
          <w:p>
            <w:pPr>
              <w:spacing w:after="0"/>
              <w:rPr>
                <w:sz w:val="18"/>
                <w:szCs w:val="18"/>
                <w:color w:val="auto"/>
              </w:rPr>
            </w:pPr>
          </w:p>
        </w:tc>
        <w:tc>
          <w:tcPr>
            <w:tcW w:w="5740" w:type="dxa"/>
            <w:vAlign w:val="bottom"/>
            <w:tcBorders>
              <w:bottom w:val="single" w:sz="8" w:color="CCECFF"/>
            </w:tcBorders>
            <w:gridSpan w:val="4"/>
            <w:shd w:val="clear" w:color="auto" w:fill="CCECFF"/>
          </w:tcPr>
          <w:p>
            <w:pPr>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CFF"/>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740" w:type="dxa"/>
            <w:vAlign w:val="bottom"/>
            <w:gridSpan w:val="4"/>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(11.7 )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(30.8 )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(11.7 )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(30.8 )</w:t>
            </w:r>
          </w:p>
        </w:tc>
      </w:tr>
      <w:tr>
        <w:trPr>
          <w:trHeight w:val="249"/>
        </w:trPr>
        <w:tc>
          <w:tcPr>
            <w:tcW w:w="20" w:type="dxa"/>
            <w:vAlign w:val="bottom"/>
            <w:tcBorders>
              <w:bottom w:val="single" w:sz="8" w:color="CCECFF"/>
            </w:tcBorders>
            <w:shd w:val="clear" w:color="auto" w:fill="CCECFF"/>
          </w:tcPr>
          <w:p>
            <w:pPr>
              <w:spacing w:after="0"/>
              <w:rPr>
                <w:sz w:val="21"/>
                <w:szCs w:val="21"/>
                <w:color w:val="auto"/>
              </w:rPr>
            </w:pPr>
          </w:p>
        </w:tc>
        <w:tc>
          <w:tcPr>
            <w:tcW w:w="5740" w:type="dxa"/>
            <w:vAlign w:val="bottom"/>
            <w:tcBorders>
              <w:bottom w:val="single" w:sz="8" w:color="CCECFF"/>
            </w:tcBorders>
            <w:gridSpan w:val="4"/>
            <w:shd w:val="clear" w:color="auto" w:fill="CCECFF"/>
          </w:tcPr>
          <w:p>
            <w:pPr>
              <w:spacing w:after="0"/>
              <w:rPr>
                <w:sz w:val="20"/>
                <w:szCs w:val="20"/>
                <w:color w:val="auto"/>
              </w:rPr>
            </w:pPr>
            <w:r>
              <w:rPr>
                <w:rFonts w:ascii="Arial" w:cs="Arial" w:eastAsia="Arial" w:hAnsi="Arial"/>
                <w:sz w:val="18"/>
                <w:szCs w:val="18"/>
                <w:color w:val="auto"/>
              </w:rPr>
              <w:t>Net AOCL at end of period</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(397.1</w:t>
            </w:r>
          </w:p>
        </w:tc>
        <w:tc>
          <w:tcPr>
            <w:tcW w:w="2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(217.5</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(397.1</w:t>
            </w:r>
          </w:p>
        </w:tc>
        <w:tc>
          <w:tcPr>
            <w:tcW w:w="2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-1711960</wp:posOffset>
            </wp:positionV>
            <wp:extent cx="7683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-1711960</wp:posOffset>
            </wp:positionV>
            <wp:extent cx="6858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-1711960</wp:posOffset>
            </wp:positionV>
            <wp:extent cx="6858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-872490</wp:posOffset>
            </wp:positionV>
            <wp:extent cx="76835"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-872490</wp:posOffset>
            </wp:positionV>
            <wp:extent cx="6858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-872490</wp:posOffset>
            </wp:positionV>
            <wp:extent cx="6858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-872490</wp:posOffset>
            </wp:positionV>
            <wp:extent cx="6858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-316230</wp:posOffset>
            </wp:positionV>
            <wp:extent cx="7683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-316230</wp:posOffset>
            </wp:positionV>
            <wp:extent cx="6858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-316230</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Amounts reclassified from net AOCL related to foreign currency translation and defined benefit plans are recorded in other income (expense), net in the Condensed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9"/>
        </w:trPr>
        <w:tc>
          <w:tcPr>
            <w:tcW w:w="1140" w:type="dxa"/>
            <w:vAlign w:val="bottom"/>
          </w:tcPr>
          <w:p>
            <w:pPr>
              <w:spacing w:after="0"/>
              <w:rPr>
                <w:sz w:val="18"/>
                <w:szCs w:val="18"/>
                <w:color w:val="auto"/>
              </w:rPr>
            </w:pPr>
          </w:p>
        </w:tc>
        <w:tc>
          <w:tcPr>
            <w:tcW w:w="3360" w:type="dxa"/>
            <w:vAlign w:val="bottom"/>
            <w:shd w:val="clear" w:color="auto" w:fill="CCECFF"/>
          </w:tcPr>
          <w:p>
            <w:pPr>
              <w:spacing w:after="0"/>
              <w:rPr>
                <w:sz w:val="20"/>
                <w:szCs w:val="20"/>
                <w:color w:val="auto"/>
              </w:rPr>
            </w:pPr>
            <w:r>
              <w:rPr>
                <w:rFonts w:ascii="Arial" w:cs="Arial" w:eastAsia="Arial" w:hAnsi="Arial"/>
                <w:sz w:val="18"/>
                <w:szCs w:val="18"/>
                <w:color w:val="auto"/>
              </w:rPr>
              <w:t>Cash paid during the period for:</w:t>
            </w:r>
          </w:p>
        </w:tc>
        <w:tc>
          <w:tcPr>
            <w:tcW w:w="19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5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Income taxes, net of refunds</w:t>
            </w:r>
          </w:p>
        </w:tc>
        <w:tc>
          <w:tcPr>
            <w:tcW w:w="302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91.7</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60" w:type="dxa"/>
            <w:vAlign w:val="bottom"/>
            <w:shd w:val="clear" w:color="auto" w:fill="CCECFF"/>
          </w:tcPr>
          <w:p>
            <w:pPr>
              <w:ind w:left="100"/>
              <w:spacing w:after="0"/>
              <w:rPr>
                <w:sz w:val="20"/>
                <w:szCs w:val="20"/>
                <w:color w:val="auto"/>
              </w:rPr>
            </w:pPr>
            <w:r>
              <w:rPr>
                <w:rFonts w:ascii="Arial" w:cs="Arial" w:eastAsia="Arial" w:hAnsi="Arial"/>
                <w:sz w:val="18"/>
                <w:szCs w:val="18"/>
                <w:color w:val="auto"/>
              </w:rPr>
              <w:t>Interest</w:t>
            </w:r>
          </w:p>
        </w:tc>
        <w:tc>
          <w:tcPr>
            <w:tcW w:w="196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469.6</w:t>
            </w:r>
          </w:p>
        </w:tc>
        <w:tc>
          <w:tcPr>
            <w:tcW w:w="36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455.5</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634"/>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6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FINANCING</w:t>
      </w:r>
    </w:p>
    <w:p>
      <w:pPr>
        <w:spacing w:after="0" w:line="39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7.125% senior notes due July 2028</w:t>
            </w: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5.00% senior notes due March 2027</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8"/>
                <w:szCs w:val="18"/>
                <w:color w:val="auto"/>
              </w:rPr>
            </w:pPr>
          </w:p>
        </w:tc>
      </w:tr>
      <w:tr>
        <w:trPr>
          <w:trHeight w:val="216"/>
        </w:trPr>
        <w:tc>
          <w:tcPr>
            <w:tcW w:w="5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8.25% senior notes due March 2027</w:t>
            </w:r>
          </w:p>
        </w:tc>
        <w:tc>
          <w:tcPr>
            <w:tcW w:w="300" w:type="dxa"/>
            <w:vAlign w:val="bottom"/>
            <w:shd w:val="clear" w:color="auto" w:fill="CCECFF"/>
          </w:tcPr>
          <w:p>
            <w:pPr>
              <w:spacing w:after="0"/>
              <w:rPr>
                <w:sz w:val="18"/>
                <w:szCs w:val="18"/>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6.00% senior notes due June 2025</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18"/>
                <w:szCs w:val="18"/>
                <w:color w:val="auto"/>
              </w:rPr>
            </w:pPr>
          </w:p>
        </w:tc>
      </w:tr>
      <w:tr>
        <w:trPr>
          <w:trHeight w:val="216"/>
        </w:trPr>
        <w:tc>
          <w:tcPr>
            <w:tcW w:w="5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4.75% senior secured notes due September 2029</w:t>
            </w:r>
          </w:p>
        </w:tc>
        <w:tc>
          <w:tcPr>
            <w:tcW w:w="300" w:type="dxa"/>
            <w:vAlign w:val="bottom"/>
            <w:shd w:val="clear" w:color="auto" w:fill="CCECFF"/>
          </w:tcPr>
          <w:p>
            <w:pPr>
              <w:spacing w:after="0"/>
              <w:rPr>
                <w:sz w:val="18"/>
                <w:szCs w:val="18"/>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6.00% senior secured notes due March 2026</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r>
      <w:tr>
        <w:trPr>
          <w:trHeight w:val="216"/>
        </w:trPr>
        <w:tc>
          <w:tcPr>
            <w:tcW w:w="5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Senior secured term loan due April 2026</w:t>
            </w:r>
          </w:p>
        </w:tc>
        <w:tc>
          <w:tcPr>
            <w:tcW w:w="300" w:type="dxa"/>
            <w:vAlign w:val="bottom"/>
            <w:shd w:val="clear" w:color="auto" w:fill="CCECFF"/>
          </w:tcPr>
          <w:p>
            <w:pPr>
              <w:spacing w:after="0"/>
              <w:rPr>
                <w:sz w:val="18"/>
                <w:szCs w:val="18"/>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3,104.0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3,128.0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3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Total principal amount of debt</w:t>
            </w: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9,709.0</w:t>
            </w:r>
          </w:p>
        </w:tc>
        <w:tc>
          <w:tcPr>
            <w:tcW w:w="300" w:type="dxa"/>
            <w:vAlign w:val="bottom"/>
            <w:shd w:val="clear" w:color="auto" w:fill="CCECFF"/>
          </w:tcPr>
          <w:p>
            <w:pPr>
              <w:spacing w:after="0"/>
              <w:rPr>
                <w:sz w:val="18"/>
                <w:szCs w:val="18"/>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9,628.0</w:t>
            </w:r>
          </w:p>
        </w:tc>
        <w:tc>
          <w:tcPr>
            <w:tcW w:w="100" w:type="dxa"/>
            <w:vAlign w:val="bottom"/>
            <w:shd w:val="clear" w:color="auto" w:fill="CCEC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Less: Original issue discount, net of amortization</w:t>
            </w:r>
          </w:p>
        </w:tc>
        <w:tc>
          <w:tcPr>
            <w:tcW w:w="3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(17.0 )</w:t>
            </w: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(20.3 )</w:t>
            </w:r>
          </w:p>
        </w:tc>
      </w:tr>
      <w:tr>
        <w:trPr>
          <w:trHeight w:val="216"/>
        </w:trPr>
        <w:tc>
          <w:tcPr>
            <w:tcW w:w="594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Less: Debt issuance costs, net of amortization</w:t>
            </w:r>
          </w:p>
        </w:tc>
        <w:tc>
          <w:tcPr>
            <w:tcW w:w="300" w:type="dxa"/>
            <w:vAlign w:val="bottom"/>
            <w:shd w:val="clear" w:color="auto" w:fill="CCECFF"/>
          </w:tcPr>
          <w:p>
            <w:pPr>
              <w:spacing w:after="0"/>
              <w:rPr>
                <w:sz w:val="18"/>
                <w:szCs w:val="18"/>
                <w:color w:val="auto"/>
              </w:rPr>
            </w:pPr>
          </w:p>
        </w:tc>
        <w:tc>
          <w:tcPr>
            <w:tcW w:w="184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(83.2 )</w:t>
            </w:r>
          </w:p>
        </w:tc>
        <w:tc>
          <w:tcPr>
            <w:tcW w:w="300" w:type="dxa"/>
            <w:vAlign w:val="bottom"/>
            <w:shd w:val="clear" w:color="auto" w:fill="CCECFF"/>
          </w:tcPr>
          <w:p>
            <w:pPr>
              <w:spacing w:after="0"/>
              <w:rPr>
                <w:sz w:val="18"/>
                <w:szCs w:val="18"/>
                <w:color w:val="auto"/>
              </w:rPr>
            </w:pPr>
          </w:p>
        </w:tc>
        <w:tc>
          <w:tcPr>
            <w:tcW w:w="16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(97.2 )</w:t>
            </w:r>
          </w:p>
        </w:tc>
      </w:tr>
      <w:tr>
        <w:trPr>
          <w:trHeight w:val="216"/>
        </w:trPr>
        <w:tc>
          <w:tcPr>
            <w:tcW w:w="594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(32.0 )</w:t>
            </w:r>
          </w:p>
        </w:tc>
        <w:tc>
          <w:tcPr>
            <w:tcW w:w="3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(32.0 )</w:t>
            </w:r>
          </w:p>
        </w:tc>
      </w:tr>
      <w:tr>
        <w:trPr>
          <w:trHeight w:val="249"/>
        </w:trPr>
        <w:tc>
          <w:tcPr>
            <w:tcW w:w="5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Total long-term debt</w:t>
            </w: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9,576.8</w:t>
            </w:r>
          </w:p>
        </w:tc>
        <w:tc>
          <w:tcPr>
            <w:tcW w:w="3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9,478.5</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-24765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-24765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-7620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7 within the Company’s audited consolidated financial statements included in the 2021 Annual Report for additional information on the terms and conditions of the Company’s debt obligations.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Facilities</w:t>
      </w:r>
    </w:p>
    <w:p>
      <w:pPr>
        <w:spacing w:after="0" w:line="10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During the nine months ended September 30, 2022, the Company borrowed $333.0 million and repaid $228.0 million under the Revolving Credit Facility. As of September 30, 2022, the Company had $105.0 million of outstanding borrowings under the Revolving Credit Facility and had availability of $779.1 million, after giving effect to borrowing base limitations and outstanding letters of credit.</w:t>
      </w:r>
    </w:p>
    <w:p>
      <w:pPr>
        <w:spacing w:after="0" w:line="176"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During the three and nine months ended September 30, 2022, the Company made quarterly scheduled amortization payments of $8.0 million and $24.0 million, respectively, on the senior secured term loan due in 2026 (the 2026 Term Loan). The current portion of long-term debt reflects $32.0 million of repayments due under the 2026 Term Loan.</w:t>
      </w:r>
    </w:p>
    <w:p>
      <w:pPr>
        <w:spacing w:after="0" w:line="17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did not reflect any portion of the 2026 Term Loan as a current portion of long-term debt as of September 30, 2022 related to the potentially required excess cash flow payment because the amount that may be payable in 2023, if any, cannot currently be reliably estimated. There is no excess cash flow payment required in 2022 related to 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07"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The Company’s non-guarantor subsidiaries held $2,620 million, or 21%, of total assets and $1,022 million, or 8%, of total liabilities as of September 30, 2022 and accounted for $691 million, or 29%, and $2,057 million, or 30%, of net sales for the three and nine months ended September 30, 2022, respectively. As of December 31, 2021, the non-guarantor subsidiaries held $3,143 million, or 24%, of total assets and $1,077 million, or 9%, of total liabilities. For the three and nine months ended September 30, 2021, the non-guarantor subsidiaries accounted for $695 million, or 33%, and $1,990 million, or 31%, of net sales, respectively. All amounts presented exclude intercompany balances.</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weighted average effective interest rate on outstanding borrowings, including the impact of the interest rate swap, and the amortization of debt issuance costs and original issue discount, was 6.53% and 5.74% as of September 30, 2022 and December 31, 2021,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Company’s financial instruments consist primarily of cash and cash equivalents, trade receivables, trade payables, debt instruments, interest rate derivatives and foreign currency contracts. For cash and cash equivalents, trade receivables and trade payables, the carrying amounts of these financial instruments as of September 30, 2022 and December 31, 2021 were considered representative of their fair values due to their short terms to maturity. The fair values of the Company’s debt instruments, interest rate derivatives and foreign currency contracts were based on indicative quotes.</w:t>
      </w:r>
    </w:p>
    <w:p>
      <w:pPr>
        <w:spacing w:after="0" w:line="152"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auto"/>
        </w:rPr>
        <w:t>Fair value measurements using quoted prices in active markets for identical assets and liabilities fall within Level 1 of the fair value hierarchy, measurements using significant other observable inputs fall within Level 2, and measurements using significant unobservable inputs fall within Level 3.</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the Company’s debt instruments, interest rate derivatives and foreign currency contracts as of September 30, 2022 and December 31, 2021,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September 30, 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14"/>
              <w:spacing w:after="0" w:line="146"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14"/>
              <w:spacing w:after="0" w:line="146"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9"/>
        </w:trPr>
        <w:tc>
          <w:tcPr>
            <w:tcW w:w="5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7.125% senior notes due 2028</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4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539.9</w:t>
            </w:r>
          </w:p>
        </w:tc>
        <w:tc>
          <w:tcPr>
            <w:tcW w:w="4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690.4</w:t>
            </w: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5.00% senior notes due 2027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705.0</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8.25% senior notes due 2027</w:t>
            </w: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826.3</w:t>
            </w:r>
          </w:p>
        </w:tc>
        <w:tc>
          <w:tcPr>
            <w:tcW w:w="3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1,023.8</w:t>
            </w: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6.00% senior notes due 2025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1,300.0</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4.75% senior secured notes due 2029</w:t>
            </w: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1,019.6</w:t>
            </w:r>
          </w:p>
        </w:tc>
        <w:tc>
          <w:tcPr>
            <w:tcW w:w="3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1,250.0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1,240.3</w:t>
            </w: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6.00% senior secured notes due 2026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1,554.4</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Senior secured term loan due 2026</w:t>
            </w: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3,104.0</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2,863.4</w:t>
            </w:r>
          </w:p>
        </w:tc>
        <w:tc>
          <w:tcPr>
            <w:tcW w:w="3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3,128.0</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3,092.8</w:t>
            </w: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Senior secured revolving credit facility</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16"/>
        </w:trPr>
        <w:tc>
          <w:tcPr>
            <w:tcW w:w="51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CFF"/>
          </w:tcPr>
          <w:p>
            <w:pPr>
              <w:spacing w:after="0"/>
              <w:rPr>
                <w:sz w:val="18"/>
                <w:szCs w:val="18"/>
                <w:color w:val="auto"/>
              </w:rPr>
            </w:pPr>
          </w:p>
        </w:tc>
        <w:tc>
          <w:tcPr>
            <w:tcW w:w="10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r>
        <w:trPr>
          <w:trHeight w:val="230"/>
        </w:trPr>
        <w:tc>
          <w:tcPr>
            <w:tcW w:w="5100" w:type="dxa"/>
            <w:vAlign w:val="bottom"/>
          </w:tcPr>
          <w:p>
            <w:pPr>
              <w:ind w:left="1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Level 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These fair value estimates are based on pertinent information available to management as of the valuation date. Although management is not aware of any factors that would significantly affect these fair value estimates, such amounts have not been comprehensively revalued for purposes of these financial statements since those dates, and current estimates of fair value may differ significantly from the amounts presented.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SEGMENTS AND GEOGRAPHIC INFORMATION</w:t>
      </w:r>
    </w:p>
    <w:p>
      <w:pPr>
        <w:spacing w:after="0" w:line="12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As of January 1, 2022, the Company reorganized its internal management and reporting structure to align its portfolio of products and solutions more closely with the markets it serves and bring better performance clarity with its competitive peer set. The reorganization changed the information regularly reviewed by the Company’s chief operating decision maker for purposes of allocating resources and assessing performance. As a result, the Company is now reporting financial performance based on the following operating segments: CCS, OWN, NICS, ANS and Home. All prior period amounts below have been recast to reflect these operating segment changes.</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Connectivity and Cable Solutions (CCS) segment provides fiber optic and copper connectivity and cable solutions for use in telecommunications, cable television, residential broadband networks, data centers and business enterprise. The CCS portfolio includes network solutions for indoor and outdoor network applications. Indoor network solutions include optical fiber and twisted pair structured cable solutions, intelligent infrastructure management hardware and software and network rack and cabinet enclosures. Outdoor network solutions are used in both local-area and wide-area networks and “last mile” fiber-to-the-home installations, including deployments of fiber-to-the-node, fiber-to-the-premises and fiber-to-the-distribution point to homes, businesses and cell sites.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Outdoor Wireless Networks (OWN) segment focuses on the macro and metro cell markets. The segment includes base station antennas, RF filters, tower connectivity, microwave antennas, metro cell products, cabinets, steel, accessories and Comsearch.</w:t>
      </w:r>
    </w:p>
    <w:p>
      <w:pPr>
        <w:spacing w:after="0" w:line="15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Networking, Intelligent Cellular and Security Solutions (NICS) segment provides wireless networks for enterprises and service providers. Product offerings include indoor and outdoor Wi-Fi and LTE access points, access and aggregation switches; an Internet of Things suite, on-premises and cloud-based control and management systems; and software and software-as-a-service applications addressing security, location, reporting and analytics.</w:t>
      </w:r>
    </w:p>
    <w:p>
      <w:pPr>
        <w:spacing w:after="0" w:line="141"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The Access Network Solutions (ANS) segment’s product solutions include cable modem termination systems, video infrastructure, distribution and transmission equipment and cloud solutions that enable facility-based service providers to construct a state-of-the-art residential and metro distribution network. The portfolio also includes a full suite of global services that offer technical support, professional services and system integration to enable solutions sales of the Company’s end-to-end product portfolio.</w:t>
      </w:r>
    </w:p>
    <w:p>
      <w:pPr>
        <w:spacing w:after="0" w:line="18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Home Networks (Home) segment includes subscriber-based solutions that support broadband and video applications. The broadband offerings in the Home segment include devices that provide residential connectivity to a service provider’s network, such as digital subscriber line and cable modems and telephony and data gateways which incorporate routing and Wi-Fi functionality. Video offerings include set top boxes that support cable, satellite and IP television content delivery and include products such as digital video recorders, high definition set top boxes and hybrid set top devices.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summary financial information by reportable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right"/>
              <w:ind w:right="493"/>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ind w:right="513"/>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5"/>
        </w:trPr>
        <w:tc>
          <w:tcPr>
            <w:tcW w:w="1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1140" w:type="dxa"/>
            <w:vAlign w:val="bottom"/>
          </w:tcPr>
          <w:p>
            <w:pPr>
              <w:spacing w:after="0"/>
              <w:rPr>
                <w:sz w:val="18"/>
                <w:szCs w:val="18"/>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Identifiable segment-related assets:</w:t>
            </w: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CCS</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4,430.2</w:t>
            </w:r>
          </w:p>
        </w:tc>
        <w:tc>
          <w:tcPr>
            <w:tcW w:w="6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4,377.2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OWN</w:t>
            </w: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1,301.5</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1,386.5</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NICS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1,345.7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1,397.0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ANS</w:t>
            </w: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3,742.5</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3,831.9</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Home</w:t>
            </w:r>
          </w:p>
        </w:tc>
        <w:tc>
          <w:tcPr>
            <w:tcW w:w="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1,318.9</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640" w:type="dxa"/>
            <w:vAlign w:val="bottom"/>
            <w:shd w:val="clear" w:color="auto" w:fill="CCECFF"/>
          </w:tcPr>
          <w:p>
            <w:pPr>
              <w:spacing w:after="0"/>
              <w:rPr>
                <w:sz w:val="20"/>
                <w:szCs w:val="20"/>
                <w:color w:val="auto"/>
              </w:rPr>
            </w:pPr>
            <w:r>
              <w:rPr>
                <w:rFonts w:ascii="Arial" w:cs="Arial" w:eastAsia="Arial" w:hAnsi="Arial"/>
                <w:sz w:val="18"/>
                <w:szCs w:val="18"/>
                <w:color w:val="auto"/>
              </w:rPr>
              <w:t>Total identifiable segment-related assets</w:t>
            </w: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12,138.8</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12,472.1</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Reconciliation to total assets:</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Cash and cash equivalents</w:t>
            </w:r>
          </w:p>
        </w:tc>
        <w:tc>
          <w:tcPr>
            <w:tcW w:w="9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145.5</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6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360.3</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Deferred income tax assets</w:t>
            </w:r>
          </w:p>
        </w:tc>
        <w:tc>
          <w:tcPr>
            <w:tcW w:w="9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6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12,757.8</w:t>
            </w:r>
          </w:p>
        </w:tc>
        <w:tc>
          <w:tcPr>
            <w:tcW w:w="3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CECFF"/>
          </w:tcPr>
          <w:p>
            <w:pPr>
              <w:jc w:val="right"/>
              <w:ind w:right="16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13,259.5</w:t>
            </w:r>
          </w:p>
        </w:tc>
        <w:tc>
          <w:tcPr>
            <w:tcW w:w="80" w:type="dxa"/>
            <w:vAlign w:val="bottom"/>
            <w:tcBorders>
              <w:bottom w:val="single" w:sz="8" w:color="CCECFF"/>
            </w:tcBorders>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614"/>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17</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9"/>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-770255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-753110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-770255</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-753110</wp:posOffset>
            </wp:positionV>
            <wp:extent cx="514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measurement of segment performance is adjusted EBITDA (earnings before interest, income taxes, depreciation and amortization). The Company defines adjusted EBITDA as operating income (loss), adjusted to exclude depreciation, amortization of intangible assets, restructuring costs, asset impairments, equity-based compensation, transaction, transformation and integration costs and other items that the Company believes are useful to exclude in the evaluation of operating performance from period to period because these items are not representative of the Company’s core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net sales, adjusted EBITDA, depreciation expense and additions to property, plant and equipment by reportable segment: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09"/>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CCS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1,007.7</w:t>
            </w:r>
          </w:p>
        </w:tc>
        <w:tc>
          <w:tcPr>
            <w:tcW w:w="3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787.6</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2,832.4</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2,247.9</w:t>
            </w: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382.1</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357.5</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1,163.1</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NICS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342.3</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338.0</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952.4</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Home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Pr>
          <w:p>
            <w:pPr>
              <w:spacing w:after="0"/>
              <w:rPr>
                <w:sz w:val="18"/>
                <w:szCs w:val="18"/>
                <w:color w:val="auto"/>
              </w:rPr>
            </w:pPr>
          </w:p>
        </w:tc>
      </w:tr>
      <w:tr>
        <w:trPr>
          <w:trHeight w:val="249"/>
        </w:trPr>
        <w:tc>
          <w:tcPr>
            <w:tcW w:w="52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2,381.4</w:t>
            </w:r>
          </w:p>
        </w:tc>
        <w:tc>
          <w:tcPr>
            <w:tcW w:w="32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auto"/>
            </w:tcBorders>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2,105.3</w:t>
            </w:r>
          </w:p>
        </w:tc>
        <w:tc>
          <w:tcPr>
            <w:tcW w:w="3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6,910.2</w:t>
            </w:r>
          </w:p>
        </w:tc>
        <w:tc>
          <w:tcPr>
            <w:tcW w:w="32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auto"/>
            </w:tcBorders>
            <w:shd w:val="clear" w:color="auto" w:fill="CCEC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6,362.6</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196"/>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CCS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188.2</w:t>
            </w:r>
          </w:p>
        </w:tc>
        <w:tc>
          <w:tcPr>
            <w:tcW w:w="3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121.1</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455.6</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60.3</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228.6</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NICS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(8.6 )</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(4.4 )</w:t>
            </w: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(21.5 )</w:t>
            </w: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57.8</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101.8</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189.9</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Home</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(5.3 )</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(15.5 )</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09"/>
        </w:trPr>
        <w:tc>
          <w:tcPr>
            <w:tcW w:w="5220" w:type="dxa"/>
            <w:vAlign w:val="bottom"/>
            <w:shd w:val="clear" w:color="auto" w:fill="CCECFF"/>
          </w:tcPr>
          <w:p>
            <w:pPr>
              <w:ind w:left="160"/>
              <w:spacing w:after="0"/>
              <w:rPr>
                <w:sz w:val="20"/>
                <w:szCs w:val="20"/>
                <w:color w:val="auto"/>
              </w:rPr>
            </w:pPr>
            <w:r>
              <w:rPr>
                <w:rFonts w:ascii="Arial" w:cs="Arial" w:eastAsia="Arial" w:hAnsi="Arial"/>
                <w:sz w:val="18"/>
                <w:szCs w:val="18"/>
                <w:color w:val="auto"/>
              </w:rPr>
              <w:t>Total segment adjusted EBITDA</w:t>
            </w:r>
          </w:p>
        </w:tc>
        <w:tc>
          <w:tcPr>
            <w:tcW w:w="220" w:type="dxa"/>
            <w:vAlign w:val="bottom"/>
            <w:tcBorders>
              <w:top w:val="single" w:sz="8" w:color="auto"/>
            </w:tcBorders>
            <w:shd w:val="clear" w:color="auto" w:fill="CCECFF"/>
          </w:tcPr>
          <w:p>
            <w:pPr>
              <w:spacing w:after="0"/>
              <w:rPr>
                <w:sz w:val="18"/>
                <w:szCs w:val="18"/>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347.6</w:t>
            </w:r>
          </w:p>
        </w:tc>
        <w:tc>
          <w:tcPr>
            <w:tcW w:w="320" w:type="dxa"/>
            <w:vAlign w:val="bottom"/>
            <w:shd w:val="clear" w:color="auto" w:fill="CCECFF"/>
          </w:tcPr>
          <w:p>
            <w:pPr>
              <w:spacing w:after="0"/>
              <w:rPr>
                <w:sz w:val="18"/>
                <w:szCs w:val="18"/>
                <w:color w:val="auto"/>
              </w:rPr>
            </w:pPr>
          </w:p>
        </w:tc>
        <w:tc>
          <w:tcPr>
            <w:tcW w:w="460" w:type="dxa"/>
            <w:vAlign w:val="bottom"/>
            <w:tcBorders>
              <w:top w:val="single" w:sz="8" w:color="auto"/>
            </w:tcBorders>
            <w:shd w:val="clear" w:color="auto" w:fill="CCECFF"/>
          </w:tcPr>
          <w:p>
            <w:pPr>
              <w:spacing w:after="0"/>
              <w:rPr>
                <w:sz w:val="18"/>
                <w:szCs w:val="18"/>
                <w:color w:val="auto"/>
              </w:rPr>
            </w:pP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259.1</w:t>
            </w:r>
          </w:p>
        </w:tc>
        <w:tc>
          <w:tcPr>
            <w:tcW w:w="300" w:type="dxa"/>
            <w:vAlign w:val="bottom"/>
            <w:shd w:val="clear" w:color="auto" w:fill="CCECFF"/>
          </w:tcPr>
          <w:p>
            <w:pPr>
              <w:spacing w:after="0"/>
              <w:rPr>
                <w:sz w:val="18"/>
                <w:szCs w:val="18"/>
                <w:color w:val="auto"/>
              </w:rPr>
            </w:pPr>
          </w:p>
        </w:tc>
        <w:tc>
          <w:tcPr>
            <w:tcW w:w="300" w:type="dxa"/>
            <w:vAlign w:val="bottom"/>
            <w:tcBorders>
              <w:top w:val="single" w:sz="8" w:color="auto"/>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900.5</w:t>
            </w:r>
          </w:p>
        </w:tc>
        <w:tc>
          <w:tcPr>
            <w:tcW w:w="320" w:type="dxa"/>
            <w:vAlign w:val="bottom"/>
            <w:shd w:val="clear" w:color="auto" w:fill="CCECFF"/>
          </w:tcPr>
          <w:p>
            <w:pPr>
              <w:spacing w:after="0"/>
              <w:rPr>
                <w:sz w:val="18"/>
                <w:szCs w:val="18"/>
                <w:color w:val="auto"/>
              </w:rPr>
            </w:pPr>
          </w:p>
        </w:tc>
        <w:tc>
          <w:tcPr>
            <w:tcW w:w="480" w:type="dxa"/>
            <w:vAlign w:val="bottom"/>
            <w:tcBorders>
              <w:top w:val="single" w:sz="8" w:color="auto"/>
            </w:tcBorders>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856.4</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(134.6 )</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(153.0 )</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(414.3 )</w:t>
            </w: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(461.9 )</w:t>
            </w:r>
          </w:p>
        </w:tc>
      </w:tr>
      <w:tr>
        <w:trPr>
          <w:trHeight w:val="21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Restructuring (costs) credits, net</w:t>
            </w:r>
          </w:p>
        </w:tc>
        <w:tc>
          <w:tcPr>
            <w:tcW w:w="2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(2.5 )</w:t>
            </w: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(53.1 )</w:t>
            </w:r>
          </w:p>
        </w:tc>
        <w:tc>
          <w:tcPr>
            <w:tcW w:w="48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(100.2 )</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(16.4 )</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(45.3 )</w:t>
            </w: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(61.0 )</w:t>
            </w:r>
          </w:p>
        </w:tc>
      </w:tr>
      <w:tr>
        <w:trPr>
          <w:trHeight w:val="21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Transaction, transformation and integration costs</w:t>
            </w:r>
          </w:p>
        </w:tc>
        <w:tc>
          <w:tcPr>
            <w:tcW w:w="2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(5.9 )</w:t>
            </w:r>
          </w:p>
        </w:tc>
        <w:tc>
          <w:tcPr>
            <w:tcW w:w="4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(26.2 )</w:t>
            </w:r>
          </w:p>
        </w:tc>
        <w:tc>
          <w:tcPr>
            <w:tcW w:w="3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(36.4 )</w:t>
            </w:r>
          </w:p>
        </w:tc>
        <w:tc>
          <w:tcPr>
            <w:tcW w:w="48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(62.7 )</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Acquisition accounting adjustments</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(1.8 )</w:t>
            </w:r>
          </w:p>
        </w:tc>
        <w:tc>
          <w:tcPr>
            <w:tcW w:w="4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(2.8 )</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(5.4 )</w:t>
            </w:r>
          </w:p>
        </w:tc>
        <w:tc>
          <w:tcPr>
            <w:tcW w:w="4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(9.0 )</w:t>
            </w:r>
          </w:p>
        </w:tc>
      </w:tr>
      <w:tr>
        <w:trPr>
          <w:trHeight w:val="21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Patent claims and litigation settlements</w:t>
            </w:r>
          </w:p>
        </w:tc>
        <w:tc>
          <w:tcPr>
            <w:tcW w:w="2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(0.1 )</w:t>
            </w:r>
          </w:p>
        </w:tc>
        <w:tc>
          <w:tcPr>
            <w:tcW w:w="4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(5.0 )</w:t>
            </w:r>
          </w:p>
        </w:tc>
        <w:tc>
          <w:tcPr>
            <w:tcW w:w="3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(2.3 )</w:t>
            </w:r>
          </w:p>
        </w:tc>
        <w:tc>
          <w:tcPr>
            <w:tcW w:w="48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(46.5 )</w:t>
            </w: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Recovery (reserve) of Russian accounts receivable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(2.7 )</w:t>
            </w:r>
          </w:p>
        </w:tc>
        <w:tc>
          <w:tcPr>
            <w:tcW w:w="4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(31.8 )</w:t>
            </w:r>
          </w:p>
        </w:tc>
        <w:tc>
          <w:tcPr>
            <w:tcW w:w="46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(33.2 )</w:t>
            </w:r>
          </w:p>
        </w:tc>
        <w:tc>
          <w:tcPr>
            <w:tcW w:w="300" w:type="dxa"/>
            <w:vAlign w:val="bottom"/>
            <w:shd w:val="clear" w:color="auto" w:fill="CCECFF"/>
          </w:tcPr>
          <w:p>
            <w:pPr>
              <w:spacing w:after="0"/>
              <w:rPr>
                <w:sz w:val="18"/>
                <w:szCs w:val="18"/>
                <w:color w:val="auto"/>
              </w:rPr>
            </w:pPr>
          </w:p>
        </w:tc>
        <w:tc>
          <w:tcPr>
            <w:tcW w:w="13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(95.5 )</w:t>
            </w:r>
          </w:p>
        </w:tc>
        <w:tc>
          <w:tcPr>
            <w:tcW w:w="48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(103.6 )</w:t>
            </w:r>
          </w:p>
        </w:tc>
      </w:tr>
      <w:tr>
        <w:trPr>
          <w:trHeight w:val="209"/>
        </w:trPr>
        <w:tc>
          <w:tcPr>
            <w:tcW w:w="522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Consolidated operating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320" w:type="dxa"/>
            <w:vAlign w:val="bottom"/>
            <w:tcBorders>
              <w:top w:val="single" w:sz="8" w:color="CCEC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Borders>
              <w:top w:val="single" w:sz="8" w:color="CCEC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320" w:type="dxa"/>
            <w:vAlign w:val="bottom"/>
            <w:tcBorders>
              <w:top w:val="single" w:sz="8" w:color="CCEC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CFF"/>
            </w:tcBorders>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CCS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43.2</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OWN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NICS</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ANS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22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Borders>
              <w:bottom w:val="single" w:sz="8" w:color="CCECFF"/>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Consolidated depreciation expense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3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86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0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480" w:type="dxa"/>
            <w:vAlign w:val="bottom"/>
            <w:shd w:val="clear" w:color="auto" w:fill="CCECFF"/>
          </w:tcPr>
          <w:p>
            <w:pPr>
              <w:spacing w:after="0"/>
              <w:rPr>
                <w:sz w:val="17"/>
                <w:szCs w:val="17"/>
                <w:color w:val="auto"/>
              </w:rPr>
            </w:pPr>
          </w:p>
        </w:tc>
        <w:tc>
          <w:tcPr>
            <w:tcW w:w="8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6"/>
        </w:trPr>
        <w:tc>
          <w:tcPr>
            <w:tcW w:w="522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CCS</w:t>
            </w: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51.8</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OWN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52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NICS</w:t>
            </w:r>
          </w:p>
        </w:tc>
        <w:tc>
          <w:tcPr>
            <w:tcW w:w="22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CFF"/>
          </w:tcPr>
          <w:p>
            <w:pPr>
              <w:spacing w:after="0"/>
              <w:rPr>
                <w:sz w:val="18"/>
                <w:szCs w:val="18"/>
                <w:color w:val="auto"/>
              </w:rPr>
            </w:pPr>
          </w:p>
        </w:tc>
      </w:tr>
      <w:tr>
        <w:trPr>
          <w:trHeight w:val="216"/>
        </w:trPr>
        <w:tc>
          <w:tcPr>
            <w:tcW w:w="5220" w:type="dxa"/>
            <w:vAlign w:val="bottom"/>
          </w:tcPr>
          <w:p>
            <w:pPr>
              <w:ind w:left="200"/>
              <w:spacing w:after="0"/>
              <w:rPr>
                <w:sz w:val="20"/>
                <w:szCs w:val="20"/>
                <w:color w:val="auto"/>
              </w:rPr>
            </w:pPr>
            <w:r>
              <w:rPr>
                <w:rFonts w:ascii="Arial" w:cs="Arial" w:eastAsia="Arial" w:hAnsi="Arial"/>
                <w:sz w:val="18"/>
                <w:szCs w:val="18"/>
                <w:color w:val="auto"/>
              </w:rPr>
              <w:t>ANS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220" w:type="dxa"/>
            <w:vAlign w:val="bottom"/>
            <w:tcBorders>
              <w:bottom w:val="single" w:sz="8" w:color="auto"/>
            </w:tcBorders>
            <w:shd w:val="clear" w:color="auto" w:fill="CCECFF"/>
          </w:tcPr>
          <w:p>
            <w:pPr>
              <w:spacing w:after="0"/>
              <w:rPr>
                <w:sz w:val="18"/>
                <w:szCs w:val="18"/>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CFF"/>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220" w:type="dxa"/>
            <w:vAlign w:val="bottom"/>
          </w:tcPr>
          <w:p>
            <w:pPr>
              <w:ind w:left="20"/>
              <w:spacing w:after="0"/>
              <w:rPr>
                <w:sz w:val="20"/>
                <w:szCs w:val="20"/>
                <w:color w:val="auto"/>
              </w:rPr>
            </w:pPr>
            <w:r>
              <w:rPr>
                <w:rFonts w:ascii="Arial" w:cs="Arial" w:eastAsia="Arial" w:hAnsi="Arial"/>
                <w:sz w:val="18"/>
                <w:szCs w:val="18"/>
                <w:color w:val="auto"/>
              </w:rPr>
              <w:t>Consolidated additions to property, plant and equipment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4"/>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52"/>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9"/>
        </w:trPr>
        <w:tc>
          <w:tcPr>
            <w:tcW w:w="5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-5401945</wp:posOffset>
            </wp:positionV>
            <wp:extent cx="3168015"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68015" cy="1625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-3176270</wp:posOffset>
            </wp:positionV>
            <wp:extent cx="7683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-3176270</wp:posOffset>
            </wp:positionV>
            <wp:extent cx="6858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-3176270</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-3176270</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-2045970</wp:posOffset>
            </wp:positionV>
            <wp:extent cx="76835"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-2045970</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-2045970</wp:posOffset>
            </wp:positionV>
            <wp:extent cx="685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-915670</wp:posOffset>
            </wp:positionV>
            <wp:extent cx="76835"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-915670</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-915670</wp:posOffset>
            </wp:positionV>
            <wp:extent cx="685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ind w:right="380"/>
        <w:spacing w:after="0" w:line="307" w:lineRule="auto"/>
        <w:rPr>
          <w:sz w:val="20"/>
          <w:szCs w:val="20"/>
          <w:color w:val="auto"/>
        </w:rPr>
      </w:pPr>
      <w:r>
        <w:rPr>
          <w:rFonts w:ascii="Arial" w:cs="Arial" w:eastAsia="Arial" w:hAnsi="Arial"/>
          <w:sz w:val="17"/>
          <w:szCs w:val="17"/>
          <w:color w:val="auto"/>
        </w:rPr>
        <w:t>Sales to customers located outside of the U.S. comprised 37.2% and 38.3% of total net sales for the three and nine months ended September 30, 2022, respectively, compared to 42.9% and 42.7% of total net sales for the three and nine months ended September 30, 2021,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presents net sales by reportable segment, disaggregated based on geographic region:</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Geographic Region: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 Middle East and Africa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Asia Pacific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Caribbean and Latin America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Canada</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RESTRUCTURING COSTS (CREDITS), NET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 September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CCS</w:t>
            </w:r>
          </w:p>
        </w:tc>
        <w:tc>
          <w:tcPr>
            <w:tcW w:w="260" w:type="dxa"/>
            <w:vAlign w:val="bottom"/>
            <w:tcBorders>
              <w:top w:val="single" w:sz="8" w:color="auto"/>
            </w:tcBorders>
            <w:gridSpan w:val="2"/>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NICS</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ANS</w:t>
            </w:r>
          </w:p>
        </w:tc>
        <w:tc>
          <w:tcPr>
            <w:tcW w:w="200" w:type="dxa"/>
            <w:vAlign w:val="bottom"/>
            <w:tcBorders>
              <w:top w:val="single" w:sz="8" w:color="auto"/>
            </w:tcBorders>
            <w:gridSpan w:val="2"/>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Home</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411"/>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678.6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277.0</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146.7</w:t>
            </w:r>
          </w:p>
        </w:tc>
        <w:tc>
          <w:tcPr>
            <w:tcW w:w="20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88"/>
              </w:rPr>
              <w:t>157.7</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1,495.1</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91.2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22.5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44.6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w w:val="91"/>
              </w:rPr>
              <w:t>75.4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r>
      <w:tr>
        <w:trPr>
          <w:trHeight w:val="209"/>
        </w:trPr>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88"/>
              </w:rPr>
              <w:t>391.4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2,381.4</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2"/>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CCS</w:t>
            </w:r>
          </w:p>
        </w:tc>
        <w:tc>
          <w:tcPr>
            <w:tcW w:w="26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NICS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ANS</w:t>
            </w:r>
          </w:p>
        </w:tc>
        <w:tc>
          <w:tcPr>
            <w:tcW w:w="200" w:type="dxa"/>
            <w:vAlign w:val="bottom"/>
            <w:gridSpan w:val="2"/>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Home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411"/>
        </w:trPr>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465.6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227.9</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123.3</w:t>
            </w:r>
          </w:p>
        </w:tc>
        <w:tc>
          <w:tcPr>
            <w:tcW w:w="200" w:type="dxa"/>
            <w:vAlign w:val="bottom"/>
          </w:tcPr>
          <w:p>
            <w:pPr>
              <w:spacing w:after="0"/>
              <w:rPr>
                <w:sz w:val="24"/>
                <w:szCs w:val="24"/>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189.0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88"/>
              </w:rPr>
              <w:t>196.0</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1,201.8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88"/>
              </w:rPr>
              <w:t>107.5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24.1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32.4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156.2</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55.1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09"/>
        </w:trPr>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w w:val="88"/>
              </w:rPr>
              <w:t>415.1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2,105.3</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September 30, 2022</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CCS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NICS</w:t>
            </w:r>
          </w:p>
        </w:tc>
        <w:tc>
          <w:tcPr>
            <w:tcW w:w="2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ANS</w:t>
            </w:r>
          </w:p>
        </w:tc>
        <w:tc>
          <w:tcPr>
            <w:tcW w:w="2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Home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411"/>
        </w:trPr>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1,858.5</w:t>
            </w:r>
          </w:p>
        </w:tc>
        <w:tc>
          <w:tcPr>
            <w:tcW w:w="240" w:type="dxa"/>
            <w:vAlign w:val="bottom"/>
          </w:tcPr>
          <w:p>
            <w:pPr>
              <w:spacing w:after="0"/>
              <w:rPr>
                <w:sz w:val="24"/>
                <w:szCs w:val="24"/>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840.1</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630.0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380"/>
              <w:spacing w:after="0"/>
              <w:rPr>
                <w:sz w:val="20"/>
                <w:szCs w:val="20"/>
                <w:color w:val="auto"/>
              </w:rPr>
            </w:pPr>
            <w:r>
              <w:rPr>
                <w:rFonts w:ascii="Arial" w:cs="Arial" w:eastAsia="Arial" w:hAnsi="Arial"/>
                <w:sz w:val="18"/>
                <w:szCs w:val="18"/>
                <w:color w:val="auto"/>
                <w:w w:val="88"/>
              </w:rPr>
              <w:t>565.0</w:t>
            </w:r>
          </w:p>
        </w:tc>
        <w:tc>
          <w:tcPr>
            <w:tcW w:w="20" w:type="dxa"/>
            <w:vAlign w:val="bottom"/>
          </w:tcPr>
          <w:p>
            <w:pPr>
              <w:spacing w:after="0"/>
              <w:rPr>
                <w:sz w:val="24"/>
                <w:szCs w:val="24"/>
                <w:color w:val="auto"/>
              </w:rPr>
            </w:pP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4,266.5</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318.4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1,180.8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637.4</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150.7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461.3</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211.3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2,832.4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1,163.1</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6,910.2</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2"/>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3"/>
              </w:rPr>
              <w:t>Nine Months Ended September 30, 2021</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CCS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NICS</w:t>
            </w:r>
          </w:p>
        </w:tc>
        <w:tc>
          <w:tcPr>
            <w:tcW w:w="2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ANS</w:t>
            </w:r>
          </w:p>
        </w:tc>
        <w:tc>
          <w:tcPr>
            <w:tcW w:w="2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Home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Total</w:t>
            </w:r>
          </w:p>
        </w:tc>
      </w:tr>
      <w:tr>
        <w:trPr>
          <w:trHeight w:val="411"/>
        </w:trPr>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1,320.6</w:t>
            </w:r>
          </w:p>
        </w:tc>
        <w:tc>
          <w:tcPr>
            <w:tcW w:w="240" w:type="dxa"/>
            <w:vAlign w:val="bottom"/>
          </w:tcPr>
          <w:p>
            <w:pPr>
              <w:spacing w:after="0"/>
              <w:rPr>
                <w:sz w:val="24"/>
                <w:szCs w:val="24"/>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349.5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639.7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39"/>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380"/>
              <w:spacing w:after="0"/>
              <w:rPr>
                <w:sz w:val="20"/>
                <w:szCs w:val="20"/>
                <w:color w:val="auto"/>
              </w:rPr>
            </w:pPr>
            <w:r>
              <w:rPr>
                <w:rFonts w:ascii="Arial" w:cs="Arial" w:eastAsia="Arial" w:hAnsi="Arial"/>
                <w:sz w:val="18"/>
                <w:szCs w:val="18"/>
                <w:color w:val="auto"/>
                <w:w w:val="88"/>
              </w:rPr>
              <w:t>687.4</w:t>
            </w:r>
          </w:p>
        </w:tc>
        <w:tc>
          <w:tcPr>
            <w:tcW w:w="20" w:type="dxa"/>
            <w:vAlign w:val="bottom"/>
          </w:tcPr>
          <w:p>
            <w:pPr>
              <w:spacing w:after="0"/>
              <w:rPr>
                <w:sz w:val="24"/>
                <w:szCs w:val="24"/>
                <w:color w:val="auto"/>
              </w:rPr>
            </w:pPr>
          </w:p>
        </w:tc>
        <w:tc>
          <w:tcPr>
            <w:tcW w:w="4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3,647.9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406.3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330.0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1,213.3</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339.0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697.9</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ind w:left="380"/>
              <w:spacing w:after="0"/>
              <w:rPr>
                <w:sz w:val="20"/>
                <w:szCs w:val="20"/>
                <w:color w:val="auto"/>
              </w:rPr>
            </w:pPr>
            <w:r>
              <w:rPr>
                <w:rFonts w:ascii="Arial" w:cs="Arial" w:eastAsia="Arial" w:hAnsi="Arial"/>
                <w:sz w:val="18"/>
                <w:szCs w:val="18"/>
                <w:color w:val="auto"/>
                <w:w w:val="88"/>
              </w:rPr>
              <w:t>169.7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538.6</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120.3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r>
      <w:tr>
        <w:trPr>
          <w:trHeight w:val="209"/>
        </w:trPr>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2,247.9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6,362.6</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-5316855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-5042535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-4768850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-4486275</wp:posOffset>
            </wp:positionV>
            <wp:extent cx="7132320" cy="6934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69342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-3655695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-3381375</wp:posOffset>
            </wp:positionV>
            <wp:extent cx="71323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-3098800</wp:posOffset>
            </wp:positionV>
            <wp:extent cx="713232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-2397125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-2122805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-1849120</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-1566545</wp:posOffset>
            </wp:positionV>
            <wp:extent cx="7132320" cy="7105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71056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-718820</wp:posOffset>
            </wp:positionV>
            <wp:extent cx="71323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-444500</wp:posOffset>
            </wp:positionV>
            <wp:extent cx="71323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-161925</wp:posOffset>
            </wp:positionV>
            <wp:extent cx="7132320"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98" w:lineRule="exact"/>
        <w:rPr>
          <w:sz w:val="20"/>
          <w:szCs w:val="20"/>
          <w:color w:val="auto"/>
        </w:rPr>
      </w:pPr>
    </w:p>
    <w:p>
      <w:pPr>
        <w:sectPr>
          <w:pgSz w:w="11900" w:h="16838" w:orient="portrait"/>
          <w:cols w:equalWidth="0" w:num="2">
            <w:col w:w="3820" w:space="160"/>
            <w:col w:w="7200"/>
          </w:cols>
          <w:pgMar w:left="320" w:top="121" w:right="399" w:bottom="1440" w:gutter="0" w:footer="0" w:header="0"/>
          <w:type w:val="continuous"/>
        </w:sectPr>
      </w:pPr>
    </w:p>
    <w:p>
      <w:pPr>
        <w:spacing w:after="0" w:line="255" w:lineRule="auto"/>
        <w:rPr>
          <w:sz w:val="20"/>
          <w:szCs w:val="20"/>
          <w:color w:val="auto"/>
        </w:rPr>
      </w:pPr>
      <w:r>
        <w:rPr>
          <w:rFonts w:ascii="Arial" w:cs="Arial" w:eastAsia="Arial" w:hAnsi="Arial"/>
          <w:sz w:val="18"/>
          <w:szCs w:val="18"/>
          <w:color w:val="auto"/>
        </w:rPr>
        <w:t>The Company incurs costs associated with restructuring initiatives intended to improve overall operating performance and profitability. The costs related to restructuring actions are generally cash-based and primarily consist of employee-related costs, which include severance and other one-time termination benefits.</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183"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 addition to the employee-related costs, the Company also records other costs associated with restructuring actions such as the gain or loss on the sale of facilities and impairment costs arising from unutilized real estate or equipment. The Company attempts to sell or lease this unutilized space but additional impairment charges may be incurred related to these or other excess assets.</w:t>
      </w:r>
    </w:p>
    <w:p>
      <w:pPr>
        <w:spacing w:after="0" w:line="176"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Company’s net pretax restructuring activity included in restructuring costs (credits), net on the Condensed Consolidated Statements of Operations, by segment, were as follows:</w:t>
      </w:r>
    </w:p>
    <w:p>
      <w:pPr>
        <w:spacing w:after="0" w:line="12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w w:val="98"/>
              </w:rPr>
              <w:t>Three Months Ended</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1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6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1640" w:type="dxa"/>
            <w:vAlign w:val="bottom"/>
            <w:shd w:val="clear" w:color="auto" w:fill="CCECFF"/>
          </w:tcPr>
          <w:p>
            <w:pPr>
              <w:spacing w:after="0"/>
              <w:rPr>
                <w:sz w:val="20"/>
                <w:szCs w:val="20"/>
                <w:color w:val="auto"/>
              </w:rPr>
            </w:pPr>
            <w:r>
              <w:rPr>
                <w:rFonts w:ascii="Arial" w:cs="Arial" w:eastAsia="Arial" w:hAnsi="Arial"/>
                <w:sz w:val="18"/>
                <w:szCs w:val="18"/>
                <w:color w:val="auto"/>
              </w:rPr>
              <w:t>CCS</w:t>
            </w:r>
          </w:p>
        </w:tc>
        <w:tc>
          <w:tcPr>
            <w:tcW w:w="980" w:type="dxa"/>
            <w:vAlign w:val="bottom"/>
            <w:tcBorders>
              <w:top w:val="single" w:sz="8" w:color="auto"/>
            </w:tcBorders>
            <w:shd w:val="clear" w:color="auto" w:fill="CCEC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CFF"/>
          </w:tcPr>
          <w:p>
            <w:pPr>
              <w:spacing w:after="0"/>
              <w:rPr>
                <w:sz w:val="18"/>
                <w:szCs w:val="18"/>
                <w:color w:val="auto"/>
              </w:rPr>
            </w:pPr>
          </w:p>
        </w:tc>
        <w:tc>
          <w:tcPr>
            <w:tcW w:w="1100" w:type="dxa"/>
            <w:vAlign w:val="bottom"/>
            <w:tcBorders>
              <w:top w:val="single" w:sz="8" w:color="auto"/>
            </w:tcBorders>
            <w:shd w:val="clear" w:color="auto" w:fill="CCEC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CFF"/>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CFF"/>
          </w:tcPr>
          <w:p>
            <w:pPr>
              <w:spacing w:after="0"/>
              <w:rPr>
                <w:sz w:val="18"/>
                <w:szCs w:val="18"/>
                <w:color w:val="auto"/>
              </w:rPr>
            </w:pPr>
          </w:p>
        </w:tc>
        <w:tc>
          <w:tcPr>
            <w:tcW w:w="600" w:type="dxa"/>
            <w:vAlign w:val="bottom"/>
            <w:tcBorders>
              <w:top w:val="single" w:sz="8" w:color="auto"/>
            </w:tcBorders>
            <w:shd w:val="clear" w:color="auto" w:fill="CCECFF"/>
          </w:tcPr>
          <w:p>
            <w:pPr>
              <w:jc w:val="right"/>
              <w:ind w:right="4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C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OWN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16"/>
        </w:trPr>
        <w:tc>
          <w:tcPr>
            <w:tcW w:w="1640" w:type="dxa"/>
            <w:vAlign w:val="bottom"/>
            <w:shd w:val="clear" w:color="auto" w:fill="CCECFF"/>
          </w:tcPr>
          <w:p>
            <w:pPr>
              <w:spacing w:after="0"/>
              <w:rPr>
                <w:sz w:val="20"/>
                <w:szCs w:val="20"/>
                <w:color w:val="auto"/>
              </w:rPr>
            </w:pPr>
            <w:r>
              <w:rPr>
                <w:rFonts w:ascii="Arial" w:cs="Arial" w:eastAsia="Arial" w:hAnsi="Arial"/>
                <w:sz w:val="18"/>
                <w:szCs w:val="18"/>
                <w:color w:val="auto"/>
              </w:rPr>
              <w:t>NICS</w:t>
            </w:r>
          </w:p>
        </w:tc>
        <w:tc>
          <w:tcPr>
            <w:tcW w:w="980" w:type="dxa"/>
            <w:vAlign w:val="bottom"/>
            <w:shd w:val="clear" w:color="auto" w:fill="CCECFF"/>
          </w:tcPr>
          <w:p>
            <w:pPr>
              <w:spacing w:after="0"/>
              <w:rPr>
                <w:sz w:val="18"/>
                <w:szCs w:val="18"/>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760" w:type="dxa"/>
            <w:vAlign w:val="bottom"/>
            <w:gridSpan w:val="2"/>
            <w:shd w:val="clear" w:color="auto" w:fill="CCECFF"/>
          </w:tcPr>
          <w:p>
            <w:pPr>
              <w:jc w:val="right"/>
              <w:ind w:right="110"/>
              <w:spacing w:after="0"/>
              <w:rPr>
                <w:sz w:val="20"/>
                <w:szCs w:val="20"/>
                <w:color w:val="auto"/>
              </w:rPr>
            </w:pPr>
            <w:r>
              <w:rPr>
                <w:rFonts w:ascii="Arial" w:cs="Arial" w:eastAsia="Arial" w:hAnsi="Arial"/>
                <w:sz w:val="18"/>
                <w:szCs w:val="18"/>
                <w:color w:val="auto"/>
              </w:rPr>
              <w:t>(0.1 )</w:t>
            </w:r>
          </w:p>
        </w:tc>
        <w:tc>
          <w:tcPr>
            <w:tcW w:w="106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CFF"/>
          </w:tcPr>
          <w:p>
            <w:pPr>
              <w:spacing w:after="0"/>
              <w:rPr>
                <w:sz w:val="18"/>
                <w:szCs w:val="18"/>
                <w:color w:val="auto"/>
              </w:rPr>
            </w:pPr>
          </w:p>
        </w:tc>
        <w:tc>
          <w:tcPr>
            <w:tcW w:w="60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C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ANS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r>
      <w:tr>
        <w:trPr>
          <w:trHeight w:val="216"/>
        </w:trPr>
        <w:tc>
          <w:tcPr>
            <w:tcW w:w="16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Home</w:t>
            </w:r>
          </w:p>
        </w:tc>
        <w:tc>
          <w:tcPr>
            <w:tcW w:w="980" w:type="dxa"/>
            <w:vAlign w:val="bottom"/>
            <w:tcBorders>
              <w:bottom w:val="single" w:sz="8" w:color="auto"/>
            </w:tcBorders>
            <w:shd w:val="clear" w:color="auto" w:fill="CCECFF"/>
          </w:tcPr>
          <w:p>
            <w:pPr>
              <w:spacing w:after="0"/>
              <w:rPr>
                <w:sz w:val="18"/>
                <w:szCs w:val="18"/>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CFF"/>
            </w:tcBorders>
            <w:shd w:val="clear" w:color="auto" w:fill="CCECFF"/>
          </w:tcPr>
          <w:p>
            <w:pPr>
              <w:spacing w:after="0"/>
              <w:rPr>
                <w:sz w:val="18"/>
                <w:szCs w:val="18"/>
                <w:color w:val="auto"/>
              </w:rPr>
            </w:pPr>
          </w:p>
        </w:tc>
        <w:tc>
          <w:tcPr>
            <w:tcW w:w="1100" w:type="dxa"/>
            <w:vAlign w:val="bottom"/>
            <w:tcBorders>
              <w:bottom w:val="single" w:sz="8" w:color="auto"/>
            </w:tcBorders>
            <w:shd w:val="clear" w:color="auto" w:fill="CCECFF"/>
          </w:tcPr>
          <w:p>
            <w:pPr>
              <w:spacing w:after="0"/>
              <w:rPr>
                <w:sz w:val="18"/>
                <w:szCs w:val="18"/>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CFF"/>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spacing w:after="0"/>
              <w:rPr>
                <w:sz w:val="18"/>
                <w:szCs w:val="18"/>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CFF"/>
            </w:tcBorders>
            <w:shd w:val="clear" w:color="auto" w:fill="CCECFF"/>
          </w:tcPr>
          <w:p>
            <w:pPr>
              <w:spacing w:after="0"/>
              <w:rPr>
                <w:sz w:val="18"/>
                <w:szCs w:val="18"/>
                <w:color w:val="auto"/>
              </w:rPr>
            </w:pPr>
          </w:p>
        </w:tc>
        <w:tc>
          <w:tcPr>
            <w:tcW w:w="600" w:type="dxa"/>
            <w:vAlign w:val="bottom"/>
            <w:tcBorders>
              <w:bottom w:val="single" w:sz="8" w:color="auto"/>
            </w:tcBorders>
            <w:shd w:val="clear" w:color="auto" w:fill="CCECFF"/>
          </w:tcPr>
          <w:p>
            <w:pPr>
              <w:spacing w:after="0"/>
              <w:rPr>
                <w:sz w:val="18"/>
                <w:szCs w:val="18"/>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164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color w:val="auto"/>
                <w:highlight w:val="white"/>
              </w:rPr>
              <w:t>)</w:t>
            </w:r>
          </w:p>
        </w:tc>
        <w:tc>
          <w:tcPr>
            <w:tcW w:w="1060" w:type="dxa"/>
            <w:vAlign w:val="bottom"/>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53.1</w:t>
            </w:r>
          </w:p>
        </w:tc>
        <w:tc>
          <w:tcPr>
            <w:tcW w:w="84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8"/>
                <w:szCs w:val="18"/>
                <w:color w:val="auto"/>
              </w:rPr>
            </w:pPr>
          </w:p>
        </w:tc>
      </w:tr>
      <w:tr>
        <w:trPr>
          <w:trHeight w:val="20"/>
        </w:trPr>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-170815</wp:posOffset>
            </wp:positionV>
            <wp:extent cx="5969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-170815</wp:posOffset>
            </wp:positionV>
            <wp:extent cx="51435"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-170815</wp:posOffset>
            </wp:positionV>
            <wp:extent cx="51435"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liabilities were included in the Company’s Condensed Consolidated Balance Sheets as follows:</w:t>
      </w:r>
    </w:p>
    <w:p>
      <w:pPr>
        <w:spacing w:after="0" w:line="39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r>
      <w:tr>
        <w:trPr>
          <w:trHeight w:val="185"/>
        </w:trPr>
        <w:tc>
          <w:tcPr>
            <w:tcW w:w="4140" w:type="dxa"/>
            <w:vAlign w:val="bottom"/>
          </w:tcPr>
          <w:p>
            <w:pPr>
              <w:spacing w:after="0"/>
              <w:rPr>
                <w:sz w:val="16"/>
                <w:szCs w:val="16"/>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09"/>
        </w:trPr>
        <w:tc>
          <w:tcPr>
            <w:tcW w:w="4140" w:type="dxa"/>
            <w:vAlign w:val="bottom"/>
            <w:shd w:val="clear" w:color="auto" w:fill="CCECFF"/>
          </w:tcPr>
          <w:p>
            <w:pPr>
              <w:spacing w:after="0"/>
              <w:rPr>
                <w:sz w:val="20"/>
                <w:szCs w:val="20"/>
                <w:color w:val="auto"/>
              </w:rPr>
            </w:pPr>
            <w:r>
              <w:rPr>
                <w:rFonts w:ascii="Arial" w:cs="Arial" w:eastAsia="Arial" w:hAnsi="Arial"/>
                <w:sz w:val="18"/>
                <w:szCs w:val="18"/>
                <w:color w:val="auto"/>
              </w:rPr>
              <w:t>Accrued and other liabilities</w:t>
            </w:r>
          </w:p>
        </w:tc>
        <w:tc>
          <w:tcPr>
            <w:tcW w:w="1300" w:type="dxa"/>
            <w:vAlign w:val="bottom"/>
            <w:shd w:val="clear" w:color="auto" w:fill="CCECFF"/>
          </w:tcPr>
          <w:p>
            <w:pPr>
              <w:jc w:val="right"/>
              <w:ind w:right="11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6"/>
              </w:rPr>
              <w:t>49.4</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C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15.4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r>
      <w:tr>
        <w:trPr>
          <w:trHeight w:val="249"/>
        </w:trPr>
        <w:tc>
          <w:tcPr>
            <w:tcW w:w="41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restructuring liabilities</w:t>
            </w:r>
          </w:p>
        </w:tc>
        <w:tc>
          <w:tcPr>
            <w:tcW w:w="1300" w:type="dxa"/>
            <w:vAlign w:val="bottom"/>
            <w:tcBorders>
              <w:bottom w:val="single" w:sz="8" w:color="auto"/>
            </w:tcBorders>
            <w:shd w:val="clear" w:color="auto" w:fill="CCECFF"/>
          </w:tcPr>
          <w:p>
            <w:pPr>
              <w:jc w:val="right"/>
              <w:ind w:right="11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6"/>
              </w:rPr>
              <w:t>64.8</w:t>
            </w:r>
          </w:p>
        </w:tc>
        <w:tc>
          <w:tcPr>
            <w:tcW w:w="3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69.2</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-24765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CommScope NEXT Restructuring Actions</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first quarter of 2021, the Company announced and began implementing a business transformation initiative called CommScope NEXT. This initiative is designed to drive shareholder value through three pillars: profitable growth, operational efficiency and portfolio optimization. The activity within the liability established for CommScope NEXT restructuring actions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220" w:type="dxa"/>
            <w:vAlign w:val="bottom"/>
          </w:tcPr>
          <w:p>
            <w:pPr>
              <w:jc w:val="center"/>
              <w:ind w:left="378"/>
              <w:spacing w:after="0"/>
              <w:rPr>
                <w:sz w:val="20"/>
                <w:szCs w:val="20"/>
                <w:color w:val="auto"/>
              </w:rPr>
            </w:pPr>
            <w:r>
              <w:rPr>
                <w:rFonts w:ascii="Arial" w:cs="Arial" w:eastAsia="Arial" w:hAnsi="Arial"/>
                <w:sz w:val="14"/>
                <w:szCs w:val="14"/>
                <w:b w:val="1"/>
                <w:bCs w:val="1"/>
                <w:color w:val="auto"/>
                <w:w w:val="90"/>
              </w:rPr>
              <w:t>Employee-</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220" w:type="dxa"/>
            <w:vAlign w:val="bottom"/>
          </w:tcPr>
          <w:p>
            <w:pPr>
              <w:jc w:val="center"/>
              <w:ind w:left="378"/>
              <w:spacing w:after="0" w:line="149" w:lineRule="exact"/>
              <w:rPr>
                <w:sz w:val="20"/>
                <w:szCs w:val="20"/>
                <w:color w:val="auto"/>
              </w:rPr>
            </w:pPr>
            <w:r>
              <w:rPr>
                <w:rFonts w:ascii="Arial" w:cs="Arial" w:eastAsia="Arial" w:hAnsi="Arial"/>
                <w:sz w:val="14"/>
                <w:szCs w:val="14"/>
                <w:b w:val="1"/>
                <w:bCs w:val="1"/>
                <w:color w:val="auto"/>
                <w:w w:val="94"/>
              </w:rPr>
              <w:t>Related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Other</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220" w:type="dxa"/>
            <w:vAlign w:val="bottom"/>
          </w:tcPr>
          <w:p>
            <w:pPr>
              <w:jc w:val="center"/>
              <w:ind w:left="378"/>
              <w:spacing w:after="0"/>
              <w:rPr>
                <w:sz w:val="20"/>
                <w:szCs w:val="20"/>
                <w:color w:val="auto"/>
              </w:rPr>
            </w:pPr>
            <w:r>
              <w:rPr>
                <w:rFonts w:ascii="Arial" w:cs="Arial" w:eastAsia="Arial" w:hAnsi="Arial"/>
                <w:sz w:val="14"/>
                <w:szCs w:val="14"/>
                <w:b w:val="1"/>
                <w:bCs w:val="1"/>
                <w:color w:val="auto"/>
                <w:w w:val="82"/>
              </w:rPr>
              <w:t>Costs</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June 30, 2022</w:t>
            </w:r>
          </w:p>
        </w:tc>
        <w:tc>
          <w:tcPr>
            <w:tcW w:w="1220" w:type="dxa"/>
            <w:vAlign w:val="bottom"/>
            <w:tcBorders>
              <w:top w:val="single" w:sz="8" w:color="auto"/>
            </w:tcBorders>
            <w:shd w:val="clear" w:color="auto" w:fill="CCECFF"/>
          </w:tcPr>
          <w:p>
            <w:pPr>
              <w:jc w:val="right"/>
              <w:ind w:right="10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77.4</w:t>
            </w:r>
          </w:p>
        </w:tc>
        <w:tc>
          <w:tcPr>
            <w:tcW w:w="420" w:type="dxa"/>
            <w:vAlign w:val="bottom"/>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jc w:val="right"/>
              <w:ind w:right="9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340" w:type="dxa"/>
            <w:vAlign w:val="bottom"/>
            <w:tcBorders>
              <w:top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w:t>
            </w:r>
          </w:p>
        </w:tc>
        <w:tc>
          <w:tcPr>
            <w:tcW w:w="12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w w:val="96"/>
              </w:rPr>
              <w:t>(10.1 )</w:t>
            </w:r>
          </w:p>
        </w:tc>
        <w:tc>
          <w:tcPr>
            <w:tcW w:w="112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Foreign exchange and other non-cash items</w:t>
            </w:r>
          </w:p>
        </w:tc>
        <w:tc>
          <w:tcPr>
            <w:tcW w:w="12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(3.9 )</w:t>
            </w:r>
          </w:p>
        </w:tc>
        <w:tc>
          <w:tcPr>
            <w:tcW w:w="1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(1.9 )</w:t>
            </w: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September 30, 2022</w:t>
            </w:r>
          </w:p>
        </w:tc>
        <w:tc>
          <w:tcPr>
            <w:tcW w:w="1220" w:type="dxa"/>
            <w:vAlign w:val="bottom"/>
            <w:tcBorders>
              <w:top w:val="single" w:sz="8" w:color="auto"/>
              <w:bottom w:val="single" w:sz="8" w:color="auto"/>
            </w:tcBorders>
            <w:shd w:val="clear" w:color="auto" w:fill="CCECFF"/>
          </w:tcPr>
          <w:p>
            <w:pPr>
              <w:jc w:val="right"/>
              <w:ind w:right="10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63.6</w:t>
            </w:r>
          </w:p>
        </w:tc>
        <w:tc>
          <w:tcPr>
            <w:tcW w:w="4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top w:val="single" w:sz="8" w:color="auto"/>
              <w:bottom w:val="single" w:sz="8" w:color="auto"/>
            </w:tcBorders>
            <w:shd w:val="clear" w:color="auto" w:fill="CCECFF"/>
          </w:tcPr>
          <w:p>
            <w:pPr>
              <w:jc w:val="right"/>
              <w:ind w:right="9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December 31, 2021</w:t>
            </w:r>
          </w:p>
        </w:tc>
        <w:tc>
          <w:tcPr>
            <w:tcW w:w="1220" w:type="dxa"/>
            <w:vAlign w:val="bottom"/>
            <w:shd w:val="clear" w:color="auto" w:fill="CCECFF"/>
          </w:tcPr>
          <w:p>
            <w:pPr>
              <w:jc w:val="right"/>
              <w:ind w:right="103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60.6</w:t>
            </w:r>
          </w:p>
        </w:tc>
        <w:tc>
          <w:tcPr>
            <w:tcW w:w="420" w:type="dxa"/>
            <w:vAlign w:val="bottom"/>
            <w:shd w:val="clear" w:color="auto" w:fill="CCECFF"/>
          </w:tcPr>
          <w:p>
            <w:pPr>
              <w:spacing w:after="0"/>
              <w:rPr>
                <w:sz w:val="18"/>
                <w:szCs w:val="18"/>
                <w:color w:val="auto"/>
              </w:rPr>
            </w:pPr>
          </w:p>
        </w:tc>
        <w:tc>
          <w:tcPr>
            <w:tcW w:w="1120" w:type="dxa"/>
            <w:vAlign w:val="bottom"/>
            <w:shd w:val="clear" w:color="auto" w:fill="CCECFF"/>
          </w:tcPr>
          <w:p>
            <w:pPr>
              <w:jc w:val="right"/>
              <w:ind w:right="93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C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40.6</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w:t>
            </w:r>
          </w:p>
        </w:tc>
        <w:tc>
          <w:tcPr>
            <w:tcW w:w="12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360"/>
              <w:spacing w:after="0"/>
              <w:rPr>
                <w:sz w:val="20"/>
                <w:szCs w:val="20"/>
                <w:color w:val="auto"/>
              </w:rPr>
            </w:pPr>
            <w:r>
              <w:rPr>
                <w:rFonts w:ascii="Arial" w:cs="Arial" w:eastAsia="Arial" w:hAnsi="Arial"/>
                <w:sz w:val="18"/>
                <w:szCs w:val="18"/>
                <w:color w:val="auto"/>
                <w:w w:val="96"/>
              </w:rPr>
              <w:t>(29.1 )</w:t>
            </w:r>
          </w:p>
        </w:tc>
        <w:tc>
          <w:tcPr>
            <w:tcW w:w="112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(0.5 )</w:t>
            </w:r>
          </w:p>
        </w:tc>
        <w:tc>
          <w:tcPr>
            <w:tcW w:w="340" w:type="dxa"/>
            <w:vAlign w:val="bottom"/>
            <w:shd w:val="clear" w:color="auto" w:fill="CCECFF"/>
          </w:tcPr>
          <w:p>
            <w:pPr>
              <w:spacing w:after="0"/>
              <w:rPr>
                <w:sz w:val="18"/>
                <w:szCs w:val="18"/>
                <w:color w:val="auto"/>
              </w:rPr>
            </w:pPr>
          </w:p>
        </w:tc>
        <w:tc>
          <w:tcPr>
            <w:tcW w:w="12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Arial" w:cs="Arial" w:eastAsia="Arial" w:hAnsi="Arial"/>
                <w:sz w:val="18"/>
                <w:szCs w:val="18"/>
                <w:color w:val="auto"/>
              </w:rPr>
              <w:t>Foreign exchange and other non-cash items</w:t>
            </w:r>
          </w:p>
        </w:tc>
        <w:tc>
          <w:tcPr>
            <w:tcW w:w="12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(8.5 )</w:t>
            </w:r>
          </w:p>
        </w:tc>
        <w:tc>
          <w:tcPr>
            <w:tcW w:w="1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(8.1 )</w:t>
            </w:r>
          </w:p>
        </w:tc>
        <w:tc>
          <w:tcPr>
            <w:tcW w:w="3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49"/>
        </w:trPr>
        <w:tc>
          <w:tcPr>
            <w:tcW w:w="56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September 30, 2022</w:t>
            </w:r>
          </w:p>
        </w:tc>
        <w:tc>
          <w:tcPr>
            <w:tcW w:w="1220" w:type="dxa"/>
            <w:vAlign w:val="bottom"/>
            <w:tcBorders>
              <w:top w:val="single" w:sz="8" w:color="auto"/>
              <w:bottom w:val="single" w:sz="8" w:color="auto"/>
            </w:tcBorders>
            <w:shd w:val="clear" w:color="auto" w:fill="CCECFF"/>
          </w:tcPr>
          <w:p>
            <w:pPr>
              <w:jc w:val="right"/>
              <w:ind w:right="10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63.6</w:t>
            </w:r>
          </w:p>
        </w:tc>
        <w:tc>
          <w:tcPr>
            <w:tcW w:w="420" w:type="dxa"/>
            <w:vAlign w:val="bottom"/>
            <w:tcBorders>
              <w:bottom w:val="single" w:sz="8" w:color="CCECFF"/>
            </w:tcBorders>
            <w:shd w:val="clear" w:color="auto" w:fill="CCECFF"/>
          </w:tcPr>
          <w:p>
            <w:pPr>
              <w:spacing w:after="0"/>
              <w:rPr>
                <w:sz w:val="21"/>
                <w:szCs w:val="21"/>
                <w:color w:val="auto"/>
              </w:rPr>
            </w:pPr>
          </w:p>
        </w:tc>
        <w:tc>
          <w:tcPr>
            <w:tcW w:w="1120" w:type="dxa"/>
            <w:vAlign w:val="bottom"/>
            <w:tcBorders>
              <w:top w:val="single" w:sz="8" w:color="auto"/>
              <w:bottom w:val="single" w:sz="8" w:color="auto"/>
            </w:tcBorders>
            <w:shd w:val="clear" w:color="auto" w:fill="CCECFF"/>
          </w:tcPr>
          <w:p>
            <w:pPr>
              <w:jc w:val="right"/>
              <w:ind w:right="9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-881380</wp:posOffset>
            </wp:positionV>
            <wp:extent cx="249174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491740" cy="162560"/>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-24765</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CommScope NEXT actions to date have included employee costs related to the planned closure of an international manufacturing facility as well as headcount reductions in manufacturing, engineering, marketing, sales and administrative functions. Asset impairment charges related to real estate and property, plant and equipment that are affected by restructuring actions are included in the other category in the table above and in restructuring costs (credits), net on the Condensed Consolidated Statements of Operations for the three and nine months ended September 30,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9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Company has recognized restructuring charges of $139.9 million to date related to CommScope NEXT actions. The Company expects to make cash payments of $12.1 million during the remainder of 2022 and additional cash payments of $51.5 million between 2023 and 2024 to settle CommScope NEXT restructuring actions. Additional restructuring actions related to CommScope NEXT are expected to be identified and the resulting charges and cash requirements could be material.</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ARRIS Integration Restructuring Actions</w:t>
      </w:r>
    </w:p>
    <w:p>
      <w:pPr>
        <w:spacing w:after="0" w:line="10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In anticipation of and following the acquisition of ARRIS, the Company initiated a series of restructuring actions to integrate and streamline operations and achieve cost synergies. The activity within the liability established for the ARRIS integration restructuring actions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260" w:type="dxa"/>
            <w:vAlign w:val="bottom"/>
          </w:tcPr>
          <w:p>
            <w:pPr>
              <w:jc w:val="center"/>
              <w:ind w:left="318"/>
              <w:spacing w:after="0"/>
              <w:rPr>
                <w:sz w:val="20"/>
                <w:szCs w:val="20"/>
                <w:color w:val="auto"/>
              </w:rPr>
            </w:pPr>
            <w:r>
              <w:rPr>
                <w:rFonts w:ascii="Arial" w:cs="Arial" w:eastAsia="Arial" w:hAnsi="Arial"/>
                <w:sz w:val="14"/>
                <w:szCs w:val="14"/>
                <w:b w:val="1"/>
                <w:bCs w:val="1"/>
                <w:color w:val="auto"/>
                <w:w w:val="93"/>
              </w:rPr>
              <w:t>Employee-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26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0"/>
              </w:rPr>
              <w:t>Related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Other</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16"/>
                <w:szCs w:val="16"/>
                <w:color w:val="auto"/>
              </w:rPr>
            </w:pPr>
          </w:p>
        </w:tc>
        <w:tc>
          <w:tcPr>
            <w:tcW w:w="1260" w:type="dxa"/>
            <w:vAlign w:val="bottom"/>
          </w:tcPr>
          <w:p>
            <w:pPr>
              <w:jc w:val="center"/>
              <w:ind w:left="318"/>
              <w:spacing w:after="0"/>
              <w:rPr>
                <w:sz w:val="20"/>
                <w:szCs w:val="20"/>
                <w:color w:val="auto"/>
              </w:rPr>
            </w:pPr>
            <w:r>
              <w:rPr>
                <w:rFonts w:ascii="Arial" w:cs="Arial" w:eastAsia="Arial" w:hAnsi="Arial"/>
                <w:sz w:val="14"/>
                <w:szCs w:val="14"/>
                <w:b w:val="1"/>
                <w:bCs w:val="1"/>
                <w:color w:val="auto"/>
                <w:w w:val="87"/>
              </w:rPr>
              <w:t>Costs</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June 30, 2022</w:t>
            </w:r>
          </w:p>
        </w:tc>
        <w:tc>
          <w:tcPr>
            <w:tcW w:w="1260" w:type="dxa"/>
            <w:vAlign w:val="bottom"/>
            <w:tcBorders>
              <w:top w:val="single" w:sz="8" w:color="auto"/>
            </w:tcBorders>
            <w:shd w:val="clear" w:color="auto" w:fill="CCECFF"/>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CFF"/>
          </w:tcPr>
          <w:p>
            <w:pPr>
              <w:spacing w:after="0"/>
              <w:rPr>
                <w:sz w:val="18"/>
                <w:szCs w:val="18"/>
                <w:color w:val="auto"/>
              </w:rPr>
            </w:pPr>
          </w:p>
        </w:tc>
        <w:tc>
          <w:tcPr>
            <w:tcW w:w="1080" w:type="dxa"/>
            <w:vAlign w:val="bottom"/>
            <w:tcBorders>
              <w:top w:val="single" w:sz="8" w:color="auto"/>
            </w:tcBorders>
            <w:shd w:val="clear" w:color="auto" w:fill="CCECFF"/>
          </w:tcPr>
          <w:p>
            <w:pPr>
              <w:jc w:val="right"/>
              <w:ind w:right="89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2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w:t>
            </w:r>
          </w:p>
        </w:tc>
        <w:tc>
          <w:tcPr>
            <w:tcW w:w="126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(0.9 )</w:t>
            </w:r>
          </w:p>
        </w:tc>
        <w:tc>
          <w:tcPr>
            <w:tcW w:w="108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(0.4 )</w:t>
            </w:r>
          </w:p>
        </w:tc>
        <w:tc>
          <w:tcPr>
            <w:tcW w:w="32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Foreign exchange and other non-cash items</w:t>
            </w:r>
          </w:p>
        </w:tc>
        <w:tc>
          <w:tcPr>
            <w:tcW w:w="1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(0.1 )</w:t>
            </w:r>
          </w:p>
        </w:tc>
        <w:tc>
          <w:tcPr>
            <w:tcW w:w="10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September 30, 2022</w:t>
            </w:r>
          </w:p>
        </w:tc>
        <w:tc>
          <w:tcPr>
            <w:tcW w:w="1260" w:type="dxa"/>
            <w:vAlign w:val="bottom"/>
            <w:tcBorders>
              <w:top w:val="single" w:sz="8" w:color="auto"/>
              <w:bottom w:val="single" w:sz="8" w:color="auto"/>
            </w:tcBorders>
            <w:shd w:val="clear" w:color="auto" w:fill="CCECFF"/>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CFF"/>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ind w:right="89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at December 31, 2021</w:t>
            </w:r>
          </w:p>
        </w:tc>
        <w:tc>
          <w:tcPr>
            <w:tcW w:w="1260" w:type="dxa"/>
            <w:vAlign w:val="bottom"/>
            <w:shd w:val="clear" w:color="auto" w:fill="CCECFF"/>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CFF"/>
          </w:tcPr>
          <w:p>
            <w:pPr>
              <w:spacing w:after="0"/>
              <w:rPr>
                <w:sz w:val="18"/>
                <w:szCs w:val="18"/>
                <w:color w:val="auto"/>
              </w:rPr>
            </w:pPr>
          </w:p>
        </w:tc>
        <w:tc>
          <w:tcPr>
            <w:tcW w:w="1080" w:type="dxa"/>
            <w:vAlign w:val="bottom"/>
            <w:shd w:val="clear" w:color="auto" w:fill="CCECFF"/>
          </w:tcPr>
          <w:p>
            <w:pPr>
              <w:jc w:val="right"/>
              <w:ind w:right="89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Additional expense, net</w:t>
            </w:r>
          </w:p>
        </w:tc>
        <w:tc>
          <w:tcPr>
            <w:tcW w:w="12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CFF"/>
          </w:tcPr>
          <w:p>
            <w:pPr>
              <w:ind w:left="20"/>
              <w:spacing w:after="0"/>
              <w:rPr>
                <w:sz w:val="20"/>
                <w:szCs w:val="20"/>
                <w:color w:val="auto"/>
              </w:rPr>
            </w:pPr>
            <w:r>
              <w:rPr>
                <w:rFonts w:ascii="Arial" w:cs="Arial" w:eastAsia="Arial" w:hAnsi="Arial"/>
                <w:sz w:val="18"/>
                <w:szCs w:val="18"/>
                <w:color w:val="auto"/>
              </w:rPr>
              <w:t>Cash paid</w:t>
            </w:r>
          </w:p>
        </w:tc>
        <w:tc>
          <w:tcPr>
            <w:tcW w:w="126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(6.9 )</w:t>
            </w:r>
          </w:p>
        </w:tc>
        <w:tc>
          <w:tcPr>
            <w:tcW w:w="108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(1.4 )</w:t>
            </w:r>
          </w:p>
        </w:tc>
        <w:tc>
          <w:tcPr>
            <w:tcW w:w="32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Foreign exchange and other non-cash items</w:t>
            </w:r>
          </w:p>
        </w:tc>
        <w:tc>
          <w:tcPr>
            <w:tcW w:w="12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(0.2 )</w:t>
            </w:r>
          </w:p>
        </w:tc>
        <w:tc>
          <w:tcPr>
            <w:tcW w:w="10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(2.6 )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at September 30, 2022</w:t>
            </w:r>
          </w:p>
        </w:tc>
        <w:tc>
          <w:tcPr>
            <w:tcW w:w="1260" w:type="dxa"/>
            <w:vAlign w:val="bottom"/>
            <w:tcBorders>
              <w:top w:val="single" w:sz="8" w:color="auto"/>
              <w:bottom w:val="single" w:sz="8" w:color="auto"/>
            </w:tcBorders>
            <w:shd w:val="clear" w:color="auto" w:fill="CCECFF"/>
          </w:tcPr>
          <w:p>
            <w:pPr>
              <w:jc w:val="right"/>
              <w:ind w:right="1058"/>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CFF"/>
            </w:tcBorders>
            <w:shd w:val="clear" w:color="auto" w:fill="CCECFF"/>
          </w:tcPr>
          <w:p>
            <w:pPr>
              <w:spacing w:after="0"/>
              <w:rPr>
                <w:sz w:val="21"/>
                <w:szCs w:val="21"/>
                <w:color w:val="auto"/>
              </w:rPr>
            </w:pPr>
          </w:p>
        </w:tc>
        <w:tc>
          <w:tcPr>
            <w:tcW w:w="1080" w:type="dxa"/>
            <w:vAlign w:val="bottom"/>
            <w:tcBorders>
              <w:top w:val="single" w:sz="8" w:color="auto"/>
              <w:bottom w:val="single" w:sz="8" w:color="auto"/>
            </w:tcBorders>
            <w:shd w:val="clear" w:color="auto" w:fill="CCECFF"/>
          </w:tcPr>
          <w:p>
            <w:pPr>
              <w:jc w:val="right"/>
              <w:ind w:right="89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-881380</wp:posOffset>
            </wp:positionV>
            <wp:extent cx="2226310" cy="162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26310" cy="162560"/>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4911090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ARRIS integration actions included headcount reductions in manufacturing, sales, engineering, marketing and administrative functions. The Company has recognized restructuring charges of $179.7 million since the ARRIS acquisition for integration actions. Asset impairment charges related to real estate and equipment that is affected by restructuring actions are included in the other category in the table above and in restructuring costs (credits), net on the Condensed Consolidated Statements of Operations for the three and nine months ended September 30, 2022.</w:t>
      </w:r>
    </w:p>
    <w:p>
      <w:pPr>
        <w:spacing w:after="0" w:line="16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The Company expects to make cash payments of $0.4 million during the remainder of 2022 and additional cash payments of $0.8 million in 2023 to settle the ARRIS integration initiatives. The Company does not expect to identify significant additional restructuring actions related to the ARRIS integration.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A CONVERTIBLE PREFERRED STOCK</w:t>
      </w:r>
    </w:p>
    <w:p>
      <w:pPr>
        <w:spacing w:after="0" w:line="10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April 4, 2019, the Company issued and sold 1,000,000 shares of the Convertible Preferred Stock to Carlyle for $1.0 billion, or $1,000 per share, pursuant to an Investment Agreement between the Company and Carlyle, dated November 8, 2018. The Convertible Preferred Stock is convertible at the option of the holders at any time into shares of CommScope common stock at an initial conversion rate of 36.3636 shares of common stock per share of the Convertible Preferred Stock (equivalent to $27.50 per common share). The conversion rate is subject to customary antidilution and other adjustments. As of September 30, 2022, the Company had authorized 1,200,000 shares of Series A Convertible Preferred Stock.</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Holders of the Convertible Preferred Stock are entitled to a cumulative dividend at the rate of 5.5% per year, payable quarterly in arrears. Dividends can be paid in cash, in-kind through the issuance of additional shares of the Convertible Preferred Stock or any combination of the two, at the Company’s option. The Company paid cash dividends of $14.9 million during the three months ended September 30, 2022. During the nine months ended September 30, 2022, in addition to the cash dividends of $14.9 million, the Company paid dividends in-kind of $29.2 million, which was recorded as additional Convertible Preferred Stock in the Condensed Consolidated Balance Sheets. During the three and nine months ended September 30, 2021, the Company paid cash dividends of $14.3 million and $43.0 million, respectively, and no dividends were paid in-kind.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303" w:lineRule="exact"/>
        <w:rPr>
          <w:sz w:val="20"/>
          <w:szCs w:val="20"/>
          <w:color w:val="auto"/>
        </w:rPr>
      </w:pPr>
    </w:p>
    <w:p>
      <w:pPr>
        <w:ind w:right="8580" w:firstLine="8"/>
        <w:spacing w:after="0" w:line="415"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Equity-Based Compensation Plans</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As of September 30, 2022, $106.1 million of total unrecognized compensation expense related to unvested stock options, restricted stock units (RSUs) and performance share units (PSUs) is expected to be recognized over a remaining weighted average period of 2.1 years. There were no significant capitalized equity-based compensation costs at September 30, 2022.</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the equity-based compensation expense included in the Condensed Consolidated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230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r>
      <w:tr>
        <w:trPr>
          <w:trHeight w:val="185"/>
        </w:trPr>
        <w:tc>
          <w:tcPr>
            <w:tcW w:w="55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50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Borders>
              <w:top w:val="single" w:sz="8" w:color="auto"/>
            </w:tcBorders>
            <w:shd w:val="clear" w:color="auto" w:fill="CCEC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00" w:type="dxa"/>
            <w:vAlign w:val="bottom"/>
            <w:tcBorders>
              <w:top w:val="single" w:sz="8" w:color="auto"/>
            </w:tcBorders>
            <w:shd w:val="clear" w:color="auto" w:fill="CCEC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CFF"/>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r>
      <w:tr>
        <w:trPr>
          <w:trHeight w:val="216"/>
        </w:trPr>
        <w:tc>
          <w:tcPr>
            <w:tcW w:w="55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spacing w:after="0"/>
              <w:rPr>
                <w:sz w:val="18"/>
                <w:szCs w:val="18"/>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5500" w:type="dxa"/>
            <w:vAlign w:val="bottom"/>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16.4</w:t>
            </w:r>
          </w:p>
        </w:tc>
        <w:tc>
          <w:tcPr>
            <w:tcW w:w="116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45.3</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-170815</wp:posOffset>
            </wp:positionV>
            <wp:extent cx="7683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-170815</wp:posOffset>
            </wp:positionV>
            <wp:extent cx="6858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-170815</wp:posOffset>
            </wp:positionV>
            <wp:extent cx="6858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jc w:val="both"/>
        <w:ind w:right="460"/>
        <w:spacing w:after="0" w:line="247" w:lineRule="auto"/>
        <w:rPr>
          <w:sz w:val="20"/>
          <w:szCs w:val="20"/>
          <w:color w:val="auto"/>
        </w:rPr>
      </w:pPr>
      <w:r>
        <w:rPr>
          <w:rFonts w:ascii="Arial" w:cs="Arial" w:eastAsia="Arial" w:hAnsi="Arial"/>
          <w:sz w:val="18"/>
          <w:szCs w:val="18"/>
          <w:color w:val="auto"/>
        </w:rPr>
        <w:t>Stock options are awards that allow the recipient to purchase shares of the Company’s common stock at a fixed price. Stock options are granted at an exercise price equal to the Company’s stock price at the date of grant. These awards generally vest over five years following the grant date and have a contractual term of ten years.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(in millions, except per share data and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left="380"/>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Weighted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Average Option</w:t>
            </w:r>
          </w:p>
        </w:tc>
        <w:tc>
          <w:tcPr>
            <w:tcW w:w="220" w:type="dxa"/>
            <w:vAlign w:val="bottom"/>
          </w:tcPr>
          <w:p>
            <w:pPr>
              <w:spacing w:after="0"/>
              <w:rPr>
                <w:sz w:val="12"/>
                <w:szCs w:val="12"/>
                <w:color w:val="auto"/>
              </w:rPr>
            </w:pPr>
          </w:p>
        </w:tc>
        <w:tc>
          <w:tcPr>
            <w:tcW w:w="17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left="3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Contractual Term</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ind w:left="360"/>
              <w:spacing w:after="0"/>
              <w:rPr>
                <w:sz w:val="20"/>
                <w:szCs w:val="20"/>
                <w:color w:val="auto"/>
              </w:rPr>
            </w:pPr>
            <w:r>
              <w:rPr>
                <w:rFonts w:ascii="Arial" w:cs="Arial" w:eastAsia="Arial" w:hAnsi="Arial"/>
                <w:sz w:val="14"/>
                <w:szCs w:val="14"/>
                <w:b w:val="1"/>
                <w:bCs w:val="1"/>
                <w:color w:val="auto"/>
                <w:w w:val="91"/>
              </w:rPr>
              <w:t>Per Share</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in Years</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Options outstanding at June 30, 2022</w:t>
            </w:r>
          </w:p>
        </w:tc>
        <w:tc>
          <w:tcPr>
            <w:tcW w:w="700" w:type="dxa"/>
            <w:vAlign w:val="bottom"/>
            <w:shd w:val="clear" w:color="auto" w:fill="CCECFF"/>
          </w:tcPr>
          <w:p>
            <w:pPr>
              <w:spacing w:after="0"/>
              <w:rPr>
                <w:sz w:val="18"/>
                <w:szCs w:val="18"/>
                <w:color w:val="auto"/>
              </w:rPr>
            </w:pPr>
          </w:p>
        </w:tc>
        <w:tc>
          <w:tcPr>
            <w:tcW w:w="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CFF"/>
          </w:tcPr>
          <w:p>
            <w:pPr>
              <w:spacing w:after="0"/>
              <w:rPr>
                <w:sz w:val="18"/>
                <w:szCs w:val="18"/>
                <w:color w:val="auto"/>
              </w:rPr>
            </w:pPr>
          </w:p>
        </w:tc>
        <w:tc>
          <w:tcPr>
            <w:tcW w:w="1360" w:type="dxa"/>
            <w:vAlign w:val="bottom"/>
            <w:shd w:val="clear" w:color="auto" w:fill="CCECFF"/>
          </w:tcPr>
          <w:p>
            <w:pPr>
              <w:jc w:val="right"/>
              <w:ind w:right="116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8"/>
              </w:rPr>
              <w:t>24.79</w:t>
            </w:r>
          </w:p>
        </w:tc>
        <w:tc>
          <w:tcPr>
            <w:tcW w:w="220" w:type="dxa"/>
            <w:vAlign w:val="bottom"/>
            <w:shd w:val="clear" w:color="auto" w:fill="CCECFF"/>
          </w:tcPr>
          <w:p>
            <w:pPr>
              <w:spacing w:after="0"/>
              <w:rPr>
                <w:sz w:val="18"/>
                <w:szCs w:val="18"/>
                <w:color w:val="auto"/>
              </w:rPr>
            </w:pPr>
          </w:p>
        </w:tc>
        <w:tc>
          <w:tcPr>
            <w:tcW w:w="176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Expired</w:t>
            </w:r>
          </w:p>
        </w:tc>
        <w:tc>
          <w:tcPr>
            <w:tcW w:w="7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(0.2 )</w:t>
            </w:r>
          </w:p>
        </w:tc>
        <w:tc>
          <w:tcPr>
            <w:tcW w:w="1360" w:type="dxa"/>
            <w:vAlign w:val="bottom"/>
          </w:tcPr>
          <w:p>
            <w:pPr>
              <w:jc w:val="right"/>
              <w:ind w:right="11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26.77</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Options outstanding at September 30, 2022</w:t>
            </w:r>
          </w:p>
        </w:tc>
        <w:tc>
          <w:tcPr>
            <w:tcW w:w="700" w:type="dxa"/>
            <w:vAlign w:val="bottom"/>
            <w:tcBorders>
              <w:top w:val="single" w:sz="8" w:color="auto"/>
              <w:bottom w:val="single" w:sz="8" w:color="auto"/>
            </w:tcBorders>
            <w:shd w:val="clear" w:color="auto" w:fill="CCECFF"/>
          </w:tcPr>
          <w:p>
            <w:pPr>
              <w:spacing w:after="0"/>
              <w:rPr>
                <w:sz w:val="21"/>
                <w:szCs w:val="21"/>
                <w:color w:val="auto"/>
              </w:rPr>
            </w:pPr>
          </w:p>
        </w:tc>
        <w:tc>
          <w:tcPr>
            <w:tcW w:w="3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CFF"/>
            </w:tcBorders>
            <w:shd w:val="clear" w:color="auto" w:fill="CCECFF"/>
          </w:tcPr>
          <w:p>
            <w:pPr>
              <w:spacing w:after="0"/>
              <w:rPr>
                <w:sz w:val="21"/>
                <w:szCs w:val="21"/>
                <w:color w:val="auto"/>
              </w:rPr>
            </w:pPr>
          </w:p>
        </w:tc>
        <w:tc>
          <w:tcPr>
            <w:tcW w:w="1360" w:type="dxa"/>
            <w:vAlign w:val="bottom"/>
            <w:tcBorders>
              <w:bottom w:val="single" w:sz="8" w:color="CCECFF"/>
            </w:tcBorders>
            <w:shd w:val="clear" w:color="auto" w:fill="CCECFF"/>
          </w:tcPr>
          <w:p>
            <w:pPr>
              <w:jc w:val="right"/>
              <w:ind w:right="116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88"/>
              </w:rPr>
              <w:t>24.68</w:t>
            </w:r>
          </w:p>
        </w:tc>
        <w:tc>
          <w:tcPr>
            <w:tcW w:w="220" w:type="dxa"/>
            <w:vAlign w:val="bottom"/>
            <w:tcBorders>
              <w:bottom w:val="single" w:sz="8" w:color="CCECFF"/>
            </w:tcBorders>
            <w:shd w:val="clear" w:color="auto" w:fill="CCECFF"/>
          </w:tcPr>
          <w:p>
            <w:pPr>
              <w:spacing w:after="0"/>
              <w:rPr>
                <w:sz w:val="21"/>
                <w:szCs w:val="21"/>
                <w:color w:val="auto"/>
              </w:rPr>
            </w:pPr>
          </w:p>
        </w:tc>
        <w:tc>
          <w:tcPr>
            <w:tcW w:w="176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CFF"/>
            </w:tcBorders>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CFF"/>
            </w:tcBorders>
            <w:shd w:val="clear" w:color="auto" w:fill="CCECFF"/>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-24765</wp:posOffset>
            </wp:positionV>
            <wp:extent cx="76835"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625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1" w:lineRule="exact"/>
        <w:rPr>
          <w:sz w:val="20"/>
          <w:szCs w:val="20"/>
          <w:color w:val="auto"/>
        </w:rPr>
      </w:pPr>
    </w:p>
    <w:p>
      <w:pPr>
        <w:ind w:left="20" w:right="200"/>
        <w:spacing w:after="0" w:line="281" w:lineRule="auto"/>
        <w:rPr>
          <w:sz w:val="20"/>
          <w:szCs w:val="20"/>
          <w:color w:val="auto"/>
        </w:rPr>
      </w:pPr>
      <w:r>
        <w:rPr>
          <w:rFonts w:ascii="Arial" w:cs="Arial" w:eastAsia="Arial" w:hAnsi="Arial"/>
          <w:sz w:val="18"/>
          <w:szCs w:val="18"/>
          <w:color w:val="auto"/>
        </w:rPr>
        <w:t>Options outstanding at December 31, 2021 Expired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Options outstanding at September 30,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Options vested at September 30, 2022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Options unvested at September 30, 2022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rPr>
              <w:t>24.59</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(0.4 )</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rPr>
              <w:t>25.65</w:t>
            </w: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rPr>
              <w:t>24.68</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2100" w:type="dxa"/>
            <w:vAlign w:val="bottom"/>
            <w:vMerge w:val="restart"/>
          </w:tcPr>
          <w:p>
            <w:pPr>
              <w:jc w:val="right"/>
              <w:ind w:right="970"/>
              <w:spacing w:after="0"/>
              <w:rPr>
                <w:sz w:val="20"/>
                <w:szCs w:val="20"/>
                <w:color w:val="auto"/>
              </w:rPr>
            </w:pPr>
            <w:r>
              <w:rPr>
                <w:rFonts w:ascii="Arial" w:cs="Arial" w:eastAsia="Arial" w:hAnsi="Arial"/>
                <w:sz w:val="18"/>
                <w:szCs w:val="18"/>
                <w:color w:val="auto"/>
              </w:rPr>
              <w:t>25.65</w:t>
            </w: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color w:val="auto"/>
              </w:rPr>
              <w:t>3.7</w:t>
            </w:r>
          </w:p>
        </w:tc>
        <w:tc>
          <w:tcPr>
            <w:tcW w:w="82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line="20" w:lineRule="exact"/>
              <w:rPr>
                <w:sz w:val="1"/>
                <w:szCs w:val="1"/>
                <w:color w:val="auto"/>
              </w:rPr>
            </w:pPr>
          </w:p>
        </w:tc>
      </w:tr>
      <w:tr>
        <w:trPr>
          <w:trHeight w:val="182"/>
        </w:trPr>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rPr>
              <w:t>17.93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780" w:type="dxa"/>
            <w:vAlign w:val="bottom"/>
          </w:tcPr>
          <w:p>
            <w:pPr>
              <w:ind w:left="6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-718820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-436245</wp:posOffset>
            </wp:positionV>
            <wp:extent cx="7132320" cy="436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220"/>
          </w:cols>
          <w:pgMar w:left="320" w:top="121"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of outstanding options at September 30, 2022 were in the following ranges (in millions, except per share data and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Exercise Price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CFF"/>
          </w:tcPr>
          <w:p>
            <w:pPr>
              <w:ind w:left="20"/>
              <w:spacing w:after="0"/>
              <w:rPr>
                <w:sz w:val="20"/>
                <w:szCs w:val="20"/>
                <w:color w:val="auto"/>
              </w:rPr>
            </w:pPr>
            <w:r>
              <w:rPr>
                <w:rFonts w:ascii="Arial" w:cs="Arial" w:eastAsia="Arial" w:hAnsi="Arial"/>
                <w:sz w:val="18"/>
                <w:szCs w:val="18"/>
                <w:color w:val="auto"/>
              </w:rPr>
              <w:t>$5.50 to $18.50</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CFF"/>
          </w:tcPr>
          <w:p>
            <w:pPr>
              <w:spacing w:after="0"/>
              <w:rPr>
                <w:sz w:val="18"/>
                <w:szCs w:val="18"/>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CFF"/>
          </w:tcPr>
          <w:p>
            <w:pPr>
              <w:spacing w:after="0"/>
              <w:rPr>
                <w:sz w:val="18"/>
                <w:szCs w:val="18"/>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$18.51 to $30.00</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$30.01 to $45.00</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0.7</w:t>
            </w:r>
          </w:p>
        </w:tc>
        <w:tc>
          <w:tcPr>
            <w:tcW w:w="20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3.2</w:t>
            </w:r>
          </w:p>
        </w:tc>
        <w:tc>
          <w:tcPr>
            <w:tcW w:w="420" w:type="dxa"/>
            <w:vAlign w:val="bottom"/>
            <w:tcBorders>
              <w:bottom w:val="single" w:sz="8" w:color="CCECFF"/>
            </w:tcBorders>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36.35</w:t>
            </w:r>
          </w:p>
        </w:tc>
        <w:tc>
          <w:tcPr>
            <w:tcW w:w="220" w:type="dxa"/>
            <w:vAlign w:val="bottom"/>
            <w:tcBorders>
              <w:bottom w:val="single" w:sz="8" w:color="CCECFF"/>
            </w:tcBorders>
            <w:shd w:val="clear" w:color="auto" w:fill="CCECFF"/>
          </w:tcPr>
          <w:p>
            <w:pPr>
              <w:spacing w:after="0"/>
              <w:rPr>
                <w:sz w:val="18"/>
                <w:szCs w:val="18"/>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0.7</w:t>
            </w:r>
          </w:p>
        </w:tc>
        <w:tc>
          <w:tcPr>
            <w:tcW w:w="420" w:type="dxa"/>
            <w:vAlign w:val="bottom"/>
            <w:tcBorders>
              <w:bottom w:val="single" w:sz="8" w:color="CCECFF"/>
            </w:tcBorders>
            <w:gridSpan w:val="2"/>
            <w:shd w:val="clear" w:color="auto" w:fill="CCEC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color w:val="auto"/>
              </w:rPr>
              <w:t>$5.50 to $45.00</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gridSpan w:val="2"/>
            <w:vMerge w:val="restart"/>
          </w:tcPr>
          <w:p>
            <w:pPr>
              <w:jc w:val="right"/>
              <w:ind w:right="865"/>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3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2950210</wp:posOffset>
            </wp:positionH>
            <wp:positionV relativeFrom="paragraph">
              <wp:posOffset>-915670</wp:posOffset>
            </wp:positionV>
            <wp:extent cx="7683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-915670</wp:posOffset>
            </wp:positionV>
            <wp:extent cx="6858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unless otherwise noted)</w:t>
      </w:r>
    </w:p>
    <w:p>
      <w:pPr>
        <w:spacing w:after="0" w:line="37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uses the Black-Scholes model to estimate the fair value of stock option awards at the date of grant. Key inputs and assumptions used in the model include the exercise price of the award, the expected option term, the risk-free interest rate, stock price volatility and the Company’s projected dividend yield. The expected term represents the period over which the Company’s employees are expected to hold their options. The risk-free interest rate reflects the yield on zero-coupon U.S. treasury securities with a term equal to the option’s expected term. Expected volatility is derived based on the historical volatility of the Company’s stock. The Company’s projected dividend yield is zero. There were no stock option awards granted during the three or nine months ended September 30, 2022 or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RSUs entitle the holder to shares of common stock after a vesting period that generally ranges from one to three years. The fair value of the awards is determined on the grant date based on the Company’s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RSU activity (in millions, except per share data):</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32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0"/>
              </w:rPr>
              <w:t>Restricted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2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100" w:type="dxa"/>
            <w:vAlign w:val="bottom"/>
          </w:tcPr>
          <w:p>
            <w:pPr>
              <w:spacing w:after="0"/>
              <w:rPr>
                <w:sz w:val="17"/>
                <w:szCs w:val="17"/>
                <w:color w:val="auto"/>
              </w:rPr>
            </w:pPr>
          </w:p>
        </w:tc>
        <w:tc>
          <w:tcPr>
            <w:tcW w:w="13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7"/>
              </w:rPr>
              <w:t>Units</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shd w:val="clear" w:color="auto" w:fill="CCECFF"/>
          </w:tcPr>
          <w:p>
            <w:pPr>
              <w:spacing w:after="0"/>
              <w:rPr>
                <w:sz w:val="20"/>
                <w:szCs w:val="20"/>
                <w:color w:val="auto"/>
              </w:rPr>
            </w:pPr>
            <w:r>
              <w:rPr>
                <w:rFonts w:ascii="Arial" w:cs="Arial" w:eastAsia="Arial" w:hAnsi="Arial"/>
                <w:sz w:val="18"/>
                <w:szCs w:val="18"/>
                <w:color w:val="auto"/>
              </w:rPr>
              <w:t>Non-vested share units at June 30, 2022</w:t>
            </w:r>
          </w:p>
        </w:tc>
        <w:tc>
          <w:tcPr>
            <w:tcW w:w="132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CFF"/>
          </w:tcPr>
          <w:p>
            <w:pPr>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(0.4 )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Non-vested share units at September 30, 2022</w:t>
            </w:r>
          </w:p>
        </w:tc>
        <w:tc>
          <w:tcPr>
            <w:tcW w:w="1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CECFF"/>
            </w:tcBorders>
          </w:tcPr>
          <w:p>
            <w:pPr>
              <w:spacing w:after="0"/>
              <w:rPr>
                <w:sz w:val="18"/>
                <w:szCs w:val="18"/>
                <w:color w:val="auto"/>
              </w:rPr>
            </w:pPr>
          </w:p>
        </w:tc>
        <w:tc>
          <w:tcPr>
            <w:tcW w:w="240" w:type="dxa"/>
            <w:vAlign w:val="bottom"/>
            <w:tcBorders>
              <w:top w:val="single" w:sz="8" w:color="CCEC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2"/>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4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Non-vested share units at December 31, 2021</w:t>
            </w: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Granted</w:t>
            </w:r>
          </w:p>
        </w:tc>
        <w:tc>
          <w:tcPr>
            <w:tcW w:w="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Vested and shares issued</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CFF"/>
          </w:tcPr>
          <w:p>
            <w:pPr>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(1.1 )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Borders>
              <w:top w:val="single" w:sz="8" w:color="CCECFF"/>
            </w:tcBorders>
          </w:tcPr>
          <w:p>
            <w:pPr>
              <w:spacing w:after="0"/>
              <w:rPr>
                <w:sz w:val="20"/>
                <w:szCs w:val="20"/>
                <w:color w:val="auto"/>
              </w:rPr>
            </w:pPr>
            <w:r>
              <w:rPr>
                <w:rFonts w:ascii="Arial" w:cs="Arial" w:eastAsia="Arial" w:hAnsi="Arial"/>
                <w:sz w:val="18"/>
                <w:szCs w:val="18"/>
                <w:color w:val="auto"/>
              </w:rPr>
              <w:t>Non-vested share units at September 30, 2022</w:t>
            </w:r>
          </w:p>
        </w:tc>
        <w:tc>
          <w:tcPr>
            <w:tcW w:w="1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CECFF"/>
            </w:tcBorders>
          </w:tcPr>
          <w:p>
            <w:pPr>
              <w:spacing w:after="0"/>
              <w:rPr>
                <w:sz w:val="18"/>
                <w:szCs w:val="18"/>
                <w:color w:val="auto"/>
              </w:rPr>
            </w:pPr>
          </w:p>
        </w:tc>
        <w:tc>
          <w:tcPr>
            <w:tcW w:w="240" w:type="dxa"/>
            <w:vAlign w:val="bottom"/>
            <w:tcBorders>
              <w:top w:val="single" w:sz="8" w:color="CCEC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10.65</w:t>
            </w:r>
          </w:p>
        </w:tc>
        <w:tc>
          <w:tcPr>
            <w:tcW w:w="80" w:type="dxa"/>
            <w:vAlign w:val="bottom"/>
            <w:tcBorders>
              <w:top w:val="single" w:sz="8" w:color="CCEC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-1026795</wp:posOffset>
            </wp:positionV>
            <wp:extent cx="5143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-170815</wp:posOffset>
            </wp:positionV>
            <wp:extent cx="5143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Units</w:t>
      </w:r>
    </w:p>
    <w:p>
      <w:pPr>
        <w:spacing w:after="0" w:line="10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PSUs are stock awards in which the number of shares ultimately received by the employee depends on achievement toward a performance measure. Certain of CommScope’s PSUs have an internal performance measure and the awards vest at the end of three years. The number of shares issued under these awards can vary between 0% and 300% of the number of PSUs granted. The fair value of these awards is determined on the date of grant based on the Company's stock price.</w:t>
      </w:r>
    </w:p>
    <w:p>
      <w:pPr>
        <w:spacing w:after="0" w:line="19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CommScope also has PSUs with a market condition performance measure based on stock price milestones over a three-year period. The number of shares issued under these awards can vary between 0% to 100% of the number of PSUs granted. In addition, during the second quarter of 2022, the Company granted certain other PSUs with a market condition based on the Company’s total stockholder return (TSR) ranking relative to the S&amp;P 500 TSR for a three-year period. The number of shares issued under these awards can vary between 0% to 200% of the number of PSUs granted. The Company uses a Monte Carlo simulation model to estimate the fair value of PSUs with a market condition performance measure at the date of grant. Key assumptions used in the model include the risk-free interest rate, which reflects the yield on zero-coupon U.S. treasury securities, and stock price volatility, which is derived based on the historical volatility of the Company’s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assumptions used to estimate the fair value of these awards granted:</w:t>
      </w:r>
    </w:p>
    <w:p>
      <w:pPr>
        <w:spacing w:after="0" w:line="176"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Nine Months Ended</w:t>
      </w:r>
    </w:p>
    <w:p>
      <w:pPr>
        <w:spacing w:after="0" w:line="17"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-3175</wp:posOffset>
            </wp:positionV>
            <wp:extent cx="19608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Risk-free interest rate</w:t>
            </w:r>
          </w:p>
        </w:tc>
        <w:tc>
          <w:tcPr>
            <w:tcW w:w="3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380" w:type="dxa"/>
            <w:vAlign w:val="bottom"/>
            <w:vMerge w:val="restart"/>
          </w:tcPr>
          <w:p>
            <w:pPr>
              <w:jc w:val="right"/>
              <w:ind w:right="130"/>
              <w:spacing w:after="0"/>
              <w:rPr>
                <w:sz w:val="20"/>
                <w:szCs w:val="20"/>
                <w:color w:val="auto"/>
              </w:rPr>
            </w:pPr>
            <w:r>
              <w:rPr>
                <w:rFonts w:ascii="Arial" w:cs="Arial" w:eastAsia="Arial" w:hAnsi="Arial"/>
                <w:sz w:val="18"/>
                <w:szCs w:val="18"/>
                <w:color w:val="auto"/>
                <w:w w:val="87"/>
              </w:rPr>
              <w:t>%</w:t>
            </w:r>
          </w:p>
        </w:tc>
        <w:tc>
          <w:tcPr>
            <w:tcW w:w="30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74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8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61.2 %</w:t>
            </w:r>
          </w:p>
        </w:tc>
        <w:tc>
          <w:tcPr>
            <w:tcW w:w="300" w:type="dxa"/>
            <w:vAlign w:val="bottom"/>
          </w:tcPr>
          <w:p>
            <w:pPr>
              <w:spacing w:after="0"/>
              <w:rPr>
                <w:sz w:val="18"/>
                <w:szCs w:val="18"/>
                <w:color w:val="auto"/>
              </w:rPr>
            </w:pPr>
          </w:p>
        </w:tc>
        <w:tc>
          <w:tcPr>
            <w:tcW w:w="1880" w:type="dxa"/>
            <w:vAlign w:val="bottom"/>
            <w:gridSpan w:val="3"/>
          </w:tcPr>
          <w:p>
            <w:pPr>
              <w:jc w:val="right"/>
              <w:ind w:right="660"/>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8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Weighted average fair value at grant date</w:t>
            </w:r>
          </w:p>
        </w:tc>
        <w:tc>
          <w:tcPr>
            <w:tcW w:w="3580" w:type="dxa"/>
            <w:vAlign w:val="bottom"/>
            <w:gridSpan w:val="2"/>
            <w:shd w:val="clear" w:color="auto" w:fill="CCECFF"/>
          </w:tcPr>
          <w:p>
            <w:pPr>
              <w:jc w:val="right"/>
              <w:ind w:right="7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7"/>
              </w:rPr>
              <w:t>11.21</w:t>
            </w:r>
          </w:p>
        </w:tc>
        <w:tc>
          <w:tcPr>
            <w:tcW w:w="38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C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7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00" w:type="dxa"/>
            <w:vAlign w:val="bottom"/>
          </w:tcPr>
          <w:p>
            <w:pPr>
              <w:jc w:val="right"/>
              <w:ind w:right="1516"/>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-1155065</wp:posOffset>
            </wp:positionV>
            <wp:extent cx="619887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9887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CommScope Holding Company,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PSU activity (in millions, except per share data):</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Weighted</w:t>
            </w:r>
          </w:p>
        </w:tc>
        <w:tc>
          <w:tcPr>
            <w:tcW w:w="8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Average Grant</w:t>
            </w:r>
          </w:p>
        </w:tc>
        <w:tc>
          <w:tcPr>
            <w:tcW w:w="80" w:type="dxa"/>
            <w:vAlign w:val="bottom"/>
          </w:tcPr>
          <w:p>
            <w:pPr>
              <w:spacing w:after="0"/>
              <w:rPr>
                <w:sz w:val="14"/>
                <w:szCs w:val="14"/>
                <w:color w:val="auto"/>
              </w:rPr>
            </w:pPr>
          </w:p>
        </w:tc>
      </w:tr>
      <w:tr>
        <w:trPr>
          <w:trHeight w:val="148"/>
        </w:trPr>
        <w:tc>
          <w:tcPr>
            <w:tcW w:w="4380" w:type="dxa"/>
            <w:vAlign w:val="bottom"/>
          </w:tcPr>
          <w:p>
            <w:pPr>
              <w:spacing w:after="0"/>
              <w:rPr>
                <w:sz w:val="12"/>
                <w:szCs w:val="12"/>
                <w:color w:val="auto"/>
              </w:rPr>
            </w:pPr>
          </w:p>
        </w:tc>
        <w:tc>
          <w:tcPr>
            <w:tcW w:w="12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Performance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80" w:type="dxa"/>
            <w:vAlign w:val="bottom"/>
          </w:tcPr>
          <w:p>
            <w:pPr>
              <w:spacing w:after="0"/>
              <w:rPr>
                <w:sz w:val="12"/>
                <w:szCs w:val="12"/>
                <w:color w:val="auto"/>
              </w:rPr>
            </w:pPr>
          </w:p>
        </w:tc>
      </w:tr>
      <w:tr>
        <w:trPr>
          <w:trHeight w:val="185"/>
        </w:trPr>
        <w:tc>
          <w:tcPr>
            <w:tcW w:w="4380" w:type="dxa"/>
            <w:vAlign w:val="bottom"/>
          </w:tcPr>
          <w:p>
            <w:pPr>
              <w:spacing w:after="0"/>
              <w:rPr>
                <w:sz w:val="16"/>
                <w:szCs w:val="16"/>
                <w:color w:val="auto"/>
              </w:rPr>
            </w:pPr>
          </w:p>
        </w:tc>
        <w:tc>
          <w:tcPr>
            <w:tcW w:w="12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Share Units</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Per Share</w:t>
            </w:r>
          </w:p>
        </w:tc>
        <w:tc>
          <w:tcPr>
            <w:tcW w:w="80" w:type="dxa"/>
            <w:vAlign w:val="bottom"/>
          </w:tcPr>
          <w:p>
            <w:pPr>
              <w:spacing w:after="0"/>
              <w:rPr>
                <w:sz w:val="16"/>
                <w:szCs w:val="16"/>
                <w:color w:val="auto"/>
              </w:rPr>
            </w:pPr>
          </w:p>
        </w:tc>
      </w:tr>
      <w:tr>
        <w:trPr>
          <w:trHeight w:val="209"/>
        </w:trPr>
        <w:tc>
          <w:tcPr>
            <w:tcW w:w="4380" w:type="dxa"/>
            <w:vAlign w:val="bottom"/>
            <w:shd w:val="clear" w:color="auto" w:fill="CCECFF"/>
          </w:tcPr>
          <w:p>
            <w:pPr>
              <w:spacing w:after="0"/>
              <w:rPr>
                <w:sz w:val="20"/>
                <w:szCs w:val="20"/>
                <w:color w:val="auto"/>
              </w:rPr>
            </w:pPr>
            <w:r>
              <w:rPr>
                <w:rFonts w:ascii="Arial" w:cs="Arial" w:eastAsia="Arial" w:hAnsi="Arial"/>
                <w:sz w:val="18"/>
                <w:szCs w:val="18"/>
                <w:color w:val="auto"/>
              </w:rPr>
              <w:t>Non-vested share units at June 30, 2022</w:t>
            </w:r>
          </w:p>
        </w:tc>
        <w:tc>
          <w:tcPr>
            <w:tcW w:w="1280" w:type="dxa"/>
            <w:vAlign w:val="bottom"/>
            <w:shd w:val="clear" w:color="auto" w:fill="CCECFF"/>
          </w:tcPr>
          <w:p>
            <w:pPr>
              <w:spacing w:after="0"/>
              <w:rPr>
                <w:sz w:val="18"/>
                <w:szCs w:val="18"/>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8.15</w:t>
            </w:r>
          </w:p>
        </w:tc>
        <w:tc>
          <w:tcPr>
            <w:tcW w:w="80" w:type="dxa"/>
            <w:vAlign w:val="bottom"/>
            <w:shd w:val="clear" w:color="auto" w:fill="CCECFF"/>
          </w:tcPr>
          <w:p>
            <w:pPr>
              <w:spacing w:after="0"/>
              <w:rPr>
                <w:sz w:val="18"/>
                <w:szCs w:val="18"/>
                <w:color w:val="auto"/>
              </w:rPr>
            </w:pPr>
          </w:p>
        </w:tc>
      </w:tr>
      <w:tr>
        <w:trPr>
          <w:trHeight w:val="216"/>
        </w:trPr>
        <w:tc>
          <w:tcPr>
            <w:tcW w:w="438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Granted</w:t>
            </w: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CFF"/>
            </w:tcBorders>
          </w:tcPr>
          <w:p>
            <w:pPr>
              <w:spacing w:after="0"/>
              <w:rPr>
                <w:sz w:val="18"/>
                <w:szCs w:val="18"/>
                <w:color w:val="auto"/>
              </w:rPr>
            </w:pPr>
          </w:p>
        </w:tc>
        <w:tc>
          <w:tcPr>
            <w:tcW w:w="180" w:type="dxa"/>
            <w:vAlign w:val="bottom"/>
            <w:tcBorders>
              <w:bottom w:val="single" w:sz="8" w:color="CCEC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CFF"/>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CFF"/>
            </w:tcBorders>
          </w:tcPr>
          <w:p>
            <w:pPr>
              <w:spacing w:after="0"/>
              <w:rPr>
                <w:sz w:val="18"/>
                <w:szCs w:val="18"/>
                <w:color w:val="auto"/>
              </w:rPr>
            </w:pPr>
          </w:p>
        </w:tc>
      </w:tr>
      <w:tr>
        <w:trPr>
          <w:trHeight w:val="249"/>
        </w:trPr>
        <w:tc>
          <w:tcPr>
            <w:tcW w:w="43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September 30, 2022</w:t>
            </w:r>
          </w:p>
        </w:tc>
        <w:tc>
          <w:tcPr>
            <w:tcW w:w="1280" w:type="dxa"/>
            <w:vAlign w:val="bottom"/>
            <w:tcBorders>
              <w:bottom w:val="single" w:sz="8" w:color="auto"/>
            </w:tcBorders>
            <w:shd w:val="clear" w:color="auto" w:fill="CCECFF"/>
          </w:tcPr>
          <w:p>
            <w:pPr>
              <w:spacing w:after="0"/>
              <w:rPr>
                <w:sz w:val="21"/>
                <w:szCs w:val="21"/>
                <w:color w:val="auto"/>
              </w:rPr>
            </w:pPr>
          </w:p>
        </w:tc>
        <w:tc>
          <w:tcPr>
            <w:tcW w:w="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8.16</w:t>
            </w:r>
          </w:p>
        </w:tc>
        <w:tc>
          <w:tcPr>
            <w:tcW w:w="80" w:type="dxa"/>
            <w:vAlign w:val="bottom"/>
            <w:tcBorders>
              <w:bottom w:val="single" w:sz="8" w:color="CCECFF"/>
            </w:tcBorders>
            <w:shd w:val="clear" w:color="auto" w:fill="CCECFF"/>
          </w:tcPr>
          <w:p>
            <w:pPr>
              <w:spacing w:after="0"/>
              <w:rPr>
                <w:sz w:val="21"/>
                <w:szCs w:val="21"/>
                <w:color w:val="auto"/>
              </w:rPr>
            </w:pPr>
          </w:p>
        </w:tc>
      </w:tr>
      <w:tr>
        <w:trPr>
          <w:trHeight w:val="196"/>
        </w:trPr>
        <w:tc>
          <w:tcPr>
            <w:tcW w:w="56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Non-vested share units at December 31, 2021</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C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r>
      <w:tr>
        <w:trPr>
          <w:trHeight w:val="216"/>
        </w:trPr>
        <w:tc>
          <w:tcPr>
            <w:tcW w:w="56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Vested and shares issued</w:t>
            </w:r>
          </w:p>
        </w:tc>
        <w:tc>
          <w:tcPr>
            <w:tcW w:w="6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w w:val="95"/>
              </w:rPr>
              <w:t>(0.4 )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8.13</w:t>
            </w:r>
          </w:p>
        </w:tc>
        <w:tc>
          <w:tcPr>
            <w:tcW w:w="80" w:type="dxa"/>
            <w:vAlign w:val="bottom"/>
            <w:shd w:val="clear" w:color="auto" w:fill="CCEC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(0.2 )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r>
      <w:tr>
        <w:trPr>
          <w:trHeight w:val="249"/>
        </w:trPr>
        <w:tc>
          <w:tcPr>
            <w:tcW w:w="43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share units at September 30, 2022</w:t>
            </w:r>
          </w:p>
        </w:tc>
        <w:tc>
          <w:tcPr>
            <w:tcW w:w="1280" w:type="dxa"/>
            <w:vAlign w:val="bottom"/>
            <w:tcBorders>
              <w:top w:val="single" w:sz="8" w:color="auto"/>
              <w:bottom w:val="single" w:sz="8" w:color="auto"/>
            </w:tcBorders>
            <w:shd w:val="clear" w:color="auto" w:fill="CCECFF"/>
          </w:tcPr>
          <w:p>
            <w:pPr>
              <w:spacing w:after="0"/>
              <w:rPr>
                <w:sz w:val="21"/>
                <w:szCs w:val="21"/>
                <w:color w:val="auto"/>
              </w:rPr>
            </w:pP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8.16</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-1026795</wp:posOffset>
            </wp:positionV>
            <wp:extent cx="51435" cy="3079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30797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October 19, 2022, the Company completed the refinancing of the Revolving Credit Facility. Amendment 2 of the Revolving Credit Agreement continues to provide borrowing capacity of up to $1.0 billion, subject to certain limitations, but adds additional assets under the borrowing base and extends the maturity of the Revolving Credit Facility to September 30, 2027. Borrowings bear interest at an adjusted SOFR with a spread of 1.25% to 1.50%.</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following narrative is an analysis of the three and nine months ended September 30, 2022 compared to the three and nine months ended September 30, 2021. The discussion is provided to increase the understanding of, and should be read in conjunction with, the unaudited condensed consolidated financial statements and accompanying notes included in this report as well as the audited consolidated financial statements, related notes thereto and management’s discussion and analysis of financial condition and results of operations, including management’s discussion and analysis regarding the application of critical accounting policies and the risk factors in our Annual Report on Form 10-K for the year ended December 31, 2021 (2021 Annual Report).</w:t>
      </w:r>
    </w:p>
    <w:p>
      <w:pPr>
        <w:spacing w:after="0" w:line="156"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We discuss certain financial measures in management’s discussion and analysis of financial condition and results of operations, including adjusted EBITDA, that differ from measures calculated in accordance with generally accepted accounting principles (GAAP) in the United States (U.S.). See "Reconciliation of Non-GAAP Measures" included elsewhere in this quarterly report for more information about these non-GAAP financial measures, including our reasons for including the measures and material limitations with respect to the usefulness of the measures.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are a global provider of infrastructure solutions for communication and entertainment networks. Our solutions for wired and wireless networks enable service providers including cable, telephone and digital broadcast satellite operators and media programmers to deliver media, voice, Internet Protocol (IP) data services and Wi-Fi to their subscribers and allow enterprises to experience constant wireless and wired connectivity across complex and varied networking environments. Our solutions are complemented by a broad array of services including technical support, systems design and integration. We are a leader in digital video and IP television distribution systems, broadband access infrastructure platforms and equipment that delivers data and voice networks to homes. Our global leadership position is built upon innovative technology, broad solution offerings, high-quality and cost-effective customer solutions, and global manufacturing and distribution scale.</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2021, we announced a transformation initiative called CommScope NEXT designed to drive shareholder value through three pillars: profitable growth, operational efficiency and portfolio optimization. We believe these efforts are critical to making us more competitive and allowing us to invest in growth and maximize stockholder and stakeholder value. During the three and nine months ended September 30, 2022, we incurred $2.5 million and $53.1 million of restructuring costs, respectively, and $5.9 million and $36.4 million of transaction, transformation and integration costs, respectively. During the three and nine months ended September 30, 2021, we incurred $(3.1) million and $100.2 million, respectively, of restructuring costs (credits) and $26.2 million and $62.7 million, respectively, of transaction, transformation and integration costs. These costs were primarily related to CommScope NEXT. We expect to continue to incur restructuring costs and transaction, transformation and integration costs related to CommScope NEXT and such costs could be material.</w:t>
      </w:r>
    </w:p>
    <w:p>
      <w:pPr>
        <w:spacing w:after="0" w:line="16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As a step to optimize our portfolio through CommScope NEXT, as of January 1, 2022, we reorganized our internal management and reporting structure to align our portfolio of products and solutions more closely with the markets we serve and bring better performance clarity with our competitive peer set. The reorganization changed the information regularly reviewed by our chief operating decision maker for purposes of allocating resources and assessing performance. As a result, we are now reporting financial performance based on the following operating segments: Connectivity and Cable Solutions (CCS), Outdoor Wireless Networks (OWN), Networking, Intelligent Cellular and Security Solutions (NICS), Access Network Solutions (ANS) and Home Networks (Home). Prior to this change, we operated and reported four operating segments: Broadband Networks, Outdoor Wireless Networks, Venue and Campus Networks and Home Networks. The Home segment was unchanged in this realignment. All prior period amounts have been recast to reflect these operating segment changes.</w:t>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Also as a step in our CommScope NEXT transformation plan, in 2021, we announced a plan to separate the Home Networks business. Due to the impact of the uncertain supply chain environment on the Home Networks business, we have delayed our separation plan, but we continue to analyze the financial results of our "Core" business separately from Home. As such, below we refer to certain supplementary Core financial measures, which reflect the results of our CCS, OWN, NICS and ANS segments in the aggregate. See the Segment Results section below for the aggregation of our Core financial measures.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Impacts of Supply Chain Constraints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As in many industries, we have seen the negative impacts of COVID-19 recede and a recovery in demand for our products over the past year, but this has created negative indirect consequences such as inflation, shortages in materials and components and increased logistics costs. Prices for certain commodities and other raw materials that we use have experienced significant volatility as a result of changes in the levels of global demand, supply disruptions, including port, transportation and distribution delays or interruptions, and other factors. As a result, we have seen a significant increase in costs that has negatively impacted our results of operations. We are also experiencing limited supply of memory devices, capacitors and silicon chips, which has increased our costs and has impacted our ability to deliver on a timely basis due to extended lead times. We are trying to mitigate our increasing component and logistics costs by implementing higher prices on our products and services. We are also mitigating certain shortages by purchasing components in advance and maintaining higher levels of inventory, finding alternate vendors for some components or in certain cases, product redesign.</w:t>
      </w:r>
    </w:p>
    <w:p>
      <w:pPr>
        <w:spacing w:after="0" w:line="16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believe the global supply chain challenges and their adverse impact on our business and financial results will continue to improve in the fourth quarter of 2022 but certain shortages could continue into 2023. We also believe certain macroeconomic pressures in the U.S. and the global economy such as rising interest rates and energy prices as well as fears about an economic slow-down could impact the timing and amount of capital spending by our customers in 2023 and could negatively impact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For more discussion, see Part I, Item 1A, “Risk Factors” in our 2021 Annual Report.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critical accounting policies as disclosed in our 2021 Annual Report.</w:t>
      </w:r>
    </w:p>
    <w:p>
      <w:pPr>
        <w:spacing w:after="0" w:line="315"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b w:val="1"/>
          <w:bCs w:val="1"/>
          <w:color w:val="auto"/>
        </w:rPr>
        <w:t>COMPARISON OF RESULTS OF OPERATIONS FOR THE THREE AND NINE MONTHS ENDED SEPTEMBER 30, 2022 WITH THE THREE AND NINE MONTHS ENDED SEPTEMBER 30, 2021</w:t>
      </w:r>
    </w:p>
    <w:tbl>
      <w:tblPr>
        <w:tblLayout w:type="fixed"/>
        <w:tblInd w:w="0" w:type="dxa"/>
        <w:tblCellMar>
          <w:top w:w="0" w:type="dxa"/>
          <w:left w:w="0" w:type="dxa"/>
          <w:bottom w:w="0" w:type="dxa"/>
          <w:right w:w="0" w:type="dxa"/>
        </w:tblCellMar>
      </w:tblPr>
      <w:tr>
        <w:trPr>
          <w:trHeight w:val="166"/>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693"/>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9"/>
              </w:rPr>
              <w:t>% of Net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 of Net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7"/>
              </w:rPr>
              <w:t>Change</w:t>
            </w:r>
          </w:p>
        </w:tc>
        <w:tc>
          <w:tcPr>
            <w:tcW w:w="1180" w:type="dxa"/>
            <w:vAlign w:val="bottom"/>
            <w:gridSpan w:val="2"/>
          </w:tcPr>
          <w:p>
            <w:pPr>
              <w:jc w:val="center"/>
              <w:ind w:left="72"/>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gridSpan w:val="7"/>
          </w:tcPr>
          <w:p>
            <w:pPr>
              <w:jc w:val="center"/>
              <w:ind w:right="10"/>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20"/>
              <w:spacing w:after="0" w:line="166" w:lineRule="exact"/>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line="16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2,381.4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8"/>
              <w:spacing w:after="0" w:line="166" w:lineRule="exact"/>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line="16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66" w:lineRule="exact"/>
              <w:rPr>
                <w:sz w:val="20"/>
                <w:szCs w:val="20"/>
                <w:color w:val="auto"/>
              </w:rPr>
            </w:pPr>
            <w:r>
              <w:rPr>
                <w:rFonts w:ascii="Arial" w:cs="Arial" w:eastAsia="Arial" w:hAnsi="Arial"/>
                <w:sz w:val="18"/>
                <w:szCs w:val="18"/>
                <w:color w:val="auto"/>
              </w:rPr>
              <w:t>2,105.3</w:t>
            </w:r>
          </w:p>
        </w:tc>
        <w:tc>
          <w:tcPr>
            <w:tcW w:w="220" w:type="dxa"/>
            <w:vAlign w:val="bottom"/>
          </w:tcPr>
          <w:p>
            <w:pPr>
              <w:spacing w:after="0"/>
              <w:rPr>
                <w:sz w:val="14"/>
                <w:szCs w:val="14"/>
                <w:color w:val="auto"/>
              </w:rPr>
            </w:pPr>
          </w:p>
        </w:tc>
        <w:tc>
          <w:tcPr>
            <w:tcW w:w="1200" w:type="dxa"/>
            <w:vAlign w:val="bottom"/>
            <w:gridSpan w:val="2"/>
          </w:tcPr>
          <w:p>
            <w:pPr>
              <w:jc w:val="right"/>
              <w:ind w:right="80"/>
              <w:spacing w:after="0" w:line="166" w:lineRule="exact"/>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line="16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276.1</w:t>
            </w:r>
          </w:p>
        </w:tc>
        <w:tc>
          <w:tcPr>
            <w:tcW w:w="1340" w:type="dxa"/>
            <w:vAlign w:val="bottom"/>
            <w:gridSpan w:val="4"/>
          </w:tcPr>
          <w:p>
            <w:pPr>
              <w:jc w:val="right"/>
              <w:spacing w:after="0" w:line="166" w:lineRule="exact"/>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66"/>
        </w:trPr>
        <w:tc>
          <w:tcPr>
            <w:tcW w:w="4220" w:type="dxa"/>
            <w:vAlign w:val="bottom"/>
          </w:tcPr>
          <w:p>
            <w:pPr>
              <w:ind w:left="20"/>
              <w:spacing w:after="0" w:line="265"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1,990.0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1,690.2</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736.3</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653.0</w:t>
            </w:r>
          </w:p>
        </w:tc>
        <w:tc>
          <w:tcPr>
            <w:tcW w:w="2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83.3</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20"/>
              <w:spacing w:after="0" w:line="166" w:lineRule="exact"/>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155.6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8"/>
                <w:szCs w:val="18"/>
                <w:color w:val="auto"/>
              </w:rPr>
              <w:t>21.0</w:t>
            </w:r>
          </w:p>
        </w:tc>
        <w:tc>
          <w:tcPr>
            <w:tcW w:w="22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134.6</w:t>
            </w:r>
          </w:p>
        </w:tc>
        <w:tc>
          <w:tcPr>
            <w:tcW w:w="118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641.0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220" w:type="dxa"/>
            <w:vAlign w:val="bottom"/>
          </w:tcPr>
          <w:p>
            <w:pPr>
              <w:ind w:left="20"/>
              <w:spacing w:after="0" w:line="265"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274.6</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(124.2 )</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(5.9 )</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(0.68 )</w:t>
            </w:r>
          </w:p>
        </w:tc>
        <w:tc>
          <w:tcPr>
            <w:tcW w:w="9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0.72</w:t>
            </w:r>
          </w:p>
        </w:tc>
        <w:tc>
          <w:tcPr>
            <w:tcW w:w="22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693"/>
              <w:spacing w:after="0"/>
              <w:rPr>
                <w:sz w:val="20"/>
                <w:szCs w:val="20"/>
                <w:color w:val="auto"/>
              </w:rPr>
            </w:pPr>
            <w:r>
              <w:rPr>
                <w:rFonts w:ascii="Arial" w:cs="Arial" w:eastAsia="Arial" w:hAnsi="Arial"/>
                <w:sz w:val="14"/>
                <w:szCs w:val="14"/>
                <w:b w:val="1"/>
                <w:bCs w:val="1"/>
                <w:color w:val="auto"/>
                <w:w w:val="96"/>
              </w:rPr>
              <w:t>2021</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4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820" w:type="dxa"/>
            <w:vAlign w:val="bottom"/>
          </w:tcPr>
          <w:p>
            <w:pPr>
              <w:jc w:val="center"/>
              <w:ind w:right="16"/>
              <w:spacing w:after="0" w:line="133" w:lineRule="exact"/>
              <w:rPr>
                <w:sz w:val="20"/>
                <w:szCs w:val="20"/>
                <w:color w:val="auto"/>
              </w:rPr>
            </w:pPr>
            <w:r>
              <w:rPr>
                <w:rFonts w:ascii="Arial" w:cs="Arial" w:eastAsia="Arial" w:hAnsi="Arial"/>
                <w:sz w:val="14"/>
                <w:szCs w:val="14"/>
                <w:b w:val="1"/>
                <w:bCs w:val="1"/>
                <w:color w:val="auto"/>
                <w:w w:val="99"/>
              </w:rPr>
              <w:t>% of Net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 of Net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7"/>
              </w:rPr>
              <w:t>Change</w:t>
            </w:r>
          </w:p>
        </w:tc>
        <w:tc>
          <w:tcPr>
            <w:tcW w:w="1180" w:type="dxa"/>
            <w:vAlign w:val="bottom"/>
            <w:gridSpan w:val="2"/>
          </w:tcPr>
          <w:p>
            <w:pPr>
              <w:jc w:val="center"/>
              <w:ind w:left="72"/>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Sales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gridSpan w:val="7"/>
          </w:tcPr>
          <w:p>
            <w:pPr>
              <w:jc w:val="center"/>
              <w:ind w:right="10"/>
              <w:spacing w:after="0"/>
              <w:rPr>
                <w:sz w:val="20"/>
                <w:szCs w:val="20"/>
                <w:color w:val="auto"/>
              </w:rPr>
            </w:pPr>
            <w:r>
              <w:rPr>
                <w:rFonts w:ascii="Arial" w:cs="Arial" w:eastAsia="Arial" w:hAnsi="Arial"/>
                <w:sz w:val="14"/>
                <w:szCs w:val="14"/>
                <w:b w:val="1"/>
                <w:bCs w:val="1"/>
                <w:color w:val="auto"/>
                <w:w w:val="91"/>
              </w:rPr>
              <w:t>(dollars in millions, except per share amounts)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20"/>
              <w:spacing w:after="0" w:line="166" w:lineRule="exact"/>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line="16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6,910.2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8"/>
              <w:spacing w:after="0" w:line="166" w:lineRule="exact"/>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line="16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66" w:lineRule="exact"/>
              <w:rPr>
                <w:sz w:val="20"/>
                <w:szCs w:val="20"/>
                <w:color w:val="auto"/>
              </w:rPr>
            </w:pPr>
            <w:r>
              <w:rPr>
                <w:rFonts w:ascii="Arial" w:cs="Arial" w:eastAsia="Arial" w:hAnsi="Arial"/>
                <w:sz w:val="18"/>
                <w:szCs w:val="18"/>
                <w:color w:val="auto"/>
              </w:rPr>
              <w:t>6,362.6</w:t>
            </w:r>
          </w:p>
        </w:tc>
        <w:tc>
          <w:tcPr>
            <w:tcW w:w="220" w:type="dxa"/>
            <w:vAlign w:val="bottom"/>
          </w:tcPr>
          <w:p>
            <w:pPr>
              <w:spacing w:after="0"/>
              <w:rPr>
                <w:sz w:val="14"/>
                <w:szCs w:val="14"/>
                <w:color w:val="auto"/>
              </w:rPr>
            </w:pPr>
          </w:p>
        </w:tc>
        <w:tc>
          <w:tcPr>
            <w:tcW w:w="1200" w:type="dxa"/>
            <w:vAlign w:val="bottom"/>
            <w:gridSpan w:val="2"/>
          </w:tcPr>
          <w:p>
            <w:pPr>
              <w:jc w:val="right"/>
              <w:ind w:right="80"/>
              <w:spacing w:after="0" w:line="166" w:lineRule="exact"/>
              <w:rPr>
                <w:sz w:val="20"/>
                <w:szCs w:val="20"/>
                <w:color w:val="auto"/>
              </w:rPr>
            </w:pPr>
            <w:r>
              <w:rPr>
                <w:rFonts w:ascii="Arial" w:cs="Arial" w:eastAsia="Arial" w:hAnsi="Arial"/>
                <w:sz w:val="18"/>
                <w:szCs w:val="18"/>
                <w:color w:val="auto"/>
              </w:rPr>
              <w:t>100.0 %</w:t>
            </w:r>
          </w:p>
        </w:tc>
        <w:tc>
          <w:tcPr>
            <w:tcW w:w="180" w:type="dxa"/>
            <w:vAlign w:val="bottom"/>
          </w:tcPr>
          <w:p>
            <w:pPr>
              <w:jc w:val="right"/>
              <w:spacing w:after="0" w:line="16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547.6</w:t>
            </w:r>
          </w:p>
        </w:tc>
        <w:tc>
          <w:tcPr>
            <w:tcW w:w="1340" w:type="dxa"/>
            <w:vAlign w:val="bottom"/>
            <w:gridSpan w:val="4"/>
          </w:tcPr>
          <w:p>
            <w:pPr>
              <w:jc w:val="right"/>
              <w:spacing w:after="0" w:line="166" w:lineRule="exact"/>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66"/>
        </w:trPr>
        <w:tc>
          <w:tcPr>
            <w:tcW w:w="4220" w:type="dxa"/>
            <w:vAlign w:val="bottom"/>
          </w:tcPr>
          <w:p>
            <w:pPr>
              <w:ind w:left="20"/>
              <w:spacing w:after="0" w:line="265"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5,599.2</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81.0</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4,990.0</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2,055.8</w:t>
            </w:r>
          </w:p>
        </w:tc>
        <w:tc>
          <w:tcPr>
            <w:tcW w:w="2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1,998.5</w:t>
            </w:r>
          </w:p>
        </w:tc>
        <w:tc>
          <w:tcPr>
            <w:tcW w:w="2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57.3</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C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20" w:type="dxa"/>
            <w:vAlign w:val="bottom"/>
          </w:tcPr>
          <w:p>
            <w:pPr>
              <w:ind w:left="20"/>
              <w:spacing w:after="0" w:line="166" w:lineRule="exact"/>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245.5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8"/>
                <w:szCs w:val="18"/>
                <w:color w:val="auto"/>
              </w:rPr>
              <w:t>3.6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spacing w:after="0" w:line="166" w:lineRule="exact"/>
              <w:rPr>
                <w:sz w:val="20"/>
                <w:szCs w:val="20"/>
                <w:color w:val="auto"/>
              </w:rPr>
            </w:pPr>
            <w:r>
              <w:rPr>
                <w:rFonts w:ascii="Arial" w:cs="Arial" w:eastAsia="Arial" w:hAnsi="Arial"/>
                <w:sz w:val="18"/>
                <w:szCs w:val="18"/>
                <w:color w:val="auto"/>
              </w:rPr>
              <w:t>11.5</w:t>
            </w:r>
          </w:p>
        </w:tc>
        <w:tc>
          <w:tcPr>
            <w:tcW w:w="220" w:type="dxa"/>
            <w:vAlign w:val="bottom"/>
          </w:tcPr>
          <w:p>
            <w:pPr>
              <w:spacing w:after="0"/>
              <w:rPr>
                <w:sz w:val="14"/>
                <w:szCs w:val="14"/>
                <w:color w:val="auto"/>
              </w:rPr>
            </w:pPr>
          </w:p>
        </w:tc>
        <w:tc>
          <w:tcPr>
            <w:tcW w:w="960" w:type="dxa"/>
            <w:vAlign w:val="bottom"/>
          </w:tcPr>
          <w:p>
            <w:pPr>
              <w:jc w:val="right"/>
              <w:spacing w:after="0" w:line="166" w:lineRule="exact"/>
              <w:rPr>
                <w:sz w:val="20"/>
                <w:szCs w:val="20"/>
                <w:color w:val="auto"/>
              </w:rPr>
            </w:pPr>
            <w:r>
              <w:rPr>
                <w:rFonts w:ascii="Arial" w:cs="Arial" w:eastAsia="Arial" w:hAnsi="Arial"/>
                <w:sz w:val="18"/>
                <w:szCs w:val="18"/>
                <w:color w:val="auto"/>
              </w:rPr>
              <w:t>0.2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6" w:lineRule="exact"/>
              <w:rPr>
                <w:sz w:val="20"/>
                <w:szCs w:val="20"/>
                <w:color w:val="auto"/>
              </w:rPr>
            </w:pPr>
            <w:r>
              <w:rPr>
                <w:rFonts w:ascii="Arial" w:cs="Arial" w:eastAsia="Arial" w:hAnsi="Arial"/>
                <w:sz w:val="18"/>
                <w:szCs w:val="18"/>
                <w:color w:val="auto"/>
              </w:rPr>
              <w:t>234.0</w:t>
            </w:r>
          </w:p>
        </w:tc>
        <w:tc>
          <w:tcPr>
            <w:tcW w:w="1180" w:type="dxa"/>
            <w:vAlign w:val="bottom"/>
            <w:gridSpan w:val="2"/>
          </w:tcPr>
          <w:p>
            <w:pPr>
              <w:jc w:val="right"/>
              <w:spacing w:after="0" w:line="166" w:lineRule="exact"/>
              <w:rPr>
                <w:sz w:val="20"/>
                <w:szCs w:val="20"/>
                <w:color w:val="auto"/>
              </w:rPr>
            </w:pPr>
            <w:r>
              <w:rPr>
                <w:rFonts w:ascii="Arial" w:cs="Arial" w:eastAsia="Arial" w:hAnsi="Arial"/>
                <w:sz w:val="18"/>
                <w:szCs w:val="18"/>
                <w:color w:val="auto"/>
              </w:rPr>
              <w:t>2,034.8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Non-GAAP adjusted EBITDA </w:t>
            </w:r>
            <w:r>
              <w:rPr>
                <w:rFonts w:ascii="Arial" w:cs="Arial" w:eastAsia="Arial" w:hAnsi="Arial"/>
                <w:sz w:val="24"/>
                <w:szCs w:val="24"/>
                <w:color w:val="auto"/>
                <w:vertAlign w:val="superscript"/>
              </w:rPr>
              <w:t>(2)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220" w:type="dxa"/>
            <w:vAlign w:val="bottom"/>
          </w:tcPr>
          <w:p>
            <w:pPr>
              <w:ind w:left="20"/>
              <w:spacing w:after="0" w:line="265"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869.7</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837.8</w:t>
            </w: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(178.0 )</w:t>
            </w:r>
          </w:p>
        </w:tc>
        <w:tc>
          <w:tcPr>
            <w:tcW w:w="80" w:type="dxa"/>
            <w:vAlign w:val="bottom"/>
          </w:tcPr>
          <w:p>
            <w:pPr>
              <w:spacing w:after="0"/>
              <w:rPr>
                <w:sz w:val="18"/>
                <w:szCs w:val="18"/>
                <w:color w:val="auto"/>
              </w:rPr>
            </w:pPr>
          </w:p>
        </w:tc>
        <w:tc>
          <w:tcPr>
            <w:tcW w:w="1100" w:type="dxa"/>
            <w:vAlign w:val="bottom"/>
            <w:gridSpan w:val="2"/>
          </w:tcPr>
          <w:p>
            <w:pPr>
              <w:jc w:val="right"/>
              <w:ind w:right="128"/>
              <w:spacing w:after="0"/>
              <w:rPr>
                <w:sz w:val="20"/>
                <w:szCs w:val="20"/>
                <w:color w:val="auto"/>
              </w:rPr>
            </w:pPr>
            <w:r>
              <w:rPr>
                <w:rFonts w:ascii="Arial" w:cs="Arial" w:eastAsia="Arial" w:hAnsi="Arial"/>
                <w:sz w:val="18"/>
                <w:szCs w:val="18"/>
                <w:color w:val="auto"/>
              </w:rPr>
              <w:t>(2.6 )</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(375.6 )</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(5.9 )</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CFF"/>
          </w:tcPr>
          <w:p>
            <w:pPr>
              <w:ind w:left="20"/>
              <w:spacing w:after="0"/>
              <w:rPr>
                <w:sz w:val="20"/>
                <w:szCs w:val="20"/>
                <w:color w:val="auto"/>
              </w:rPr>
            </w:pPr>
            <w:r>
              <w:rPr>
                <w:rFonts w:ascii="Arial" w:cs="Arial" w:eastAsia="Arial" w:hAnsi="Arial"/>
                <w:sz w:val="18"/>
                <w:szCs w:val="18"/>
                <w:color w:val="auto"/>
              </w:rPr>
              <w:t>Diluted loss per share</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(1.07 )</w:t>
            </w:r>
          </w:p>
        </w:tc>
        <w:tc>
          <w:tcPr>
            <w:tcW w:w="8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(2.06 )</w:t>
            </w:r>
          </w:p>
        </w:tc>
        <w:tc>
          <w:tcPr>
            <w:tcW w:w="9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0.99</w:t>
            </w:r>
          </w:p>
        </w:tc>
        <w:tc>
          <w:tcPr>
            <w:tcW w:w="1280" w:type="dxa"/>
            <w:vAlign w:val="bottom"/>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(48.1 )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-3253105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-2705100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-2430780</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-1232535</wp:posOffset>
            </wp:positionV>
            <wp:extent cx="71323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-684530</wp:posOffset>
            </wp:positionV>
            <wp:extent cx="71323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03" w:lineRule="exact"/>
        <w:rPr>
          <w:sz w:val="20"/>
          <w:szCs w:val="20"/>
          <w:color w:val="auto"/>
        </w:rPr>
      </w:pPr>
    </w:p>
    <w:p>
      <w:pPr>
        <w:ind w:left="520" w:right="520" w:hanging="512"/>
        <w:spacing w:after="0" w:line="283"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Core financial measures reflect the results of our CCS, OWN, NICS and ANS segments, in the aggregate. Core financial measures exclude the results of our Home segment. See the Segment Results section below for illustration of the aggregation of our Core financial measures.</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Non-GAAP Measures.”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40" w:type="dxa"/>
            <w:vAlign w:val="bottom"/>
          </w:tcPr>
          <w:p>
            <w:pPr>
              <w:spacing w:after="0"/>
              <w:rPr>
                <w:sz w:val="15"/>
                <w:szCs w:val="15"/>
                <w:color w:val="auto"/>
              </w:rPr>
            </w:pPr>
          </w:p>
        </w:tc>
        <w:tc>
          <w:tcPr>
            <w:tcW w:w="21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14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14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60" w:type="dxa"/>
            <w:vAlign w:val="bottom"/>
            <w:gridSpan w:val="2"/>
          </w:tcPr>
          <w:p>
            <w:pPr>
              <w:spacing w:after="0"/>
              <w:rPr>
                <w:sz w:val="14"/>
                <w:szCs w:val="14"/>
                <w:color w:val="auto"/>
              </w:rPr>
            </w:pPr>
          </w:p>
        </w:tc>
      </w:tr>
      <w:tr>
        <w:trPr>
          <w:trHeight w:val="169"/>
        </w:trPr>
        <w:tc>
          <w:tcPr>
            <w:tcW w:w="2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1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2,381.4</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2,105.3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13.1 %</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6,910.2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6,362.6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547.6</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8.6 %</w:t>
            </w:r>
          </w:p>
        </w:tc>
      </w:tr>
      <w:tr>
        <w:trPr>
          <w:trHeight w:val="216"/>
        </w:trPr>
        <w:tc>
          <w:tcPr>
            <w:tcW w:w="2140" w:type="dxa"/>
            <w:vAlign w:val="bottom"/>
          </w:tcPr>
          <w:p>
            <w:pPr>
              <w:ind w:left="200"/>
              <w:spacing w:after="0"/>
              <w:rPr>
                <w:sz w:val="20"/>
                <w:szCs w:val="20"/>
                <w:color w:val="auto"/>
              </w:rPr>
            </w:pPr>
            <w:r>
              <w:rPr>
                <w:rFonts w:ascii="Arial" w:cs="Arial" w:eastAsia="Arial" w:hAnsi="Arial"/>
                <w:sz w:val="18"/>
                <w:szCs w:val="18"/>
                <w:color w:val="auto"/>
              </w:rPr>
              <w:t>Domestic</w:t>
            </w:r>
          </w:p>
        </w:tc>
        <w:tc>
          <w:tcPr>
            <w:tcW w:w="800" w:type="dxa"/>
            <w:vAlign w:val="bottom"/>
          </w:tcPr>
          <w:p>
            <w:pPr>
              <w:jc w:val="right"/>
              <w:spacing w:after="0"/>
              <w:rPr>
                <w:sz w:val="20"/>
                <w:szCs w:val="20"/>
                <w:color w:val="auto"/>
              </w:rPr>
            </w:pPr>
            <w:r>
              <w:rPr>
                <w:rFonts w:ascii="Arial" w:cs="Arial" w:eastAsia="Arial" w:hAnsi="Arial"/>
                <w:sz w:val="18"/>
                <w:szCs w:val="18"/>
                <w:color w:val="auto"/>
              </w:rPr>
              <w:t>1,495.1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4,266.5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618.6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International</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886.3</w:t>
            </w:r>
          </w:p>
        </w:tc>
        <w:tc>
          <w:tcPr>
            <w:tcW w:w="3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903.5</w:t>
            </w:r>
          </w:p>
        </w:tc>
        <w:tc>
          <w:tcPr>
            <w:tcW w:w="2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(17.2 )</w:t>
            </w:r>
          </w:p>
        </w:tc>
        <w:tc>
          <w:tcPr>
            <w:tcW w:w="1380" w:type="dxa"/>
            <w:vAlign w:val="bottom"/>
            <w:gridSpan w:val="3"/>
            <w:shd w:val="clear" w:color="auto" w:fill="CCECFF"/>
          </w:tcPr>
          <w:p>
            <w:pPr>
              <w:jc w:val="right"/>
              <w:ind w:right="220"/>
              <w:spacing w:after="0"/>
              <w:rPr>
                <w:sz w:val="20"/>
                <w:szCs w:val="20"/>
                <w:color w:val="auto"/>
              </w:rPr>
            </w:pPr>
            <w:r>
              <w:rPr>
                <w:rFonts w:ascii="Arial" w:cs="Arial" w:eastAsia="Arial" w:hAnsi="Arial"/>
                <w:sz w:val="18"/>
                <w:szCs w:val="18"/>
                <w:color w:val="auto"/>
              </w:rPr>
              <w:t>(1.9 )</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2,643.7</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2,714.7</w:t>
            </w:r>
          </w:p>
        </w:tc>
        <w:tc>
          <w:tcPr>
            <w:tcW w:w="2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(71.0 )</w:t>
            </w: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18"/>
                <w:szCs w:val="18"/>
                <w:color w:val="auto"/>
              </w:rPr>
            </w:pPr>
          </w:p>
        </w:tc>
      </w:tr>
      <w:tr>
        <w:trPr>
          <w:trHeight w:val="634"/>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828"/>
              <w:spacing w:after="0"/>
              <w:rPr>
                <w:sz w:val="20"/>
                <w:szCs w:val="20"/>
                <w:color w:val="auto"/>
              </w:rPr>
            </w:pPr>
            <w:r>
              <w:rPr>
                <w:rFonts w:ascii="Arial" w:cs="Arial" w:eastAsia="Arial" w:hAnsi="Arial"/>
                <w:sz w:val="18"/>
                <w:szCs w:val="18"/>
                <w:color w:val="auto"/>
                <w:w w:val="89"/>
              </w:rPr>
              <w:t>27</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33"/>
        </w:trPr>
        <w:tc>
          <w:tcPr>
            <w:tcW w:w="2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647" w:right="279" w:bottom="1440" w:gutter="0" w:footer="0" w:header="0"/>
        </w:sectPr>
      </w:pPr>
    </w:p>
    <w:bookmarkStart w:id="28" w:name="page29"/>
    <w:bookmarkEnd w:id="28"/>
    <w:p>
      <w:pPr>
        <w:ind w:right="40"/>
        <w:spacing w:after="0" w:line="275" w:lineRule="auto"/>
        <w:rPr>
          <w:sz w:val="20"/>
          <w:szCs w:val="20"/>
          <w:color w:val="auto"/>
        </w:rPr>
      </w:pPr>
      <w:r>
        <w:rPr>
          <w:rFonts w:ascii="Arial" w:cs="Arial" w:eastAsia="Arial" w:hAnsi="Arial"/>
          <w:sz w:val="16"/>
          <w:szCs w:val="16"/>
          <w:color w:val="auto"/>
        </w:rPr>
        <w:t>Net sales for the three and nine months ended September 30, 2022 increased $276.1 million, or 13.1%, and $547.6 million, or 8.6%, respectively, compared to the prior year periods driven by higher pricing and to a lesser extent higher volumes. Core net sales for the three and nine months ended September 30, 2022 increased $299.8 million, or 17.7%, and $609.2 million, or 12.2%, respectively, compared to the prior year periods. The increase in core net sales for the three months ended September 30, 2022 was driven by increases of $220.1 million in the CCS segment, $50.8 million in the NICS segment, $24.6 million in the OWN segment and $4.3 million in the ANS segment. The increase in core net sales for the nine months ended September 30, 2022 was driven by increases of $584.5 million in the CCS segment, $121.3 million in the OWN segment and $29.3 million in the NICS segment, partially offset by a decrease of $125.9 million in the ANS segment. For the three and nine months ended September 30, 2022, net sales in the Home segment decreased $23.7 million and $61.6 million, respectively, compared to the prior year periods. We continued to experience supply shortages and extended lead times for certain materials that negatively affected our ability to meet customer demand for certain of our products during the three and nine months ended September 30, 2022. We expect these shortages and delays to improve for some components but we may still experience shortages and delays for other components into 2023. For further details by segment, see the discussion of Segment Results below.</w:t>
      </w:r>
    </w:p>
    <w:p>
      <w:pPr>
        <w:spacing w:after="0" w:line="17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From a regional perspective, for the three months ended September 30, 2022 compared to the prior year period, net sales increased in the U.S. by $293.3 million and Canada by $30.7 million, but these increases were partially offset by decreases in the Europe, Middle East and Africa (EMEA) region of $22.8 million, the Asia Pacific (APAC) region of $17.5 million and the Caribbean and Latin American (CALA) region of $7.6 million. For the nine months ended September 30, 2022 compared to the prior year period, net sales increased in the U.S. by $618.6 million and Canada by $99.3 million, but these increases were partially offset by decreases in the CALA region of $77.3 million, the APAC region of $60.5 million and the EMEA region by $32.5 million. Foreign exchange rate changes impacted net sales unfavorably by approximately 2% for both the three and nine months ended September 30, 2022 compared to the same prior year periods.</w:t>
      </w:r>
    </w:p>
    <w:p>
      <w:pPr>
        <w:spacing w:after="0" w:line="18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Net sales to customers located outside of the U.S. comprised 37.2% and 38.3% of total net sales for the three and nine months ended September 30, 2022, respectively, compared to 42.9% and 42.7% for the three and nine months ended September 30, 2021, respectively.</w:t>
      </w:r>
    </w:p>
    <w:p>
      <w:pPr>
        <w:spacing w:after="0" w:line="18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For additional information on regional sales by segment, see the discussion of Segment Results below and Note 7 in the Notes to Unaudited Condensed Consolidated Financial Statements included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SG&amp;A expense and R&amp;D expense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4"/>
          </w:tcPr>
          <w:p>
            <w:pPr>
              <w:jc w:val="center"/>
              <w:ind w:left="102"/>
              <w:spacing w:after="0"/>
              <w:rPr>
                <w:sz w:val="20"/>
                <w:szCs w:val="20"/>
                <w:color w:val="auto"/>
              </w:rPr>
            </w:pPr>
            <w:r>
              <w:rPr>
                <w:rFonts w:ascii="Arial" w:cs="Arial" w:eastAsia="Arial" w:hAnsi="Arial"/>
                <w:sz w:val="14"/>
                <w:szCs w:val="14"/>
                <w:b w:val="1"/>
                <w:bCs w:val="1"/>
                <w:color w:val="auto"/>
                <w:w w:val="94"/>
              </w:rPr>
              <w:t>Nine Months Ended</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2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4"/>
          </w:tcPr>
          <w:p>
            <w:pPr>
              <w:jc w:val="center"/>
              <w:ind w:left="102"/>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3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1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Change</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2160" w:type="dxa"/>
            <w:vAlign w:val="bottom"/>
            <w:vMerge w:val="restart"/>
          </w:tcPr>
          <w:p>
            <w:pPr>
              <w:ind w:left="20"/>
              <w:spacing w:after="0"/>
              <w:rPr>
                <w:sz w:val="20"/>
                <w:szCs w:val="20"/>
                <w:color w:val="auto"/>
              </w:rPr>
            </w:pPr>
            <w:r>
              <w:rPr>
                <w:rFonts w:ascii="Arial" w:cs="Arial" w:eastAsia="Arial" w:hAnsi="Arial"/>
                <w:sz w:val="17"/>
                <w:szCs w:val="17"/>
                <w:color w:val="auto"/>
              </w:rPr>
              <w:t>Gross profit</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w w:val="90"/>
              </w:rPr>
              <w:t>(dollars</w:t>
            </w:r>
          </w:p>
        </w:tc>
        <w:tc>
          <w:tcPr>
            <w:tcW w:w="22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in</w:t>
            </w:r>
          </w:p>
        </w:tc>
        <w:tc>
          <w:tcPr>
            <w:tcW w:w="920" w:type="dxa"/>
            <w:vAlign w:val="bottom"/>
            <w:tcBorders>
              <w:top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w w:val="79"/>
              </w:rPr>
              <w:t>millions)</w:t>
            </w: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6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736.3</w:t>
            </w:r>
          </w:p>
        </w:tc>
        <w:tc>
          <w:tcPr>
            <w:tcW w:w="2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653.0</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83.3</w:t>
            </w:r>
          </w:p>
        </w:tc>
        <w:tc>
          <w:tcPr>
            <w:tcW w:w="240" w:type="dxa"/>
            <w:vAlign w:val="bottom"/>
          </w:tcPr>
          <w:p>
            <w:pPr>
              <w:spacing w:after="0"/>
              <w:rPr>
                <w:sz w:val="16"/>
                <w:szCs w:val="16"/>
                <w:color w:val="auto"/>
              </w:rPr>
            </w:pPr>
          </w:p>
        </w:tc>
        <w:tc>
          <w:tcPr>
            <w:tcW w:w="1360" w:type="dxa"/>
            <w:vAlign w:val="bottom"/>
            <w:gridSpan w:val="3"/>
          </w:tcPr>
          <w:p>
            <w:pPr>
              <w:jc w:val="right"/>
              <w:ind w:right="28"/>
              <w:spacing w:after="0"/>
              <w:rPr>
                <w:sz w:val="20"/>
                <w:szCs w:val="20"/>
                <w:color w:val="auto"/>
              </w:rPr>
            </w:pPr>
            <w:r>
              <w:rPr>
                <w:rFonts w:ascii="Arial" w:cs="Arial" w:eastAsia="Arial" w:hAnsi="Arial"/>
                <w:sz w:val="16"/>
                <w:szCs w:val="16"/>
                <w:color w:val="auto"/>
              </w:rPr>
              <w:t>12.8 % $</w:t>
            </w:r>
          </w:p>
        </w:tc>
        <w:tc>
          <w:tcPr>
            <w:tcW w:w="720" w:type="dxa"/>
            <w:vAlign w:val="bottom"/>
          </w:tcPr>
          <w:p>
            <w:pPr>
              <w:jc w:val="right"/>
              <w:spacing w:after="0"/>
              <w:rPr>
                <w:sz w:val="20"/>
                <w:szCs w:val="20"/>
                <w:color w:val="auto"/>
              </w:rPr>
            </w:pPr>
            <w:r>
              <w:rPr>
                <w:rFonts w:ascii="Arial" w:cs="Arial" w:eastAsia="Arial" w:hAnsi="Arial"/>
                <w:sz w:val="16"/>
                <w:szCs w:val="16"/>
                <w:color w:val="auto"/>
              </w:rPr>
              <w:t>2,055.8</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1,998.5</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57.3</w:t>
            </w: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8"/>
        </w:trPr>
        <w:tc>
          <w:tcPr>
            <w:tcW w:w="2160" w:type="dxa"/>
            <w:vAlign w:val="bottom"/>
          </w:tcPr>
          <w:p>
            <w:pPr>
              <w:ind w:left="200"/>
              <w:spacing w:after="0"/>
              <w:rPr>
                <w:sz w:val="20"/>
                <w:szCs w:val="20"/>
                <w:color w:val="auto"/>
              </w:rPr>
            </w:pPr>
            <w:r>
              <w:rPr>
                <w:rFonts w:ascii="Arial" w:cs="Arial" w:eastAsia="Arial" w:hAnsi="Arial"/>
                <w:sz w:val="17"/>
                <w:szCs w:val="17"/>
                <w:color w:val="auto"/>
              </w:rPr>
              <w:t>As a percent of sales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30.9 %</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31.0 %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29.8 %</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31.4 %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CCECFF"/>
          </w:tcPr>
          <w:p>
            <w:pPr>
              <w:ind w:left="20"/>
              <w:spacing w:after="0"/>
              <w:rPr>
                <w:sz w:val="20"/>
                <w:szCs w:val="20"/>
                <w:color w:val="auto"/>
              </w:rPr>
            </w:pPr>
            <w:r>
              <w:rPr>
                <w:rFonts w:ascii="Arial" w:cs="Arial" w:eastAsia="Arial" w:hAnsi="Arial"/>
                <w:sz w:val="17"/>
                <w:szCs w:val="17"/>
                <w:color w:val="auto"/>
              </w:rPr>
              <w:t>SG&amp;A expense</w:t>
            </w:r>
          </w:p>
        </w:tc>
        <w:tc>
          <w:tcPr>
            <w:tcW w:w="22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281.7</w:t>
            </w:r>
          </w:p>
        </w:tc>
        <w:tc>
          <w:tcPr>
            <w:tcW w:w="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314.3</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(32.6 )</w:t>
            </w:r>
          </w:p>
        </w:tc>
        <w:tc>
          <w:tcPr>
            <w:tcW w:w="1160" w:type="dxa"/>
            <w:vAlign w:val="bottom"/>
            <w:gridSpan w:val="2"/>
            <w:shd w:val="clear" w:color="auto" w:fill="CCECFF"/>
          </w:tcPr>
          <w:p>
            <w:pPr>
              <w:jc w:val="right"/>
              <w:ind w:right="68"/>
              <w:spacing w:after="0"/>
              <w:rPr>
                <w:sz w:val="20"/>
                <w:szCs w:val="20"/>
                <w:color w:val="auto"/>
              </w:rPr>
            </w:pPr>
            <w:r>
              <w:rPr>
                <w:rFonts w:ascii="Arial" w:cs="Arial" w:eastAsia="Arial" w:hAnsi="Arial"/>
                <w:sz w:val="16"/>
                <w:szCs w:val="16"/>
                <w:color w:val="auto"/>
              </w:rPr>
              <w:t>(10.4 )</w:t>
            </w:r>
          </w:p>
        </w:tc>
        <w:tc>
          <w:tcPr>
            <w:tcW w:w="20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844.9</w:t>
            </w:r>
          </w:p>
        </w:tc>
        <w:tc>
          <w:tcPr>
            <w:tcW w:w="2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4"/>
              </w:rPr>
              <w:t>909.3</w:t>
            </w:r>
          </w:p>
        </w:tc>
        <w:tc>
          <w:tcPr>
            <w:tcW w:w="2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6"/>
                <w:szCs w:val="16"/>
                <w:color w:val="auto"/>
              </w:rPr>
              <w:t>(64.4 )</w:t>
            </w: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(7.1 )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0"/>
              <w:spacing w:after="0"/>
              <w:rPr>
                <w:sz w:val="20"/>
                <w:szCs w:val="20"/>
                <w:color w:val="auto"/>
              </w:rPr>
            </w:pPr>
            <w:r>
              <w:rPr>
                <w:rFonts w:ascii="Arial" w:cs="Arial" w:eastAsia="Arial" w:hAnsi="Arial"/>
                <w:sz w:val="17"/>
                <w:szCs w:val="17"/>
                <w:color w:val="auto"/>
              </w:rPr>
              <w:t>As a percent of sales</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11.8 %</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14.9 %</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12.2 %</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14.3 %</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CFF"/>
          </w:tcPr>
          <w:p>
            <w:pPr>
              <w:ind w:left="20"/>
              <w:spacing w:after="0"/>
              <w:rPr>
                <w:sz w:val="20"/>
                <w:szCs w:val="20"/>
                <w:color w:val="auto"/>
              </w:rPr>
            </w:pPr>
            <w:r>
              <w:rPr>
                <w:rFonts w:ascii="Arial" w:cs="Arial" w:eastAsia="Arial" w:hAnsi="Arial"/>
                <w:sz w:val="17"/>
                <w:szCs w:val="17"/>
                <w:color w:val="auto"/>
              </w:rPr>
              <w:t>R&amp;D expense</w:t>
            </w:r>
          </w:p>
        </w:tc>
        <w:tc>
          <w:tcPr>
            <w:tcW w:w="22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161.9</w:t>
            </w:r>
          </w:p>
        </w:tc>
        <w:tc>
          <w:tcPr>
            <w:tcW w:w="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167.8</w:t>
            </w: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6"/>
                <w:szCs w:val="16"/>
                <w:color w:val="auto"/>
              </w:rPr>
              <w:t>(5.9 )</w:t>
            </w:r>
          </w:p>
        </w:tc>
        <w:tc>
          <w:tcPr>
            <w:tcW w:w="1160" w:type="dxa"/>
            <w:vAlign w:val="bottom"/>
            <w:gridSpan w:val="2"/>
            <w:shd w:val="clear" w:color="auto" w:fill="CCECFF"/>
          </w:tcPr>
          <w:p>
            <w:pPr>
              <w:jc w:val="right"/>
              <w:ind w:right="68"/>
              <w:spacing w:after="0"/>
              <w:rPr>
                <w:sz w:val="20"/>
                <w:szCs w:val="20"/>
                <w:color w:val="auto"/>
              </w:rPr>
            </w:pPr>
            <w:r>
              <w:rPr>
                <w:rFonts w:ascii="Arial" w:cs="Arial" w:eastAsia="Arial" w:hAnsi="Arial"/>
                <w:sz w:val="16"/>
                <w:szCs w:val="16"/>
                <w:color w:val="auto"/>
              </w:rPr>
              <w:t>(3.5 )</w:t>
            </w:r>
          </w:p>
        </w:tc>
        <w:tc>
          <w:tcPr>
            <w:tcW w:w="200" w:type="dxa"/>
            <w:vAlign w:val="bottom"/>
            <w:shd w:val="clear" w:color="auto" w:fill="CCECFF"/>
          </w:tcPr>
          <w:p>
            <w:pPr>
              <w:spacing w:after="0"/>
              <w:rPr>
                <w:sz w:val="17"/>
                <w:szCs w:val="17"/>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498.0</w:t>
            </w:r>
          </w:p>
        </w:tc>
        <w:tc>
          <w:tcPr>
            <w:tcW w:w="2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460" w:type="dxa"/>
            <w:vAlign w:val="bottom"/>
            <w:shd w:val="clear" w:color="auto" w:fill="CCECFF"/>
          </w:tcPr>
          <w:p>
            <w:pPr>
              <w:spacing w:after="0"/>
              <w:rPr>
                <w:sz w:val="17"/>
                <w:szCs w:val="17"/>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6"/>
                <w:szCs w:val="16"/>
                <w:color w:val="auto"/>
                <w:w w:val="84"/>
              </w:rPr>
              <w:t>515.6</w:t>
            </w:r>
          </w:p>
        </w:tc>
        <w:tc>
          <w:tcPr>
            <w:tcW w:w="2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6"/>
                <w:szCs w:val="16"/>
                <w:color w:val="auto"/>
              </w:rPr>
              <w:t>(17.6 )</w:t>
            </w:r>
          </w:p>
        </w:tc>
        <w:tc>
          <w:tcPr>
            <w:tcW w:w="102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(3.4 )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0"/>
              <w:spacing w:after="0"/>
              <w:rPr>
                <w:sz w:val="20"/>
                <w:szCs w:val="20"/>
                <w:color w:val="auto"/>
              </w:rPr>
            </w:pPr>
            <w:r>
              <w:rPr>
                <w:rFonts w:ascii="Arial" w:cs="Arial" w:eastAsia="Arial" w:hAnsi="Arial"/>
                <w:sz w:val="17"/>
                <w:szCs w:val="17"/>
                <w:color w:val="auto"/>
              </w:rPr>
              <w:t>As a percent of sales</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6.8 %</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8.0 %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7.2 %</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8.1 %</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(net sales less cost of sales)</w:t>
      </w:r>
    </w:p>
    <w:p>
      <w:pPr>
        <w:spacing w:after="0" w:line="103"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Gross profit increased for the three and nine months ended September 30, 2022 compared to the prior year periods primarily due to higher net sales, decreased costs related to settlements of intellectual property assertions of $4.9 million and $44.2 million, respectively, partially offset by higher material and freight costs and unfavorable product mix. Gross profit as a percentage of sales was relatively unchanged for the three months ended September 30, 2022 but decreased for the nine months ended September 30, 2022 due to higher material and freight costs.</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43"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For the three and nine months ended September 30, 2022, SG&amp;A expense decreased by $32.6 million and $64.4 million, respectively, compared to the prior year periods. The decrease for the three months ended September 30, 2022 was primarily due to a reduction of $20.3 million in transaction, transformation, and integration costs and lower bad debt expense of $13.2 million. The decrease in SG&amp;A for the nine months ended September 30, 2022 was primarily due to cost savings initiatives, a decrease in transaction, transformation, and integration costs of $26.3 million, a gain on the sale of patents of $4.3 million, net of fees and lower bad debt expense of $3.9 million. Bad debt expense for the nine months ended September 30, 2022 included $2.7 million related to the reassessment of the collectability of our outstanding accounts receivable from Russian customers in light of the ongoing Russia/Ukraine conflict.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incur transaction, transformation and integration costs related to CommScope NEXT and such costs are expected to be material.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0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Research and development (R&amp;D) expense decreased for the three and nine months ended September 30, 2022 compared to the prior year periods primarily due to lower spending on ANS, Home and OWN segment products. R&amp;D activities generally relate to ensuring that our products are capable of meeting the evolving technological needs of our customers, bringing new products to market and modifying existing products to better serve our customers.</w:t>
      </w:r>
    </w:p>
    <w:p>
      <w:pPr>
        <w:spacing w:after="0" w:line="2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Amortization of purchased intangible assets, Restructuring costs (credits), net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w w:val="96"/>
              </w:rPr>
              <w:t>Nine Months Ended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9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26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3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68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Change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9"/>
        </w:trPr>
        <w:tc>
          <w:tcPr>
            <w:tcW w:w="2940" w:type="dxa"/>
            <w:vAlign w:val="bottom"/>
            <w:vMerge w:val="restart"/>
          </w:tcPr>
          <w:p>
            <w:pPr>
              <w:ind w:left="20"/>
              <w:spacing w:after="0"/>
              <w:rPr>
                <w:sz w:val="20"/>
                <w:szCs w:val="20"/>
                <w:color w:val="auto"/>
              </w:rPr>
            </w:pPr>
            <w:r>
              <w:rPr>
                <w:rFonts w:ascii="Arial" w:cs="Arial" w:eastAsia="Arial" w:hAnsi="Arial"/>
                <w:sz w:val="18"/>
                <w:szCs w:val="18"/>
                <w:color w:val="auto"/>
              </w:rPr>
              <w:t>Amortization of purchased</w:t>
            </w: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20" w:type="dxa"/>
            <w:vAlign w:val="bottom"/>
          </w:tcPr>
          <w:p>
            <w:pPr>
              <w:ind w:left="100"/>
              <w:spacing w:after="0"/>
              <w:rPr>
                <w:sz w:val="20"/>
                <w:szCs w:val="20"/>
                <w:color w:val="auto"/>
              </w:rPr>
            </w:pPr>
            <w:r>
              <w:rPr>
                <w:rFonts w:ascii="Arial" w:cs="Arial" w:eastAsia="Arial" w:hAnsi="Arial"/>
                <w:sz w:val="14"/>
                <w:szCs w:val="14"/>
                <w:b w:val="1"/>
                <w:bCs w:val="1"/>
                <w:color w:val="auto"/>
                <w:w w:val="79"/>
              </w:rPr>
              <w:t>in</w:t>
            </w:r>
          </w:p>
        </w:tc>
        <w:tc>
          <w:tcPr>
            <w:tcW w:w="640" w:type="dxa"/>
            <w:vAlign w:val="bottom"/>
            <w:tcBorders>
              <w:top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134.6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(18.4 )</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(12.0 )%$</w:t>
            </w:r>
          </w:p>
        </w:tc>
        <w:tc>
          <w:tcPr>
            <w:tcW w:w="500" w:type="dxa"/>
            <w:vAlign w:val="bottom"/>
          </w:tcPr>
          <w:p>
            <w:pPr>
              <w:jc w:val="right"/>
              <w:spacing w:after="0"/>
              <w:rPr>
                <w:sz w:val="20"/>
                <w:szCs w:val="20"/>
                <w:color w:val="auto"/>
              </w:rPr>
            </w:pPr>
            <w:r>
              <w:rPr>
                <w:rFonts w:ascii="Arial" w:cs="Arial" w:eastAsia="Arial" w:hAnsi="Arial"/>
                <w:sz w:val="18"/>
                <w:szCs w:val="18"/>
                <w:color w:val="auto"/>
              </w:rPr>
              <w:t>414.3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461.9</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(47.6 )</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w w:val="85"/>
              </w:rPr>
              <w:t>(10.3 )%</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Restructuring costs (credits), net</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1220" w:type="dxa"/>
            <w:vAlign w:val="bottom"/>
            <w:gridSpan w:val="3"/>
          </w:tcPr>
          <w:p>
            <w:pPr>
              <w:jc w:val="right"/>
              <w:ind w:right="288"/>
              <w:spacing w:after="0"/>
              <w:rPr>
                <w:sz w:val="20"/>
                <w:szCs w:val="20"/>
                <w:color w:val="auto"/>
              </w:rPr>
            </w:pPr>
            <w:r>
              <w:rPr>
                <w:rFonts w:ascii="Arial" w:cs="Arial" w:eastAsia="Arial" w:hAnsi="Arial"/>
                <w:sz w:val="18"/>
                <w:szCs w:val="18"/>
                <w:color w:val="auto"/>
              </w:rPr>
              <w:t>NM</w:t>
            </w: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(47.1 )</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6986905" cy="257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86905" cy="257175"/>
                    </a:xfrm>
                    <a:prstGeom prst="rect">
                      <a:avLst/>
                    </a:prstGeom>
                    <a:noFill/>
                  </pic:spPr>
                </pic:pic>
              </a:graphicData>
            </a:graphic>
          </wp:anchor>
        </w:drawing>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purchased intangible assets</w:t>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three and nine months ended September 30, 2022, amortization of purchased intangible assets was lower compared to the prior year periods because certain of our intangible assets became fully amortized.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 (credits), net</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net restructuring costs recorded during the three and nine months ended September 30, 2022 included $2.1 million and $49.2 million, respectively, related to CommScope NEXT and $0.4 million and $3.9 million, respectively, related to integrating the ARRIS business. From a cash perspective, we paid $11.4 million and $37.9 million to settle restructuring liabilities during the three and nine months ended September 30, 2022, respectively, and expect to pay an additional $12.5 million by the end of 2022 and $52.3 million between 2023 and 2024 related to restructuring actions that have been initiated. The restructuring costs (credits) recorded during the three and nine months ended September 30, 2021 included $(5.1) million and $87.1 million, respectively, related to CommScope NEXT and $2.0 million and $13.1 million, respectively, related to integrating the ARRIS business. Additional restructuring actions related to CommScope NEXT are expected to be identified and the resulting charges and cash requirements could be material. We do not expect to identify significant additional restructuring actions related to the ARRIS integration.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Other income (expense), net</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5"/>
        </w:trPr>
        <w:tc>
          <w:tcPr>
            <w:tcW w:w="3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w:t>
            </w:r>
          </w:p>
        </w:tc>
      </w:tr>
      <w:tr>
        <w:trPr>
          <w:trHeight w:val="169"/>
        </w:trPr>
        <w:tc>
          <w:tcPr>
            <w:tcW w:w="3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69"/>
        </w:trPr>
        <w:tc>
          <w:tcPr>
            <w:tcW w:w="3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w w:val="86"/>
              </w:rPr>
              <w:t>(dollars in</w:t>
            </w:r>
          </w:p>
        </w:tc>
        <w:tc>
          <w:tcPr>
            <w:tcW w:w="140" w:type="dxa"/>
            <w:vAlign w:val="bottom"/>
          </w:tcPr>
          <w:p>
            <w:pPr>
              <w:spacing w:after="0"/>
              <w:rPr>
                <w:sz w:val="14"/>
                <w:szCs w:val="14"/>
                <w:color w:val="auto"/>
              </w:rPr>
            </w:pPr>
          </w:p>
        </w:tc>
        <w:tc>
          <w:tcPr>
            <w:tcW w:w="640" w:type="dxa"/>
            <w:vAlign w:val="bottom"/>
            <w:tcBorders>
              <w:top w:val="single" w:sz="8" w:color="auto"/>
            </w:tcBorders>
            <w:gridSpan w:val="2"/>
          </w:tcPr>
          <w:p>
            <w:pPr>
              <w:jc w:val="right"/>
              <w:ind w:right="101"/>
              <w:spacing w:after="0"/>
              <w:rPr>
                <w:sz w:val="20"/>
                <w:szCs w:val="20"/>
                <w:color w:val="auto"/>
              </w:rPr>
            </w:pPr>
            <w:r>
              <w:rPr>
                <w:rFonts w:ascii="Arial" w:cs="Arial" w:eastAsia="Arial" w:hAnsi="Arial"/>
                <w:sz w:val="14"/>
                <w:szCs w:val="14"/>
                <w:b w:val="1"/>
                <w:bCs w:val="1"/>
                <w:color w:val="auto"/>
                <w:w w:val="76"/>
              </w:rPr>
              <w:t>millions)</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216"/>
        </w:trPr>
        <w:tc>
          <w:tcPr>
            <w:tcW w:w="3220" w:type="dxa"/>
            <w:vAlign w:val="bottom"/>
            <w:shd w:val="clear" w:color="auto" w:fill="CCECFF"/>
          </w:tcPr>
          <w:p>
            <w:pPr>
              <w:spacing w:after="0"/>
              <w:rPr>
                <w:sz w:val="20"/>
                <w:szCs w:val="20"/>
                <w:color w:val="auto"/>
              </w:rPr>
            </w:pPr>
            <w:r>
              <w:rPr>
                <w:rFonts w:ascii="Arial" w:cs="Arial" w:eastAsia="Arial" w:hAnsi="Arial"/>
                <w:sz w:val="18"/>
                <w:szCs w:val="18"/>
                <w:color w:val="auto"/>
              </w:rPr>
              <w:t>Foreign currency gain (loss)</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CFF"/>
          </w:tcPr>
          <w:p>
            <w:pPr>
              <w:spacing w:after="0"/>
              <w:rPr>
                <w:sz w:val="18"/>
                <w:szCs w:val="18"/>
                <w:color w:val="auto"/>
              </w:rPr>
            </w:pPr>
          </w:p>
        </w:tc>
        <w:tc>
          <w:tcPr>
            <w:tcW w:w="1120" w:type="dxa"/>
            <w:vAlign w:val="bottom"/>
            <w:gridSpan w:val="3"/>
            <w:shd w:val="clear" w:color="auto" w:fill="CCECFF"/>
          </w:tcPr>
          <w:p>
            <w:pPr>
              <w:ind w:left="540"/>
              <w:spacing w:after="0"/>
              <w:rPr>
                <w:sz w:val="20"/>
                <w:szCs w:val="20"/>
                <w:color w:val="auto"/>
              </w:rPr>
            </w:pPr>
            <w:r>
              <w:rPr>
                <w:rFonts w:ascii="Arial" w:cs="Arial" w:eastAsia="Arial" w:hAnsi="Arial"/>
                <w:sz w:val="18"/>
                <w:szCs w:val="18"/>
                <w:color w:val="auto"/>
              </w:rPr>
              <w:t>NM  $</w:t>
            </w:r>
          </w:p>
        </w:tc>
        <w:tc>
          <w:tcPr>
            <w:tcW w:w="500" w:type="dxa"/>
            <w:vAlign w:val="bottom"/>
            <w:shd w:val="clear" w:color="auto" w:fill="CCECFF"/>
          </w:tcPr>
          <w:p>
            <w:pPr>
              <w:ind w:left="260"/>
              <w:spacing w:after="0"/>
              <w:rPr>
                <w:sz w:val="20"/>
                <w:szCs w:val="20"/>
                <w:color w:val="auto"/>
              </w:rPr>
            </w:pPr>
            <w:r>
              <w:rPr>
                <w:rFonts w:ascii="Arial" w:cs="Arial" w:eastAsia="Arial" w:hAnsi="Arial"/>
                <w:sz w:val="18"/>
                <w:szCs w:val="18"/>
                <w:color w:val="auto"/>
                <w:w w:val="87"/>
              </w:rPr>
              <w:t>5.2</w:t>
            </w:r>
          </w:p>
        </w:tc>
        <w:tc>
          <w:tcPr>
            <w:tcW w:w="4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CFF"/>
          </w:tcPr>
          <w:p>
            <w:pPr>
              <w:spacing w:after="0"/>
              <w:rPr>
                <w:sz w:val="18"/>
                <w:szCs w:val="18"/>
                <w:color w:val="auto"/>
              </w:rPr>
            </w:pPr>
          </w:p>
        </w:tc>
        <w:tc>
          <w:tcPr>
            <w:tcW w:w="840" w:type="dxa"/>
            <w:vAlign w:val="bottom"/>
            <w:shd w:val="clear" w:color="auto" w:fill="CCECFF"/>
          </w:tcPr>
          <w:p>
            <w:pPr>
              <w:ind w:left="540"/>
              <w:spacing w:after="0"/>
              <w:rPr>
                <w:sz w:val="20"/>
                <w:szCs w:val="20"/>
                <w:color w:val="auto"/>
              </w:rPr>
            </w:pPr>
            <w:r>
              <w:rPr>
                <w:rFonts w:ascii="Arial" w:cs="Arial" w:eastAsia="Arial" w:hAnsi="Arial"/>
                <w:sz w:val="18"/>
                <w:szCs w:val="18"/>
                <w:color w:val="auto"/>
                <w:w w:val="99"/>
              </w:rPr>
              <w:t>NM</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0"/>
                <w:szCs w:val="20"/>
                <w:color w:val="auto"/>
              </w:rPr>
            </w:pPr>
          </w:p>
        </w:tc>
        <w:tc>
          <w:tcPr>
            <w:tcW w:w="1120" w:type="dxa"/>
            <w:vAlign w:val="bottom"/>
            <w:gridSpan w:val="3"/>
          </w:tcPr>
          <w:p>
            <w:pPr>
              <w:ind w:left="540"/>
              <w:spacing w:after="0"/>
              <w:rPr>
                <w:sz w:val="20"/>
                <w:szCs w:val="20"/>
                <w:color w:val="auto"/>
              </w:rPr>
            </w:pPr>
            <w:r>
              <w:rPr>
                <w:rFonts w:ascii="Arial" w:cs="Arial" w:eastAsia="Arial" w:hAnsi="Arial"/>
                <w:sz w:val="18"/>
                <w:szCs w:val="18"/>
                <w:color w:val="auto"/>
              </w:rPr>
              <w:t>NM</w:t>
            </w:r>
          </w:p>
        </w:tc>
        <w:tc>
          <w:tcPr>
            <w:tcW w:w="500" w:type="dxa"/>
            <w:vAlign w:val="bottom"/>
          </w:tcPr>
          <w:p>
            <w:pPr>
              <w:ind w:left="260"/>
              <w:spacing w:after="0"/>
              <w:rPr>
                <w:sz w:val="20"/>
                <w:szCs w:val="20"/>
                <w:color w:val="auto"/>
              </w:rPr>
            </w:pPr>
            <w:r>
              <w:rPr>
                <w:rFonts w:ascii="Arial" w:cs="Arial" w:eastAsia="Arial" w:hAnsi="Arial"/>
                <w:sz w:val="18"/>
                <w:szCs w:val="18"/>
                <w:color w:val="auto"/>
                <w:w w:val="87"/>
              </w:rPr>
              <w:t>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20"/>
                <w:szCs w:val="20"/>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99"/>
              </w:rPr>
              <w:t>NM</w:t>
            </w:r>
          </w:p>
        </w:tc>
      </w:tr>
    </w:tbl>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NM - Not meaningful</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gain (loss)</w:t>
      </w:r>
    </w:p>
    <w:p>
      <w:pPr>
        <w:spacing w:after="0" w:line="103"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Foreign currency gain (loss) includes the net foreign currency gains and losses resulting from the settlement of receivables and payables, foreign currency contracts and short-term intercompany advances in a currency other than the subsidiary’s functional currency. The change in foreign currency gain (loss) for the three and nine months ended September 30, 2022 compared to the prior year periods was primarily driven by certain unhedged currencies.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change in other income (expense), net for the three and nine months ended September 30, 2022 compared to the prior year periods was primarily due to the redemption fee of $34.4 million related to the refinancing of our 5.50% senior secured notes due March 2024 (2024 Secured Notes) in the third quarter of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Interest income and Income taxes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60" w:type="dxa"/>
            <w:vAlign w:val="bottom"/>
          </w:tcPr>
          <w:p>
            <w:pPr>
              <w:spacing w:after="0"/>
              <w:rPr>
                <w:sz w:val="15"/>
                <w:szCs w:val="15"/>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2660" w:type="dxa"/>
            <w:vAlign w:val="bottom"/>
          </w:tcPr>
          <w:p>
            <w:pPr>
              <w:spacing w:after="0"/>
              <w:rPr>
                <w:sz w:val="16"/>
                <w:szCs w:val="16"/>
                <w:color w:val="auto"/>
              </w:rPr>
            </w:pPr>
          </w:p>
        </w:tc>
        <w:tc>
          <w:tcPr>
            <w:tcW w:w="22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6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60" w:type="dxa"/>
            <w:vAlign w:val="bottom"/>
            <w:gridSpan w:val="2"/>
          </w:tcPr>
          <w:p>
            <w:pPr>
              <w:spacing w:after="0"/>
              <w:rPr>
                <w:sz w:val="14"/>
                <w:szCs w:val="14"/>
                <w:color w:val="auto"/>
              </w:rPr>
            </w:pPr>
          </w:p>
        </w:tc>
      </w:tr>
      <w:tr>
        <w:trPr>
          <w:trHeight w:val="169"/>
        </w:trPr>
        <w:tc>
          <w:tcPr>
            <w:tcW w:w="2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(dollars in</w:t>
            </w:r>
          </w:p>
        </w:tc>
        <w:tc>
          <w:tcPr>
            <w:tcW w:w="9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w w:val="97"/>
              </w:rPr>
              <w:t>millions)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(150.9 )  $</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(148.6 )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(2.3 )</w:t>
            </w:r>
          </w:p>
        </w:tc>
        <w:tc>
          <w:tcPr>
            <w:tcW w:w="1440" w:type="dxa"/>
            <w:vAlign w:val="bottom"/>
            <w:gridSpan w:val="3"/>
          </w:tcPr>
          <w:p>
            <w:pPr>
              <w:jc w:val="right"/>
              <w:ind w:right="80"/>
              <w:spacing w:after="0"/>
              <w:rPr>
                <w:sz w:val="20"/>
                <w:szCs w:val="20"/>
                <w:color w:val="auto"/>
              </w:rPr>
            </w:pPr>
            <w:r>
              <w:rPr>
                <w:rFonts w:ascii="Arial" w:cs="Arial" w:eastAsia="Arial" w:hAnsi="Arial"/>
                <w:sz w:val="18"/>
                <w:szCs w:val="18"/>
                <w:color w:val="auto"/>
              </w:rPr>
              <w:t>1.5 % $</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(427.5 )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(424.1 )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0.8 %</w:t>
            </w: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74"/>
        </w:trPr>
        <w:tc>
          <w:tcPr>
            <w:tcW w:w="2660" w:type="dxa"/>
            <w:vAlign w:val="bottom"/>
            <w:shd w:val="clear" w:color="auto" w:fill="CCECFF"/>
          </w:tcPr>
          <w:p>
            <w:pPr>
              <w:ind w:left="20"/>
              <w:spacing w:after="0" w:line="175" w:lineRule="exact"/>
              <w:rPr>
                <w:sz w:val="20"/>
                <w:szCs w:val="20"/>
                <w:color w:val="auto"/>
              </w:rPr>
            </w:pPr>
            <w:r>
              <w:rPr>
                <w:rFonts w:ascii="Arial" w:cs="Arial" w:eastAsia="Arial" w:hAnsi="Arial"/>
                <w:sz w:val="18"/>
                <w:szCs w:val="18"/>
                <w:color w:val="auto"/>
              </w:rPr>
              <w:t>Income tax (expense)</w:t>
            </w:r>
          </w:p>
        </w:tc>
        <w:tc>
          <w:tcPr>
            <w:tcW w:w="7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8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6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9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2660" w:type="dxa"/>
            <w:vAlign w:val="bottom"/>
            <w:shd w:val="clear" w:color="auto" w:fill="CCECFF"/>
          </w:tcPr>
          <w:p>
            <w:pPr>
              <w:ind w:left="160"/>
              <w:spacing w:after="0"/>
              <w:rPr>
                <w:sz w:val="20"/>
                <w:szCs w:val="20"/>
                <w:color w:val="auto"/>
              </w:rPr>
            </w:pPr>
            <w:r>
              <w:rPr>
                <w:rFonts w:ascii="Arial" w:cs="Arial" w:eastAsia="Arial" w:hAnsi="Arial"/>
                <w:sz w:val="18"/>
                <w:szCs w:val="18"/>
                <w:color w:val="auto"/>
              </w:rPr>
              <w:t>benefit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C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(23.0 )</w:t>
            </w:r>
          </w:p>
        </w:tc>
        <w:tc>
          <w:tcPr>
            <w:tcW w:w="1260" w:type="dxa"/>
            <w:vAlign w:val="bottom"/>
            <w:gridSpan w:val="2"/>
            <w:shd w:val="clear" w:color="auto" w:fill="CCECFF"/>
          </w:tcPr>
          <w:p>
            <w:pPr>
              <w:jc w:val="right"/>
              <w:ind w:right="68"/>
              <w:spacing w:after="0"/>
              <w:rPr>
                <w:sz w:val="20"/>
                <w:szCs w:val="20"/>
                <w:color w:val="auto"/>
              </w:rPr>
            </w:pPr>
            <w:r>
              <w:rPr>
                <w:rFonts w:ascii="Arial" w:cs="Arial" w:eastAsia="Arial" w:hAnsi="Arial"/>
                <w:sz w:val="18"/>
                <w:szCs w:val="18"/>
                <w:color w:val="auto"/>
              </w:rPr>
              <w:t>(65.3 )</w:t>
            </w:r>
          </w:p>
        </w:tc>
        <w:tc>
          <w:tcPr>
            <w:tcW w:w="180" w:type="dxa"/>
            <w:vAlign w:val="bottom"/>
            <w:shd w:val="clear" w:color="auto" w:fill="CCECFF"/>
          </w:tcPr>
          <w:p>
            <w:pPr>
              <w:spacing w:after="0"/>
              <w:rPr>
                <w:sz w:val="20"/>
                <w:szCs w:val="20"/>
                <w:color w:val="auto"/>
              </w:rPr>
            </w:pPr>
          </w:p>
        </w:tc>
        <w:tc>
          <w:tcPr>
            <w:tcW w:w="8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(4.2 )</w:t>
            </w:r>
          </w:p>
        </w:tc>
        <w:tc>
          <w:tcPr>
            <w:tcW w:w="220" w:type="dxa"/>
            <w:vAlign w:val="bottom"/>
            <w:shd w:val="clear" w:color="auto" w:fill="CCECFF"/>
          </w:tcPr>
          <w:p>
            <w:pPr>
              <w:spacing w:after="0"/>
              <w:rPr>
                <w:sz w:val="20"/>
                <w:szCs w:val="20"/>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CFF"/>
          </w:tcPr>
          <w:p>
            <w:pPr>
              <w:spacing w:after="0"/>
              <w:rPr>
                <w:sz w:val="20"/>
                <w:szCs w:val="20"/>
                <w:color w:val="auto"/>
              </w:rPr>
            </w:pPr>
          </w:p>
        </w:tc>
        <w:tc>
          <w:tcPr>
            <w:tcW w:w="120" w:type="dxa"/>
            <w:vAlign w:val="bottom"/>
            <w:shd w:val="clear" w:color="auto" w:fill="CCECFF"/>
          </w:tcPr>
          <w:p>
            <w:pPr>
              <w:spacing w:after="0"/>
              <w:rPr>
                <w:sz w:val="20"/>
                <w:szCs w:val="20"/>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(69.5 )</w:t>
            </w:r>
          </w:p>
        </w:tc>
        <w:tc>
          <w:tcPr>
            <w:tcW w:w="10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(106.4 )</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interest income</w:t>
      </w:r>
    </w:p>
    <w:p>
      <w:pPr>
        <w:spacing w:after="0" w:line="10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Interest expense increased slightly for the three and nine months ended September 30, 2022 compared to the prior year periods. The increase was driven by higher interest expense related to our senior secured term loan due 2026 (2026 Term Loan) due to the increased variable interest rate compared to the prior year periods. This increase was partially offset by lower interest on our fixed rate debt due to the refinancing of our 2024 Secured Notes in the third quarter of 2021. We expect our interest expense to continue to increase as a result of the Federal Reserve’s increase in interest rates in 2022 and the expectation that they will continue to raise interest rates into 2023. Our weighted average effective interest rate on outstanding borrowings, including the impact of the interest rate swap and the amortization of debt issuance costs and original issue discount, was 6.53% at September 30, 2022, 5.74% at December 31, 2021 and 5.74% at September 30, 2021.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0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For the three and nine months ended September 30, 2022, we recognized a tax benefit of $12.2 million on pretax income of $10.7 million and $4.2 million of income tax expense on a pretax loss of $173.8 million, respectively. For the three months ended September 30, 2022, our tax benefit was driven by the impacts of federal tax credits, partially offset by unfavorable impacts of U.S. anti-deferral provisions, non-creditable withholding taxes and $3.7 million of tax expense related to state law changes. For the nine months ended September 30, 2022, our tax expense was driven by the unfavorable impacts of U.S. anti-deferral provisions, non-creditable withholding taxes and the tax expense related to state law changes, partially offset by the impacts of federal tax credits.</w:t>
      </w:r>
    </w:p>
    <w:p>
      <w:pPr>
        <w:spacing w:after="0" w:line="19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647"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For the three months ended September 30, 2021, our effective tax rate was 22.1% and we recognized a tax</w:t>
      </w:r>
    </w:p>
    <w:p>
      <w:pPr>
        <w:spacing w:after="0" w:line="23" w:lineRule="exact"/>
        <w:rPr>
          <w:sz w:val="20"/>
          <w:szCs w:val="20"/>
          <w:color w:val="auto"/>
        </w:rPr>
      </w:pPr>
    </w:p>
    <w:p>
      <w:pPr>
        <w:jc w:val="both"/>
        <w:ind w:right="2500"/>
        <w:spacing w:after="0" w:line="269" w:lineRule="auto"/>
        <w:rPr>
          <w:sz w:val="20"/>
          <w:szCs w:val="20"/>
          <w:color w:val="auto"/>
        </w:rPr>
      </w:pPr>
      <w:r>
        <w:rPr>
          <w:rFonts w:ascii="Arial" w:cs="Arial" w:eastAsia="Arial" w:hAnsi="Arial"/>
          <w:sz w:val="16"/>
          <w:szCs w:val="16"/>
          <w:color w:val="auto"/>
        </w:rPr>
        <w:t>benefit of $35.2 million on a pretax loss of $159.4 million. Our tax benefit was higher than the statutory rate of 21% due to favorable changes in uncertain tax positions. For the nine months ended September 30, 2021, our effective tax rate was 14.8% and we recognized a tax benefit of $65.3 million on a pretax loss of $440.9 million. Our tax benefit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lower than the statutory rate primarily due to the impact of $37.4 million in tax expense related to a foreign tax rate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720" w:type="dxa"/>
            <w:vAlign w:val="bottom"/>
          </w:tcPr>
          <w:p>
            <w:pPr>
              <w:jc w:val="right"/>
              <w:ind w:right="53"/>
              <w:spacing w:after="0" w:line="133" w:lineRule="exact"/>
              <w:rPr>
                <w:sz w:val="20"/>
                <w:szCs w:val="20"/>
                <w:color w:val="auto"/>
              </w:rPr>
            </w:pPr>
            <w:r>
              <w:rPr>
                <w:rFonts w:ascii="Arial" w:cs="Arial" w:eastAsia="Arial" w:hAnsi="Arial"/>
                <w:sz w:val="14"/>
                <w:szCs w:val="14"/>
                <w:b w:val="1"/>
                <w:bCs w:val="1"/>
                <w:color w:val="auto"/>
                <w:w w:val="99"/>
              </w:rPr>
              <w:t>% of Net</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800" w:type="dxa"/>
            <w:vAlign w:val="bottom"/>
          </w:tcPr>
          <w:p>
            <w:pPr>
              <w:jc w:val="right"/>
              <w:ind w:right="112"/>
              <w:spacing w:after="0" w:line="133" w:lineRule="exact"/>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vMerge w:val="restart"/>
          </w:tcPr>
          <w:p>
            <w:pPr>
              <w:spacing w:after="0"/>
              <w:rPr>
                <w:sz w:val="11"/>
                <w:szCs w:val="11"/>
                <w:color w:val="auto"/>
              </w:rPr>
            </w:pPr>
          </w:p>
        </w:tc>
        <w:tc>
          <w:tcPr>
            <w:tcW w:w="82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(dollars</w:t>
            </w:r>
          </w:p>
        </w:tc>
        <w:tc>
          <w:tcPr>
            <w:tcW w:w="118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 by segment:</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CCS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382.1</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357.5</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NICS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12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342.3</w:t>
            </w:r>
          </w:p>
        </w:tc>
        <w:tc>
          <w:tcPr>
            <w:tcW w:w="220" w:type="dxa"/>
            <w:vAlign w:val="bottom"/>
            <w:tcBorders>
              <w:bottom w:val="single" w:sz="8" w:color="CCECFF"/>
            </w:tcBorders>
            <w:shd w:val="clear" w:color="auto" w:fill="CCECFF"/>
          </w:tcPr>
          <w:p>
            <w:pPr>
              <w:spacing w:after="0"/>
              <w:rPr>
                <w:sz w:val="18"/>
                <w:szCs w:val="18"/>
                <w:color w:val="auto"/>
              </w:rPr>
            </w:pPr>
          </w:p>
        </w:tc>
        <w:tc>
          <w:tcPr>
            <w:tcW w:w="60" w:type="dxa"/>
            <w:vAlign w:val="bottom"/>
            <w:tcBorders>
              <w:bottom w:val="single" w:sz="8" w:color="CCECFF"/>
            </w:tcBorders>
            <w:shd w:val="clear" w:color="auto" w:fill="CCECFF"/>
          </w:tcPr>
          <w:p>
            <w:pPr>
              <w:spacing w:after="0"/>
              <w:rPr>
                <w:sz w:val="18"/>
                <w:szCs w:val="18"/>
                <w:color w:val="auto"/>
              </w:rPr>
            </w:pPr>
          </w:p>
        </w:tc>
        <w:tc>
          <w:tcPr>
            <w:tcW w:w="7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338.0</w:t>
            </w:r>
          </w:p>
        </w:tc>
        <w:tc>
          <w:tcPr>
            <w:tcW w:w="22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8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CCECFF"/>
            </w:tcBorders>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340"/>
              <w:spacing w:after="0" w:line="209"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391.4</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415.1</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(23.7 )</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(5.7 )</w:t>
            </w: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Consolidated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2,381.4</w:t>
            </w:r>
          </w:p>
        </w:tc>
        <w:tc>
          <w:tcPr>
            <w:tcW w:w="220" w:type="dxa"/>
            <w:vAlign w:val="bottom"/>
            <w:tcBorders>
              <w:top w:val="single" w:sz="8" w:color="CCECFF"/>
            </w:tcBorders>
          </w:tcPr>
          <w:p>
            <w:pPr>
              <w:spacing w:after="0"/>
              <w:rPr>
                <w:sz w:val="18"/>
                <w:szCs w:val="18"/>
                <w:color w:val="auto"/>
              </w:rPr>
            </w:pPr>
          </w:p>
        </w:tc>
        <w:tc>
          <w:tcPr>
            <w:tcW w:w="60" w:type="dxa"/>
            <w:vAlign w:val="bottom"/>
            <w:tcBorders>
              <w:top w:val="single" w:sz="8" w:color="CCECFF"/>
            </w:tcBorders>
          </w:tcPr>
          <w:p>
            <w:pPr>
              <w:spacing w:after="0"/>
              <w:rPr>
                <w:sz w:val="18"/>
                <w:szCs w:val="18"/>
                <w:color w:val="auto"/>
              </w:rPr>
            </w:pPr>
          </w:p>
        </w:tc>
        <w:tc>
          <w:tcPr>
            <w:tcW w:w="7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CECFF"/>
            </w:tcBorders>
          </w:tcPr>
          <w:p>
            <w:pPr>
              <w:spacing w:after="0"/>
              <w:rPr>
                <w:sz w:val="18"/>
                <w:szCs w:val="18"/>
                <w:color w:val="auto"/>
              </w:rPr>
            </w:pPr>
          </w:p>
        </w:tc>
        <w:tc>
          <w:tcPr>
            <w:tcW w:w="340" w:type="dxa"/>
            <w:vAlign w:val="bottom"/>
            <w:tcBorders>
              <w:top w:val="single" w:sz="8" w:color="CCEC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2,105.3</w:t>
            </w:r>
          </w:p>
        </w:tc>
        <w:tc>
          <w:tcPr>
            <w:tcW w:w="22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80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CFF"/>
            </w:tcBorders>
          </w:tcPr>
          <w:p>
            <w:pPr>
              <w:spacing w:after="0"/>
              <w:rPr>
                <w:sz w:val="18"/>
                <w:szCs w:val="18"/>
                <w:color w:val="auto"/>
              </w:rPr>
            </w:pPr>
          </w:p>
        </w:tc>
        <w:tc>
          <w:tcPr>
            <w:tcW w:w="320" w:type="dxa"/>
            <w:vAlign w:val="bottom"/>
            <w:tcBorders>
              <w:top w:val="single" w:sz="8" w:color="CCEC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200" w:type="dxa"/>
            <w:vAlign w:val="bottom"/>
            <w:tcBorders>
              <w:top w:val="single" w:sz="8" w:color="CCECFF"/>
            </w:tcBorders>
          </w:tcPr>
          <w:p>
            <w:pPr>
              <w:spacing w:after="0"/>
              <w:rPr>
                <w:sz w:val="18"/>
                <w:szCs w:val="18"/>
                <w:color w:val="auto"/>
              </w:rPr>
            </w:pPr>
          </w:p>
        </w:tc>
        <w:tc>
          <w:tcPr>
            <w:tcW w:w="8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top w:val="single" w:sz="8" w:color="CCECFF"/>
            </w:tcBorders>
          </w:tcPr>
          <w:p>
            <w:pPr>
              <w:spacing w:after="0"/>
              <w:rPr>
                <w:sz w:val="18"/>
                <w:szCs w:val="18"/>
                <w:color w:val="auto"/>
              </w:rPr>
            </w:pPr>
          </w:p>
        </w:tc>
        <w:tc>
          <w:tcPr>
            <w:tcW w:w="24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3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Operating income (loss) by segment: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CCS</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143.2</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61.9</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81.3</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OWN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NICS</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68"/>
              <w:spacing w:after="0"/>
              <w:rPr>
                <w:sz w:val="20"/>
                <w:szCs w:val="20"/>
                <w:color w:val="auto"/>
              </w:rPr>
            </w:pPr>
            <w:r>
              <w:rPr>
                <w:rFonts w:ascii="Arial" w:cs="Arial" w:eastAsia="Arial" w:hAnsi="Arial"/>
                <w:sz w:val="18"/>
                <w:szCs w:val="18"/>
                <w:color w:val="auto"/>
              </w:rPr>
              <w:t>(38.8 )</w:t>
            </w:r>
          </w:p>
        </w:tc>
        <w:tc>
          <w:tcPr>
            <w:tcW w:w="16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(18.7 )</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ANS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(15.8 )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(39.2 )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(167.5 )</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CFF"/>
          </w:tcPr>
          <w:p>
            <w:pPr>
              <w:ind w:left="340"/>
              <w:spacing w:after="0" w:line="209" w:lineRule="exact"/>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tc>
        <w:tc>
          <w:tcPr>
            <w:tcW w:w="120" w:type="dxa"/>
            <w:vAlign w:val="bottom"/>
            <w:tcBorders>
              <w:top w:val="single" w:sz="8" w:color="auto"/>
            </w:tcBorders>
            <w:shd w:val="clear" w:color="auto" w:fill="CCECFF"/>
          </w:tcPr>
          <w:p>
            <w:pPr>
              <w:spacing w:after="0"/>
              <w:rPr>
                <w:sz w:val="18"/>
                <w:szCs w:val="18"/>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195.3</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Home</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(39.7 )</w:t>
            </w:r>
          </w:p>
        </w:tc>
        <w:tc>
          <w:tcPr>
            <w:tcW w:w="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(10.1 )</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(68.4 )</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(16.5 )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(42.0 )</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Consolidated operating income</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Borders>
              <w:bottom w:val="single" w:sz="8" w:color="CCECFF"/>
            </w:tcBorders>
            <w:shd w:val="clear" w:color="auto" w:fill="CCECFF"/>
          </w:tcPr>
          <w:p>
            <w:pPr>
              <w:spacing w:after="0"/>
              <w:rPr>
                <w:sz w:val="21"/>
                <w:szCs w:val="21"/>
                <w:color w:val="auto"/>
              </w:rPr>
            </w:pPr>
          </w:p>
        </w:tc>
        <w:tc>
          <w:tcPr>
            <w:tcW w:w="60" w:type="dxa"/>
            <w:vAlign w:val="bottom"/>
            <w:tcBorders>
              <w:bottom w:val="single" w:sz="8" w:color="CCECFF"/>
            </w:tcBorders>
            <w:shd w:val="clear" w:color="auto" w:fill="CCECFF"/>
          </w:tcPr>
          <w:p>
            <w:pPr>
              <w:spacing w:after="0"/>
              <w:rPr>
                <w:sz w:val="21"/>
                <w:szCs w:val="21"/>
                <w:color w:val="auto"/>
              </w:rPr>
            </w:pPr>
          </w:p>
        </w:tc>
        <w:tc>
          <w:tcPr>
            <w:tcW w:w="7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CFF"/>
            </w:tcBorders>
            <w:shd w:val="clear" w:color="auto" w:fill="CCECFF"/>
          </w:tcPr>
          <w:p>
            <w:pPr>
              <w:spacing w:after="0"/>
              <w:rPr>
                <w:sz w:val="21"/>
                <w:szCs w:val="21"/>
                <w:color w:val="auto"/>
              </w:rPr>
            </w:pPr>
          </w:p>
        </w:tc>
        <w:tc>
          <w:tcPr>
            <w:tcW w:w="340" w:type="dxa"/>
            <w:vAlign w:val="bottom"/>
            <w:tcBorders>
              <w:bottom w:val="single" w:sz="8" w:color="CCECFF"/>
            </w:tcBorders>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bottom w:val="single" w:sz="8" w:color="CCECFF"/>
            </w:tcBorders>
            <w:shd w:val="clear" w:color="auto" w:fill="CCECFF"/>
          </w:tcPr>
          <w:p>
            <w:pPr>
              <w:spacing w:after="0"/>
              <w:rPr>
                <w:sz w:val="21"/>
                <w:szCs w:val="21"/>
                <w:color w:val="auto"/>
              </w:rPr>
            </w:pPr>
          </w:p>
        </w:tc>
        <w:tc>
          <w:tcPr>
            <w:tcW w:w="8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CCECFF"/>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134.6</w:t>
            </w:r>
          </w:p>
        </w:tc>
        <w:tc>
          <w:tcPr>
            <w:tcW w:w="200" w:type="dxa"/>
            <w:vAlign w:val="bottom"/>
            <w:tcBorders>
              <w:bottom w:val="single" w:sz="8" w:color="CCECFF"/>
            </w:tcBorders>
            <w:shd w:val="clear" w:color="auto" w:fill="CCECFF"/>
          </w:tcPr>
          <w:p>
            <w:pPr>
              <w:spacing w:after="0"/>
              <w:rPr>
                <w:sz w:val="21"/>
                <w:szCs w:val="21"/>
                <w:color w:val="auto"/>
              </w:rPr>
            </w:pPr>
          </w:p>
        </w:tc>
        <w:tc>
          <w:tcPr>
            <w:tcW w:w="8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641.0</w:t>
            </w:r>
          </w:p>
        </w:tc>
        <w:tc>
          <w:tcPr>
            <w:tcW w:w="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Adjusted EBITDA by segment:</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CCS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NICS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8"/>
                <w:szCs w:val="18"/>
                <w:color w:val="auto"/>
              </w:rPr>
              <w:t>(8.6 )</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ANS</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(44.0 )</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(43.2 )</w:t>
            </w: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CFF"/>
            </w:tcBorders>
          </w:tcPr>
          <w:p>
            <w:pPr>
              <w:ind w:left="340"/>
              <w:spacing w:after="0" w:line="209"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20" w:type="dxa"/>
            <w:vAlign w:val="bottom"/>
            <w:tcBorders>
              <w:top w:val="single" w:sz="8" w:color="CCECFF"/>
            </w:tcBorders>
          </w:tcPr>
          <w:p>
            <w:pPr>
              <w:spacing w:after="0"/>
              <w:rPr>
                <w:sz w:val="18"/>
                <w:szCs w:val="18"/>
                <w:color w:val="auto"/>
              </w:rPr>
            </w:pPr>
          </w:p>
        </w:tc>
        <w:tc>
          <w:tcPr>
            <w:tcW w:w="60" w:type="dxa"/>
            <w:vAlign w:val="bottom"/>
            <w:tcBorders>
              <w:top w:val="single" w:sz="8" w:color="CCECFF"/>
            </w:tcBorders>
          </w:tcPr>
          <w:p>
            <w:pPr>
              <w:spacing w:after="0"/>
              <w:rPr>
                <w:sz w:val="18"/>
                <w:szCs w:val="18"/>
                <w:color w:val="auto"/>
              </w:rPr>
            </w:pPr>
          </w:p>
        </w:tc>
        <w:tc>
          <w:tcPr>
            <w:tcW w:w="7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CECFF"/>
            </w:tcBorders>
          </w:tcPr>
          <w:p>
            <w:pPr>
              <w:spacing w:after="0"/>
              <w:rPr>
                <w:sz w:val="18"/>
                <w:szCs w:val="18"/>
                <w:color w:val="auto"/>
              </w:rPr>
            </w:pPr>
          </w:p>
        </w:tc>
        <w:tc>
          <w:tcPr>
            <w:tcW w:w="340" w:type="dxa"/>
            <w:vAlign w:val="bottom"/>
            <w:tcBorders>
              <w:top w:val="single" w:sz="8" w:color="CCEC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22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80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CFF"/>
            </w:tcBorders>
          </w:tcPr>
          <w:p>
            <w:pPr>
              <w:spacing w:after="0"/>
              <w:rPr>
                <w:sz w:val="18"/>
                <w:szCs w:val="18"/>
                <w:color w:val="auto"/>
              </w:rPr>
            </w:pPr>
          </w:p>
        </w:tc>
        <w:tc>
          <w:tcPr>
            <w:tcW w:w="320" w:type="dxa"/>
            <w:vAlign w:val="bottom"/>
            <w:tcBorders>
              <w:top w:val="single" w:sz="8" w:color="CCEC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Borders>
              <w:top w:val="single" w:sz="8" w:color="CCECFF"/>
            </w:tcBorders>
          </w:tcPr>
          <w:p>
            <w:pPr>
              <w:spacing w:after="0"/>
              <w:rPr>
                <w:sz w:val="18"/>
                <w:szCs w:val="18"/>
                <w:color w:val="auto"/>
              </w:rPr>
            </w:pPr>
          </w:p>
        </w:tc>
        <w:tc>
          <w:tcPr>
            <w:tcW w:w="8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top w:val="single" w:sz="8" w:color="CCECFF"/>
            </w:tcBorders>
          </w:tcPr>
          <w:p>
            <w:pPr>
              <w:spacing w:after="0"/>
              <w:rPr>
                <w:sz w:val="18"/>
                <w:szCs w:val="18"/>
                <w:color w:val="auto"/>
              </w:rPr>
            </w:pPr>
          </w:p>
        </w:tc>
        <w:tc>
          <w:tcPr>
            <w:tcW w:w="240" w:type="dxa"/>
            <w:vAlign w:val="bottom"/>
            <w:tcBorders>
              <w:top w:val="single" w:sz="8" w:color="CCECFF"/>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(5.3 )</w:t>
            </w:r>
          </w:p>
        </w:tc>
        <w:tc>
          <w:tcPr>
            <w:tcW w:w="60" w:type="dxa"/>
            <w:vAlign w:val="bottom"/>
            <w:shd w:val="clear" w:color="auto" w:fill="CCECFF"/>
          </w:tcPr>
          <w:p>
            <w:pPr>
              <w:spacing w:after="0"/>
              <w:rPr>
                <w:sz w:val="18"/>
                <w:szCs w:val="18"/>
                <w:color w:val="auto"/>
              </w:rPr>
            </w:pPr>
          </w:p>
        </w:tc>
        <w:tc>
          <w:tcPr>
            <w:tcW w:w="8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(1.4 )</w:t>
            </w:r>
          </w:p>
        </w:tc>
        <w:tc>
          <w:tcPr>
            <w:tcW w:w="34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ind w:right="68"/>
              <w:spacing w:after="0"/>
              <w:rPr>
                <w:sz w:val="20"/>
                <w:szCs w:val="20"/>
                <w:color w:val="auto"/>
              </w:rPr>
            </w:pPr>
            <w:r>
              <w:rPr>
                <w:rFonts w:ascii="Arial" w:cs="Arial" w:eastAsia="Arial" w:hAnsi="Arial"/>
                <w:sz w:val="18"/>
                <w:szCs w:val="18"/>
                <w:color w:val="auto"/>
              </w:rPr>
              <w:t>(15.5 )</w:t>
            </w:r>
          </w:p>
        </w:tc>
        <w:tc>
          <w:tcPr>
            <w:tcW w:w="16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(3.7 )</w:t>
            </w:r>
          </w:p>
        </w:tc>
        <w:tc>
          <w:tcPr>
            <w:tcW w:w="3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(65.8 )</w:t>
            </w:r>
          </w:p>
        </w:tc>
        <w:tc>
          <w:tcPr>
            <w:tcW w:w="240" w:type="dxa"/>
            <w:vAlign w:val="bottom"/>
            <w:shd w:val="clear" w:color="auto" w:fill="CCEC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20" w:type="dxa"/>
            <w:vAlign w:val="bottom"/>
            <w:tcBorders>
              <w:top w:val="single" w:sz="8" w:color="CCECFF"/>
            </w:tcBorders>
          </w:tcPr>
          <w:p>
            <w:pPr>
              <w:ind w:left="20"/>
              <w:spacing w:after="0" w:line="156" w:lineRule="exact"/>
              <w:rPr>
                <w:sz w:val="20"/>
                <w:szCs w:val="20"/>
                <w:color w:val="auto"/>
              </w:rPr>
            </w:pPr>
            <w:r>
              <w:rPr>
                <w:rFonts w:ascii="Arial" w:cs="Arial" w:eastAsia="Arial" w:hAnsi="Arial"/>
                <w:sz w:val="18"/>
                <w:szCs w:val="18"/>
                <w:color w:val="auto"/>
              </w:rPr>
              <w:t>Non-GAAP consolidated adjusted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347.6</w:t>
            </w:r>
          </w:p>
        </w:tc>
        <w:tc>
          <w:tcPr>
            <w:tcW w:w="220" w:type="dxa"/>
            <w:vAlign w:val="bottom"/>
            <w:tcBorders>
              <w:top w:val="single" w:sz="8" w:color="CCECFF"/>
            </w:tcBorders>
          </w:tcPr>
          <w:p>
            <w:pPr>
              <w:spacing w:after="0"/>
              <w:rPr>
                <w:sz w:val="13"/>
                <w:szCs w:val="13"/>
                <w:color w:val="auto"/>
              </w:rPr>
            </w:pPr>
          </w:p>
        </w:tc>
        <w:tc>
          <w:tcPr>
            <w:tcW w:w="60" w:type="dxa"/>
            <w:vAlign w:val="bottom"/>
            <w:tcBorders>
              <w:top w:val="single" w:sz="8" w:color="CCECFF"/>
            </w:tcBorders>
          </w:tcPr>
          <w:p>
            <w:pPr>
              <w:spacing w:after="0"/>
              <w:rPr>
                <w:sz w:val="13"/>
                <w:szCs w:val="13"/>
                <w:color w:val="auto"/>
              </w:rPr>
            </w:pPr>
          </w:p>
        </w:tc>
        <w:tc>
          <w:tcPr>
            <w:tcW w:w="72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340" w:type="dxa"/>
            <w:vAlign w:val="bottom"/>
            <w:tcBorders>
              <w:top w:val="single" w:sz="8" w:color="CCECFF"/>
            </w:tcBorders>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Borders>
              <w:top w:val="single" w:sz="8" w:color="CCECFF"/>
            </w:tcBorders>
          </w:tcPr>
          <w:p>
            <w:pPr>
              <w:spacing w:after="0"/>
              <w:rPr>
                <w:sz w:val="13"/>
                <w:szCs w:val="13"/>
                <w:color w:val="auto"/>
              </w:rPr>
            </w:pPr>
          </w:p>
        </w:tc>
        <w:tc>
          <w:tcPr>
            <w:tcW w:w="160" w:type="dxa"/>
            <w:vAlign w:val="bottom"/>
            <w:tcBorders>
              <w:top w:val="single" w:sz="8" w:color="CCECFF"/>
            </w:tcBorders>
          </w:tcPr>
          <w:p>
            <w:pPr>
              <w:spacing w:after="0"/>
              <w:rPr>
                <w:sz w:val="13"/>
                <w:szCs w:val="13"/>
                <w:color w:val="auto"/>
              </w:rPr>
            </w:pPr>
          </w:p>
        </w:tc>
        <w:tc>
          <w:tcPr>
            <w:tcW w:w="800" w:type="dxa"/>
            <w:vAlign w:val="bottom"/>
            <w:tcBorders>
              <w:top w:val="single" w:sz="8" w:color="CCECFF"/>
            </w:tcBorders>
          </w:tcPr>
          <w:p>
            <w:pPr>
              <w:spacing w:after="0"/>
              <w:rPr>
                <w:sz w:val="13"/>
                <w:szCs w:val="13"/>
                <w:color w:val="auto"/>
              </w:rPr>
            </w:pPr>
          </w:p>
        </w:tc>
        <w:tc>
          <w:tcPr>
            <w:tcW w:w="100" w:type="dxa"/>
            <w:vAlign w:val="bottom"/>
            <w:tcBorders>
              <w:top w:val="single" w:sz="8" w:color="CCECFF"/>
            </w:tcBorders>
          </w:tcPr>
          <w:p>
            <w:pPr>
              <w:spacing w:after="0"/>
              <w:rPr>
                <w:sz w:val="13"/>
                <w:szCs w:val="13"/>
                <w:color w:val="auto"/>
              </w:rPr>
            </w:pPr>
          </w:p>
        </w:tc>
        <w:tc>
          <w:tcPr>
            <w:tcW w:w="320" w:type="dxa"/>
            <w:vAlign w:val="bottom"/>
            <w:tcBorders>
              <w:top w:val="single" w:sz="8" w:color="CCECFF"/>
            </w:tcBorders>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88.5</w:t>
            </w:r>
          </w:p>
        </w:tc>
        <w:tc>
          <w:tcPr>
            <w:tcW w:w="200" w:type="dxa"/>
            <w:vAlign w:val="bottom"/>
            <w:tcBorders>
              <w:top w:val="single" w:sz="8" w:color="CCECFF"/>
            </w:tcBorders>
          </w:tcPr>
          <w:p>
            <w:pPr>
              <w:spacing w:after="0"/>
              <w:rPr>
                <w:sz w:val="13"/>
                <w:szCs w:val="13"/>
                <w:color w:val="auto"/>
              </w:rPr>
            </w:pPr>
          </w:p>
        </w:tc>
        <w:tc>
          <w:tcPr>
            <w:tcW w:w="820" w:type="dxa"/>
            <w:vAlign w:val="bottom"/>
            <w:tcBorders>
              <w:top w:val="single" w:sz="8" w:color="CCECFF"/>
            </w:tcBorders>
          </w:tcPr>
          <w:p>
            <w:pPr>
              <w:spacing w:after="0"/>
              <w:rPr>
                <w:sz w:val="13"/>
                <w:szCs w:val="13"/>
                <w:color w:val="auto"/>
              </w:rPr>
            </w:pPr>
          </w:p>
        </w:tc>
        <w:tc>
          <w:tcPr>
            <w:tcW w:w="80" w:type="dxa"/>
            <w:vAlign w:val="bottom"/>
            <w:tcBorders>
              <w:top w:val="single" w:sz="8" w:color="CCECFF"/>
            </w:tcBorders>
          </w:tcPr>
          <w:p>
            <w:pPr>
              <w:spacing w:after="0"/>
              <w:rPr>
                <w:sz w:val="13"/>
                <w:szCs w:val="13"/>
                <w:color w:val="auto"/>
              </w:rPr>
            </w:pPr>
          </w:p>
        </w:tc>
        <w:tc>
          <w:tcPr>
            <w:tcW w:w="240" w:type="dxa"/>
            <w:vAlign w:val="bottom"/>
            <w:tcBorders>
              <w:top w:val="single" w:sz="8" w:color="CCECFF"/>
            </w:tcBorders>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40"/>
              <w:spacing w:after="0" w:line="202"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3"/>
                <w:szCs w:val="23"/>
                <w:color w:val="auto"/>
                <w:vertAlign w:val="superscript"/>
              </w:rPr>
              <w:t>(2)</w:t>
            </w: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80" w:type="dxa"/>
            <w:vAlign w:val="bottom"/>
          </w:tcPr>
          <w:p>
            <w:pPr>
              <w:spacing w:after="0"/>
              <w:rPr>
                <w:sz w:val="17"/>
                <w:szCs w:val="17"/>
                <w:color w:val="auto"/>
              </w:rPr>
            </w:pPr>
          </w:p>
        </w:tc>
        <w:tc>
          <w:tcPr>
            <w:tcW w:w="34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8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4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-3852545</wp:posOffset>
            </wp:positionV>
            <wp:extent cx="68580" cy="145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-3852545</wp:posOffset>
            </wp:positionV>
            <wp:extent cx="6858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-3852545</wp:posOffset>
            </wp:positionV>
            <wp:extent cx="6858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-3569970</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-3569970</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-3569970</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-2148840</wp:posOffset>
            </wp:positionV>
            <wp:extent cx="3005455" cy="162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005455" cy="16256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-1301115</wp:posOffset>
            </wp:positionV>
            <wp:extent cx="6858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-1301115</wp:posOffset>
            </wp:positionV>
            <wp:extent cx="6858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-1301115</wp:posOffset>
            </wp:positionV>
            <wp:extent cx="6858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-1018540</wp:posOffset>
            </wp:positionV>
            <wp:extent cx="68580" cy="265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-1018540</wp:posOffset>
            </wp:positionV>
            <wp:extent cx="68580" cy="265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-1018540</wp:posOffset>
            </wp:positionV>
            <wp:extent cx="68580" cy="265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5"/>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76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tcPr>
          <w:p>
            <w:pPr>
              <w:jc w:val="right"/>
              <w:ind w:right="57"/>
              <w:spacing w:after="0" w:line="133" w:lineRule="exact"/>
              <w:rPr>
                <w:sz w:val="20"/>
                <w:szCs w:val="20"/>
                <w:color w:val="auto"/>
              </w:rPr>
            </w:pPr>
            <w:r>
              <w:rPr>
                <w:rFonts w:ascii="Arial" w:cs="Arial" w:eastAsia="Arial" w:hAnsi="Arial"/>
                <w:sz w:val="14"/>
                <w:szCs w:val="14"/>
                <w:b w:val="1"/>
                <w:bCs w:val="1"/>
                <w:color w:val="auto"/>
                <w:w w:val="99"/>
              </w:rPr>
              <w:t>% of Net</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960" w:type="dxa"/>
            <w:vAlign w:val="bottom"/>
          </w:tcPr>
          <w:p>
            <w:pPr>
              <w:jc w:val="right"/>
              <w:ind w:right="128"/>
              <w:spacing w:after="0" w:line="133" w:lineRule="exact"/>
              <w:rPr>
                <w:sz w:val="20"/>
                <w:szCs w:val="20"/>
                <w:color w:val="auto"/>
              </w:rPr>
            </w:pPr>
            <w:r>
              <w:rPr>
                <w:rFonts w:ascii="Arial" w:cs="Arial" w:eastAsia="Arial" w:hAnsi="Arial"/>
                <w:sz w:val="14"/>
                <w:szCs w:val="14"/>
                <w:b w:val="1"/>
                <w:bCs w:val="1"/>
                <w:color w:val="auto"/>
              </w:rPr>
              <w:t>% of Net</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Sales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Sales</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sales by segment:</w:t>
            </w:r>
          </w:p>
        </w:tc>
        <w:tc>
          <w:tcPr>
            <w:tcW w:w="120" w:type="dxa"/>
            <w:vAlign w:val="bottom"/>
            <w:tcBorders>
              <w:top w:val="single" w:sz="8" w:color="auto"/>
            </w:tcBorders>
            <w:shd w:val="clear" w:color="auto" w:fill="CCECFF"/>
          </w:tcPr>
          <w:p>
            <w:pPr>
              <w:spacing w:after="0"/>
              <w:rPr>
                <w:sz w:val="18"/>
                <w:szCs w:val="18"/>
                <w:color w:val="auto"/>
              </w:rPr>
            </w:pPr>
          </w:p>
        </w:tc>
        <w:tc>
          <w:tcPr>
            <w:tcW w:w="66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60" w:type="dxa"/>
            <w:vAlign w:val="bottom"/>
            <w:tcBorders>
              <w:top w:val="single" w:sz="8" w:color="auto"/>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20" w:type="dxa"/>
            <w:vAlign w:val="bottom"/>
            <w:tcBorders>
              <w:top w:val="single" w:sz="8" w:color="auto"/>
            </w:tcBorders>
            <w:shd w:val="clear" w:color="auto" w:fill="CCECFF"/>
          </w:tcPr>
          <w:p>
            <w:pPr>
              <w:spacing w:after="0"/>
              <w:rPr>
                <w:sz w:val="18"/>
                <w:szCs w:val="18"/>
                <w:color w:val="auto"/>
              </w:rPr>
            </w:pPr>
          </w:p>
        </w:tc>
        <w:tc>
          <w:tcPr>
            <w:tcW w:w="660" w:type="dxa"/>
            <w:vAlign w:val="bottom"/>
            <w:tcBorders>
              <w:top w:val="single" w:sz="8" w:color="auto"/>
            </w:tcBorders>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70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20" w:type="dxa"/>
            <w:vAlign w:val="bottom"/>
            <w:tcBorders>
              <w:top w:val="single" w:sz="8" w:color="auto"/>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CCS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2,247.9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1,163.1</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1,041.8</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NICS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651.3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200"/>
              <w:spacing w:after="0" w:line="179" w:lineRule="exact"/>
              <w:rPr>
                <w:sz w:val="20"/>
                <w:szCs w:val="20"/>
                <w:color w:val="auto"/>
              </w:rPr>
            </w:pPr>
            <w:r>
              <w:rPr>
                <w:rFonts w:ascii="Arial" w:cs="Arial" w:eastAsia="Arial" w:hAnsi="Arial"/>
                <w:sz w:val="18"/>
                <w:szCs w:val="18"/>
                <w:color w:val="auto"/>
              </w:rPr>
              <w:t>ANS</w:t>
            </w:r>
          </w:p>
        </w:tc>
        <w:tc>
          <w:tcPr>
            <w:tcW w:w="1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Arial" w:cs="Arial" w:eastAsia="Arial" w:hAnsi="Arial"/>
                <w:sz w:val="18"/>
                <w:szCs w:val="18"/>
                <w:color w:val="auto"/>
              </w:rPr>
              <w:t>952.4</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Arial" w:cs="Arial" w:eastAsia="Arial" w:hAnsi="Arial"/>
                <w:sz w:val="18"/>
                <w:szCs w:val="18"/>
                <w:color w:val="auto"/>
              </w:rPr>
              <w:t>13.8</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Arial" w:cs="Arial" w:eastAsia="Arial" w:hAnsi="Arial"/>
                <w:sz w:val="18"/>
                <w:szCs w:val="18"/>
                <w:color w:val="auto"/>
              </w:rPr>
              <w:t>1,078.3</w:t>
            </w:r>
          </w:p>
        </w:tc>
        <w:tc>
          <w:tcPr>
            <w:tcW w:w="118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16.9</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line="179" w:lineRule="exact"/>
              <w:rPr>
                <w:sz w:val="20"/>
                <w:szCs w:val="20"/>
                <w:color w:val="auto"/>
              </w:rPr>
            </w:pPr>
            <w:r>
              <w:rPr>
                <w:rFonts w:ascii="Arial" w:cs="Arial" w:eastAsia="Arial" w:hAnsi="Arial"/>
                <w:sz w:val="18"/>
                <w:szCs w:val="18"/>
                <w:color w:val="auto"/>
              </w:rPr>
              <w:t>(125.9 )</w:t>
            </w:r>
          </w:p>
        </w:tc>
        <w:tc>
          <w:tcPr>
            <w:tcW w:w="90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(11.7 )</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20" w:type="dxa"/>
            <w:vAlign w:val="bottom"/>
            <w:vMerge w:val="restart"/>
          </w:tcPr>
          <w:p>
            <w:pPr>
              <w:ind w:left="340"/>
              <w:spacing w:after="0" w:line="265" w:lineRule="exact"/>
              <w:rPr>
                <w:sz w:val="20"/>
                <w:szCs w:val="20"/>
                <w:color w:val="auto"/>
              </w:rPr>
            </w:pPr>
            <w:r>
              <w:rPr>
                <w:rFonts w:ascii="Arial" w:cs="Arial" w:eastAsia="Arial" w:hAnsi="Arial"/>
                <w:sz w:val="18"/>
                <w:szCs w:val="18"/>
                <w:color w:val="auto"/>
              </w:rPr>
              <w:t xml:space="preserve">Core net sales </w:t>
            </w:r>
            <w:r>
              <w:rPr>
                <w:rFonts w:ascii="Arial" w:cs="Arial" w:eastAsia="Arial" w:hAnsi="Arial"/>
                <w:sz w:val="24"/>
                <w:szCs w:val="24"/>
                <w:color w:val="auto"/>
                <w:vertAlign w:val="superscript"/>
              </w:rPr>
              <w:t>(1)</w:t>
            </w: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81.0</w:t>
            </w:r>
          </w:p>
        </w:tc>
        <w:tc>
          <w:tcPr>
            <w:tcW w:w="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auto"/>
              </w:rPr>
              <w:t>78.4</w:t>
            </w:r>
          </w:p>
        </w:tc>
        <w:tc>
          <w:tcPr>
            <w:tcW w:w="4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5,599.2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4,990.0</w:t>
            </w:r>
          </w:p>
        </w:tc>
        <w:tc>
          <w:tcPr>
            <w:tcW w:w="11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609.2</w:t>
            </w: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1,311.0</w:t>
            </w:r>
          </w:p>
        </w:tc>
        <w:tc>
          <w:tcPr>
            <w:tcW w:w="22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19.0</w:t>
            </w:r>
          </w:p>
        </w:tc>
        <w:tc>
          <w:tcPr>
            <w:tcW w:w="4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1,372.6</w:t>
            </w:r>
          </w:p>
        </w:tc>
        <w:tc>
          <w:tcPr>
            <w:tcW w:w="11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21.6</w:t>
            </w:r>
          </w:p>
        </w:tc>
        <w:tc>
          <w:tcPr>
            <w:tcW w:w="42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(61.6 )</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(4.5 )</w:t>
            </w: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Consolidated 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6,910.2</w:t>
            </w:r>
          </w:p>
        </w:tc>
        <w:tc>
          <w:tcPr>
            <w:tcW w:w="220" w:type="dxa"/>
            <w:vAlign w:val="bottom"/>
            <w:tcBorders>
              <w:top w:val="single" w:sz="8" w:color="CCECFF"/>
            </w:tcBorders>
          </w:tcPr>
          <w:p>
            <w:pPr>
              <w:spacing w:after="0"/>
              <w:rPr>
                <w:sz w:val="18"/>
                <w:szCs w:val="18"/>
                <w:color w:val="auto"/>
              </w:rPr>
            </w:pPr>
          </w:p>
        </w:tc>
        <w:tc>
          <w:tcPr>
            <w:tcW w:w="60" w:type="dxa"/>
            <w:vAlign w:val="bottom"/>
            <w:tcBorders>
              <w:top w:val="single" w:sz="8" w:color="CCECFF"/>
            </w:tcBorders>
          </w:tcPr>
          <w:p>
            <w:pPr>
              <w:spacing w:after="0"/>
              <w:rPr>
                <w:sz w:val="18"/>
                <w:szCs w:val="18"/>
                <w:color w:val="auto"/>
              </w:rPr>
            </w:pPr>
          </w:p>
        </w:tc>
        <w:tc>
          <w:tcPr>
            <w:tcW w:w="7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CECFF"/>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6,362.6</w:t>
            </w:r>
          </w:p>
        </w:tc>
        <w:tc>
          <w:tcPr>
            <w:tcW w:w="1180" w:type="dxa"/>
            <w:vAlign w:val="bottom"/>
            <w:tcBorders>
              <w:top w:val="single" w:sz="8" w:color="CCECFF"/>
            </w:tcBorders>
            <w:gridSpan w:val="2"/>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top w:val="single" w:sz="8" w:color="CCECFF"/>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200" w:type="dxa"/>
            <w:vAlign w:val="bottom"/>
            <w:tcBorders>
              <w:top w:val="single" w:sz="8" w:color="CCECFF"/>
            </w:tcBorders>
          </w:tcPr>
          <w:p>
            <w:pPr>
              <w:spacing w:after="0"/>
              <w:rPr>
                <w:sz w:val="18"/>
                <w:szCs w:val="18"/>
                <w:color w:val="auto"/>
              </w:rPr>
            </w:pPr>
          </w:p>
        </w:tc>
        <w:tc>
          <w:tcPr>
            <w:tcW w:w="8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CCECFF"/>
            </w:tcBorders>
          </w:tcPr>
          <w:p>
            <w:pPr>
              <w:spacing w:after="0"/>
              <w:rPr>
                <w:sz w:val="18"/>
                <w:szCs w:val="18"/>
                <w:color w:val="auto"/>
              </w:rPr>
            </w:pPr>
          </w:p>
        </w:tc>
        <w:tc>
          <w:tcPr>
            <w:tcW w:w="24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60" w:type="dxa"/>
            <w:vAlign w:val="bottom"/>
            <w:shd w:val="clear" w:color="auto" w:fill="CCECFF"/>
          </w:tcPr>
          <w:p>
            <w:pPr>
              <w:spacing w:after="0"/>
              <w:rPr>
                <w:sz w:val="17"/>
                <w:szCs w:val="17"/>
                <w:color w:val="auto"/>
              </w:rPr>
            </w:pPr>
          </w:p>
        </w:tc>
        <w:tc>
          <w:tcPr>
            <w:tcW w:w="72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6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6841490" cy="2825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41490" cy="28257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-307340</wp:posOffset>
            </wp:positionV>
            <wp:extent cx="685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-307340</wp:posOffset>
            </wp:positionV>
            <wp:extent cx="6858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-307340</wp:posOffset>
            </wp:positionV>
            <wp:extent cx="6858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ectPr>
          <w:pgSz w:w="11900" w:h="16838" w:orient="portrait"/>
          <w:cols w:equalWidth="0" w:num="1">
            <w:col w:w="11080"/>
          </w:cols>
          <w:pgMar w:left="320" w:top="656" w:right="499" w:bottom="1440" w:gutter="0" w:footer="0" w:header="0"/>
        </w:sectPr>
      </w:pPr>
    </w:p>
    <w:p>
      <w:pPr>
        <w:ind w:left="20"/>
        <w:spacing w:after="0"/>
        <w:rPr>
          <w:sz w:val="20"/>
          <w:szCs w:val="20"/>
          <w:color w:val="auto"/>
        </w:rPr>
      </w:pPr>
      <w:r>
        <w:rPr>
          <w:rFonts w:ascii="Arial" w:cs="Arial" w:eastAsia="Arial" w:hAnsi="Arial"/>
          <w:sz w:val="16"/>
          <w:szCs w:val="16"/>
          <w:color w:val="auto"/>
        </w:rPr>
        <w:t>Operating income (loss) by segment: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CCS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OWN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NICS</w:t>
      </w:r>
    </w:p>
    <w:p>
      <w:pPr>
        <w:ind w:left="200"/>
        <w:spacing w:after="0" w:line="229" w:lineRule="auto"/>
        <w:rPr>
          <w:sz w:val="20"/>
          <w:szCs w:val="20"/>
          <w:color w:val="auto"/>
        </w:rPr>
      </w:pPr>
      <w:r>
        <w:rPr>
          <w:rFonts w:ascii="Arial" w:cs="Arial" w:eastAsia="Arial" w:hAnsi="Arial"/>
          <w:sz w:val="18"/>
          <w:szCs w:val="18"/>
          <w:color w:val="auto"/>
        </w:rPr>
        <w:t>ANS</w:t>
      </w:r>
    </w:p>
    <w:p>
      <w:pPr>
        <w:ind w:left="340"/>
        <w:spacing w:after="0" w:line="235" w:lineRule="auto"/>
        <w:rPr>
          <w:sz w:val="20"/>
          <w:szCs w:val="20"/>
          <w:color w:val="auto"/>
        </w:rPr>
      </w:pPr>
      <w:r>
        <w:rPr>
          <w:rFonts w:ascii="Arial" w:cs="Arial" w:eastAsia="Arial" w:hAnsi="Arial"/>
          <w:sz w:val="18"/>
          <w:szCs w:val="18"/>
          <w:color w:val="auto"/>
        </w:rPr>
        <w:t xml:space="preserve">Core operating income </w:t>
      </w:r>
      <w:r>
        <w:rPr>
          <w:rFonts w:ascii="Arial" w:cs="Arial" w:eastAsia="Arial" w:hAnsi="Arial"/>
          <w:sz w:val="24"/>
          <w:szCs w:val="24"/>
          <w:color w:val="auto"/>
          <w:vertAlign w:val="superscript"/>
        </w:rPr>
        <w:t>(1)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Home</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operating income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292.1</w:t>
            </w:r>
          </w:p>
        </w:tc>
        <w:tc>
          <w:tcPr>
            <w:tcW w:w="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93.6</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198.5</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163.1</w:t>
            </w:r>
          </w:p>
        </w:tc>
        <w:tc>
          <w:tcPr>
            <w:tcW w:w="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157.1</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(85.4 )</w:t>
            </w:r>
          </w:p>
        </w:tc>
        <w:tc>
          <w:tcPr>
            <w:tcW w:w="740" w:type="dxa"/>
            <w:vAlign w:val="bottom"/>
          </w:tcPr>
          <w:p>
            <w:pPr>
              <w:jc w:val="right"/>
              <w:spacing w:after="0"/>
              <w:rPr>
                <w:sz w:val="20"/>
                <w:szCs w:val="20"/>
                <w:color w:val="auto"/>
              </w:rPr>
            </w:pPr>
            <w:r>
              <w:rPr>
                <w:rFonts w:ascii="Arial" w:cs="Arial" w:eastAsia="Arial" w:hAnsi="Arial"/>
                <w:sz w:val="18"/>
                <w:szCs w:val="18"/>
                <w:color w:val="auto"/>
              </w:rPr>
              <w:t>(13.1 )</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(120.9 )</w:t>
            </w:r>
          </w:p>
        </w:tc>
        <w:tc>
          <w:tcPr>
            <w:tcW w:w="840" w:type="dxa"/>
            <w:vAlign w:val="bottom"/>
          </w:tcPr>
          <w:p>
            <w:pPr>
              <w:jc w:val="right"/>
              <w:spacing w:after="0"/>
              <w:rPr>
                <w:sz w:val="20"/>
                <w:szCs w:val="20"/>
                <w:color w:val="auto"/>
              </w:rPr>
            </w:pPr>
            <w:r>
              <w:rPr>
                <w:rFonts w:ascii="Arial" w:cs="Arial" w:eastAsia="Arial" w:hAnsi="Arial"/>
                <w:sz w:val="18"/>
                <w:szCs w:val="18"/>
                <w:color w:val="auto"/>
              </w:rPr>
              <w:t>(19.4 )</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(29.4 )</w:t>
            </w:r>
          </w:p>
        </w:tc>
        <w:tc>
          <w:tcPr>
            <w:tcW w:w="1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(48.1 )</w:t>
            </w:r>
          </w:p>
        </w:tc>
        <w:tc>
          <w:tcPr>
            <w:tcW w:w="740" w:type="dxa"/>
            <w:vAlign w:val="bottom"/>
          </w:tcPr>
          <w:p>
            <w:pPr>
              <w:jc w:val="right"/>
              <w:spacing w:after="0"/>
              <w:rPr>
                <w:sz w:val="20"/>
                <w:szCs w:val="20"/>
                <w:color w:val="auto"/>
              </w:rPr>
            </w:pPr>
            <w:r>
              <w:rPr>
                <w:rFonts w:ascii="Arial" w:cs="Arial" w:eastAsia="Arial" w:hAnsi="Arial"/>
                <w:sz w:val="18"/>
                <w:szCs w:val="18"/>
                <w:color w:val="auto"/>
              </w:rPr>
              <w:t>(5.1 )</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4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(83.1 )</w:t>
            </w:r>
          </w:p>
        </w:tc>
        <w:tc>
          <w:tcPr>
            <w:tcW w:w="840" w:type="dxa"/>
            <w:vAlign w:val="bottom"/>
          </w:tcPr>
          <w:p>
            <w:pPr>
              <w:jc w:val="right"/>
              <w:spacing w:after="0"/>
              <w:rPr>
                <w:sz w:val="20"/>
                <w:szCs w:val="20"/>
                <w:color w:val="auto"/>
              </w:rPr>
            </w:pPr>
            <w:r>
              <w:rPr>
                <w:rFonts w:ascii="Arial" w:cs="Arial" w:eastAsia="Arial" w:hAnsi="Arial"/>
                <w:sz w:val="18"/>
                <w:szCs w:val="18"/>
                <w:color w:val="auto"/>
              </w:rPr>
              <w:t>(237.4 )</w:t>
            </w:r>
          </w:p>
        </w:tc>
        <w:tc>
          <w:tcPr>
            <w:tcW w:w="180" w:type="dxa"/>
            <w:vAlign w:val="bottom"/>
          </w:tcPr>
          <w:p>
            <w:pPr>
              <w:spacing w:after="0"/>
              <w:rPr>
                <w:sz w:val="20"/>
                <w:szCs w:val="20"/>
                <w:color w:val="auto"/>
              </w:rPr>
            </w:pPr>
          </w:p>
        </w:tc>
      </w:tr>
      <w:tr>
        <w:trPr>
          <w:trHeight w:val="195"/>
        </w:trPr>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321.7</w:t>
            </w:r>
          </w:p>
        </w:tc>
        <w:tc>
          <w:tcPr>
            <w:tcW w:w="340" w:type="dxa"/>
            <w:vAlign w:val="bottom"/>
          </w:tcPr>
          <w:p>
            <w:pPr>
              <w:spacing w:after="0"/>
              <w:rPr>
                <w:sz w:val="16"/>
                <w:szCs w:val="16"/>
                <w:color w:val="auto"/>
              </w:rPr>
            </w:pPr>
          </w:p>
        </w:tc>
        <w:tc>
          <w:tcPr>
            <w:tcW w:w="7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5.7</w:t>
            </w: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164.8</w:t>
            </w:r>
          </w:p>
        </w:tc>
        <w:tc>
          <w:tcPr>
            <w:tcW w:w="440" w:type="dxa"/>
            <w:vAlign w:val="bottom"/>
          </w:tcPr>
          <w:p>
            <w:pPr>
              <w:spacing w:after="0"/>
              <w:rPr>
                <w:sz w:val="16"/>
                <w:szCs w:val="16"/>
                <w:color w:val="auto"/>
              </w:rPr>
            </w:pPr>
          </w:p>
        </w:tc>
        <w:tc>
          <w:tcPr>
            <w:tcW w:w="8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3.3</w:t>
            </w:r>
          </w:p>
        </w:tc>
        <w:tc>
          <w:tcPr>
            <w:tcW w:w="3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156.9</w:t>
            </w:r>
          </w:p>
        </w:tc>
        <w:tc>
          <w:tcPr>
            <w:tcW w:w="260" w:type="dxa"/>
            <w:vAlign w:val="bottom"/>
          </w:tcPr>
          <w:p>
            <w:pPr>
              <w:spacing w:after="0"/>
              <w:rPr>
                <w:sz w:val="16"/>
                <w:szCs w:val="16"/>
                <w:color w:val="auto"/>
              </w:rPr>
            </w:pPr>
          </w:p>
        </w:tc>
        <w:tc>
          <w:tcPr>
            <w:tcW w:w="8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95.2</w:t>
            </w:r>
          </w:p>
        </w:tc>
        <w:tc>
          <w:tcPr>
            <w:tcW w:w="180" w:type="dxa"/>
            <w:vAlign w:val="bottom"/>
          </w:tcPr>
          <w:p>
            <w:pPr>
              <w:spacing w:after="0"/>
              <w:rPr>
                <w:sz w:val="16"/>
                <w:szCs w:val="16"/>
                <w:color w:val="auto"/>
              </w:rPr>
            </w:pPr>
          </w:p>
        </w:tc>
      </w:tr>
      <w:tr>
        <w:trPr>
          <w:trHeight w:val="230"/>
        </w:trPr>
        <w:tc>
          <w:tcPr>
            <w:tcW w:w="24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(76.2 )</w:t>
            </w:r>
          </w:p>
        </w:tc>
        <w:tc>
          <w:tcPr>
            <w:tcW w:w="740" w:type="dxa"/>
            <w:vAlign w:val="bottom"/>
          </w:tcPr>
          <w:p>
            <w:pPr>
              <w:jc w:val="right"/>
              <w:spacing w:after="0"/>
              <w:rPr>
                <w:sz w:val="20"/>
                <w:szCs w:val="20"/>
                <w:color w:val="auto"/>
              </w:rPr>
            </w:pPr>
            <w:r>
              <w:rPr>
                <w:rFonts w:ascii="Arial" w:cs="Arial" w:eastAsia="Arial" w:hAnsi="Arial"/>
                <w:sz w:val="18"/>
                <w:szCs w:val="18"/>
                <w:color w:val="auto"/>
              </w:rPr>
              <w:t>(5.8 )</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(153.3 )</w:t>
            </w:r>
          </w:p>
        </w:tc>
        <w:tc>
          <w:tcPr>
            <w:tcW w:w="840" w:type="dxa"/>
            <w:vAlign w:val="bottom"/>
          </w:tcPr>
          <w:p>
            <w:pPr>
              <w:jc w:val="right"/>
              <w:spacing w:after="0"/>
              <w:rPr>
                <w:sz w:val="20"/>
                <w:szCs w:val="20"/>
                <w:color w:val="auto"/>
              </w:rPr>
            </w:pPr>
            <w:r>
              <w:rPr>
                <w:rFonts w:ascii="Arial" w:cs="Arial" w:eastAsia="Arial" w:hAnsi="Arial"/>
                <w:sz w:val="18"/>
                <w:szCs w:val="18"/>
                <w:color w:val="auto"/>
              </w:rPr>
              <w:t>(11.2 )</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77.1</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(50.3 )</w:t>
            </w:r>
          </w:p>
        </w:tc>
        <w:tc>
          <w:tcPr>
            <w:tcW w:w="180" w:type="dxa"/>
            <w:vAlign w:val="bottom"/>
          </w:tcPr>
          <w:p>
            <w:pPr>
              <w:spacing w:after="0"/>
              <w:rPr>
                <w:sz w:val="20"/>
                <w:szCs w:val="20"/>
                <w:color w:val="auto"/>
              </w:rPr>
            </w:pPr>
          </w:p>
        </w:tc>
      </w:tr>
      <w:tr>
        <w:trPr>
          <w:trHeight w:val="209"/>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3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2,034.8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-1001395</wp:posOffset>
            </wp:positionV>
            <wp:extent cx="684149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-727075</wp:posOffset>
            </wp:positionV>
            <wp:extent cx="684149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-444500</wp:posOffset>
            </wp:positionV>
            <wp:extent cx="684149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41490" cy="13716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-161925</wp:posOffset>
            </wp:positionV>
            <wp:extent cx="6841490" cy="2997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41490" cy="299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720"/>
            <w:col w:w="7060"/>
          </w:cols>
          <w:pgMar w:left="320" w:top="656" w:right="4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Adjusted EBITDA by segment:</w:t>
            </w:r>
          </w:p>
        </w:tc>
        <w:tc>
          <w:tcPr>
            <w:tcW w:w="24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540" w:type="dxa"/>
            <w:vAlign w:val="bottom"/>
            <w:shd w:val="clear" w:color="auto" w:fill="CCECFF"/>
          </w:tcPr>
          <w:p>
            <w:pPr>
              <w:spacing w:after="0"/>
              <w:rPr>
                <w:sz w:val="18"/>
                <w:szCs w:val="18"/>
                <w:color w:val="auto"/>
              </w:rPr>
            </w:pPr>
          </w:p>
        </w:tc>
        <w:tc>
          <w:tcPr>
            <w:tcW w:w="46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6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CCS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455.6</w:t>
            </w:r>
          </w:p>
        </w:tc>
        <w:tc>
          <w:tcPr>
            <w:tcW w:w="3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351.4</w:t>
            </w:r>
          </w:p>
        </w:tc>
        <w:tc>
          <w:tcPr>
            <w:tcW w:w="4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104.2</w:t>
            </w:r>
          </w:p>
        </w:tc>
        <w:tc>
          <w:tcPr>
            <w:tcW w:w="3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29.7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OWN</w:t>
            </w:r>
          </w:p>
        </w:tc>
        <w:tc>
          <w:tcPr>
            <w:tcW w:w="24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228.6</w:t>
            </w:r>
          </w:p>
        </w:tc>
        <w:tc>
          <w:tcPr>
            <w:tcW w:w="380" w:type="dxa"/>
            <w:vAlign w:val="bottom"/>
            <w:shd w:val="clear" w:color="auto" w:fill="CCECFF"/>
          </w:tcPr>
          <w:p>
            <w:pPr>
              <w:spacing w:after="0"/>
              <w:rPr>
                <w:sz w:val="18"/>
                <w:szCs w:val="18"/>
                <w:color w:val="auto"/>
              </w:rPr>
            </w:pPr>
          </w:p>
        </w:tc>
        <w:tc>
          <w:tcPr>
            <w:tcW w:w="7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213.6</w:t>
            </w:r>
          </w:p>
        </w:tc>
        <w:tc>
          <w:tcPr>
            <w:tcW w:w="460" w:type="dxa"/>
            <w:vAlign w:val="bottom"/>
            <w:shd w:val="clear" w:color="auto" w:fill="CCECFF"/>
          </w:tcPr>
          <w:p>
            <w:pPr>
              <w:spacing w:after="0"/>
              <w:rPr>
                <w:sz w:val="18"/>
                <w:szCs w:val="18"/>
                <w:color w:val="auto"/>
              </w:rPr>
            </w:pPr>
          </w:p>
        </w:tc>
        <w:tc>
          <w:tcPr>
            <w:tcW w:w="8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CFF"/>
          </w:tcPr>
          <w:p>
            <w:pPr>
              <w:spacing w:after="0"/>
              <w:rPr>
                <w:sz w:val="18"/>
                <w:szCs w:val="18"/>
                <w:color w:val="auto"/>
              </w:rPr>
            </w:pPr>
          </w:p>
        </w:tc>
        <w:tc>
          <w:tcPr>
            <w:tcW w:w="76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NICS</w:t>
            </w:r>
          </w:p>
        </w:tc>
        <w:tc>
          <w:tcPr>
            <w:tcW w:w="2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(4.4 )</w:t>
            </w:r>
          </w:p>
        </w:tc>
        <w:tc>
          <w:tcPr>
            <w:tcW w:w="700" w:type="dxa"/>
            <w:vAlign w:val="bottom"/>
          </w:tcPr>
          <w:p>
            <w:pPr>
              <w:jc w:val="right"/>
              <w:spacing w:after="0"/>
              <w:rPr>
                <w:sz w:val="20"/>
                <w:szCs w:val="20"/>
                <w:color w:val="auto"/>
              </w:rPr>
            </w:pPr>
            <w:r>
              <w:rPr>
                <w:rFonts w:ascii="Arial" w:cs="Arial" w:eastAsia="Arial" w:hAnsi="Arial"/>
                <w:sz w:val="18"/>
                <w:szCs w:val="18"/>
                <w:color w:val="auto"/>
              </w:rPr>
              <w:t>(0.7 )</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(21.5 )</w:t>
            </w:r>
          </w:p>
        </w:tc>
        <w:tc>
          <w:tcPr>
            <w:tcW w:w="820" w:type="dxa"/>
            <w:vAlign w:val="bottom"/>
          </w:tcPr>
          <w:p>
            <w:pPr>
              <w:jc w:val="right"/>
              <w:spacing w:after="0"/>
              <w:rPr>
                <w:sz w:val="20"/>
                <w:szCs w:val="20"/>
                <w:color w:val="auto"/>
              </w:rPr>
            </w:pPr>
            <w:r>
              <w:rPr>
                <w:rFonts w:ascii="Arial" w:cs="Arial" w:eastAsia="Arial" w:hAnsi="Arial"/>
                <w:sz w:val="18"/>
                <w:szCs w:val="18"/>
                <w:color w:val="auto"/>
              </w:rPr>
              <w:t>(3.5 )</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(79.5 )</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020" w:type="dxa"/>
            <w:vAlign w:val="bottom"/>
          </w:tcPr>
          <w:p>
            <w:pPr>
              <w:ind w:left="200"/>
              <w:spacing w:after="0" w:line="179" w:lineRule="exact"/>
              <w:rPr>
                <w:sz w:val="20"/>
                <w:szCs w:val="20"/>
                <w:color w:val="auto"/>
              </w:rPr>
            </w:pPr>
            <w:r>
              <w:rPr>
                <w:rFonts w:ascii="Arial" w:cs="Arial" w:eastAsia="Arial" w:hAnsi="Arial"/>
                <w:sz w:val="18"/>
                <w:szCs w:val="18"/>
                <w:color w:val="auto"/>
              </w:rPr>
              <w:t>ANS</w:t>
            </w:r>
          </w:p>
        </w:tc>
        <w:tc>
          <w:tcPr>
            <w:tcW w:w="240" w:type="dxa"/>
            <w:vAlign w:val="bottom"/>
          </w:tcPr>
          <w:p>
            <w:pPr>
              <w:spacing w:after="0"/>
              <w:rPr>
                <w:sz w:val="15"/>
                <w:szCs w:val="15"/>
                <w:color w:val="auto"/>
              </w:rPr>
            </w:pPr>
          </w:p>
        </w:tc>
        <w:tc>
          <w:tcPr>
            <w:tcW w:w="540" w:type="dxa"/>
            <w:vAlign w:val="bottom"/>
          </w:tcPr>
          <w:p>
            <w:pPr>
              <w:jc w:val="right"/>
              <w:spacing w:after="0" w:line="179" w:lineRule="exact"/>
              <w:rPr>
                <w:sz w:val="20"/>
                <w:szCs w:val="20"/>
                <w:color w:val="auto"/>
              </w:rPr>
            </w:pPr>
            <w:r>
              <w:rPr>
                <w:rFonts w:ascii="Arial" w:cs="Arial" w:eastAsia="Arial" w:hAnsi="Arial"/>
                <w:sz w:val="18"/>
                <w:szCs w:val="18"/>
                <w:color w:val="auto"/>
              </w:rPr>
              <w:t>189.9</w:t>
            </w:r>
          </w:p>
        </w:tc>
        <w:tc>
          <w:tcPr>
            <w:tcW w:w="380" w:type="dxa"/>
            <w:vAlign w:val="bottom"/>
          </w:tcPr>
          <w:p>
            <w:pPr>
              <w:spacing w:after="0"/>
              <w:rPr>
                <w:sz w:val="15"/>
                <w:szCs w:val="15"/>
                <w:color w:val="auto"/>
              </w:rPr>
            </w:pPr>
          </w:p>
        </w:tc>
        <w:tc>
          <w:tcPr>
            <w:tcW w:w="700" w:type="dxa"/>
            <w:vAlign w:val="bottom"/>
          </w:tcPr>
          <w:p>
            <w:pPr>
              <w:jc w:val="right"/>
              <w:ind w:right="10"/>
              <w:spacing w:after="0" w:line="179" w:lineRule="exact"/>
              <w:rPr>
                <w:sz w:val="20"/>
                <w:szCs w:val="20"/>
                <w:color w:val="auto"/>
              </w:rPr>
            </w:pPr>
            <w:r>
              <w:rPr>
                <w:rFonts w:ascii="Arial" w:cs="Arial" w:eastAsia="Arial" w:hAnsi="Arial"/>
                <w:sz w:val="18"/>
                <w:szCs w:val="18"/>
                <w:color w:val="auto"/>
              </w:rPr>
              <w:t>19.9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line="179" w:lineRule="exact"/>
              <w:rPr>
                <w:sz w:val="20"/>
                <w:szCs w:val="20"/>
                <w:color w:val="auto"/>
              </w:rPr>
            </w:pPr>
            <w:r>
              <w:rPr>
                <w:rFonts w:ascii="Arial" w:cs="Arial" w:eastAsia="Arial" w:hAnsi="Arial"/>
                <w:sz w:val="18"/>
                <w:szCs w:val="18"/>
                <w:color w:val="auto"/>
              </w:rPr>
              <w:t>294.3</w:t>
            </w:r>
          </w:p>
        </w:tc>
        <w:tc>
          <w:tcPr>
            <w:tcW w:w="460" w:type="dxa"/>
            <w:vAlign w:val="bottom"/>
          </w:tcPr>
          <w:p>
            <w:pPr>
              <w:spacing w:after="0"/>
              <w:rPr>
                <w:sz w:val="15"/>
                <w:szCs w:val="15"/>
                <w:color w:val="auto"/>
              </w:rPr>
            </w:pPr>
          </w:p>
        </w:tc>
        <w:tc>
          <w:tcPr>
            <w:tcW w:w="820" w:type="dxa"/>
            <w:vAlign w:val="bottom"/>
          </w:tcPr>
          <w:p>
            <w:pPr>
              <w:jc w:val="right"/>
              <w:ind w:right="30"/>
              <w:spacing w:after="0" w:line="179" w:lineRule="exact"/>
              <w:rPr>
                <w:sz w:val="20"/>
                <w:szCs w:val="20"/>
                <w:color w:val="auto"/>
              </w:rPr>
            </w:pPr>
            <w:r>
              <w:rPr>
                <w:rFonts w:ascii="Arial" w:cs="Arial" w:eastAsia="Arial" w:hAnsi="Arial"/>
                <w:sz w:val="18"/>
                <w:szCs w:val="18"/>
                <w:color w:val="auto"/>
              </w:rPr>
              <w:t>27.3</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280"/>
              <w:spacing w:after="0" w:line="179" w:lineRule="exact"/>
              <w:rPr>
                <w:sz w:val="20"/>
                <w:szCs w:val="20"/>
                <w:color w:val="auto"/>
              </w:rPr>
            </w:pPr>
            <w:r>
              <w:rPr>
                <w:rFonts w:ascii="Arial" w:cs="Arial" w:eastAsia="Arial" w:hAnsi="Arial"/>
                <w:sz w:val="18"/>
                <w:szCs w:val="18"/>
                <w:color w:val="auto"/>
              </w:rPr>
              <w:t>(104.4 )</w:t>
            </w:r>
          </w:p>
        </w:tc>
        <w:tc>
          <w:tcPr>
            <w:tcW w:w="760" w:type="dxa"/>
            <w:vAlign w:val="bottom"/>
          </w:tcPr>
          <w:p>
            <w:pPr>
              <w:jc w:val="right"/>
              <w:spacing w:after="0" w:line="179" w:lineRule="exact"/>
              <w:rPr>
                <w:sz w:val="20"/>
                <w:szCs w:val="20"/>
                <w:color w:val="auto"/>
              </w:rPr>
            </w:pPr>
            <w:r>
              <w:rPr>
                <w:rFonts w:ascii="Arial" w:cs="Arial" w:eastAsia="Arial" w:hAnsi="Arial"/>
                <w:sz w:val="18"/>
                <w:szCs w:val="18"/>
                <w:color w:val="auto"/>
              </w:rPr>
              <w:t>(35.5 )</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20" w:type="dxa"/>
            <w:vAlign w:val="bottom"/>
            <w:vMerge w:val="restart"/>
          </w:tcPr>
          <w:p>
            <w:pPr>
              <w:ind w:left="340"/>
              <w:spacing w:after="0" w:line="265" w:lineRule="exact"/>
              <w:rPr>
                <w:sz w:val="20"/>
                <w:szCs w:val="20"/>
                <w:color w:val="auto"/>
              </w:rPr>
            </w:pPr>
            <w:r>
              <w:rPr>
                <w:rFonts w:ascii="Arial" w:cs="Arial" w:eastAsia="Arial" w:hAnsi="Arial"/>
                <w:sz w:val="18"/>
                <w:szCs w:val="18"/>
                <w:color w:val="auto"/>
              </w:rPr>
              <w:t xml:space="preserve">Core adjusted EBITDA </w:t>
            </w:r>
            <w:r>
              <w:rPr>
                <w:rFonts w:ascii="Arial" w:cs="Arial" w:eastAsia="Arial" w:hAnsi="Arial"/>
                <w:sz w:val="24"/>
                <w:szCs w:val="24"/>
                <w:color w:val="auto"/>
                <w:vertAlign w:val="superscript"/>
              </w:rPr>
              <w:t>(1)</w:t>
            </w: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vMerge w:val="restart"/>
          </w:tcPr>
          <w:p>
            <w:pPr>
              <w:jc w:val="right"/>
              <w:ind w:right="1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vMerge w:val="restart"/>
          </w:tcPr>
          <w:p>
            <w:pPr>
              <w:spacing w:after="0"/>
              <w:rPr>
                <w:sz w:val="3"/>
                <w:szCs w:val="3"/>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40" w:type="dxa"/>
            <w:vAlign w:val="bottom"/>
            <w:vMerge w:val="restart"/>
          </w:tcPr>
          <w:p>
            <w:pPr>
              <w:spacing w:after="0"/>
              <w:rPr>
                <w:sz w:val="3"/>
                <w:szCs w:val="3"/>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869.7</w:t>
            </w:r>
          </w:p>
        </w:tc>
        <w:tc>
          <w:tcPr>
            <w:tcW w:w="3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837.8</w:t>
            </w:r>
          </w:p>
        </w:tc>
        <w:tc>
          <w:tcPr>
            <w:tcW w:w="4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w:t>
            </w:r>
          </w:p>
        </w:tc>
        <w:tc>
          <w:tcPr>
            <w:tcW w:w="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Home</w:t>
            </w:r>
          </w:p>
        </w:tc>
        <w:tc>
          <w:tcPr>
            <w:tcW w:w="240" w:type="dxa"/>
            <w:vAlign w:val="bottom"/>
            <w:tcBorders>
              <w:bottom w:val="single" w:sz="8" w:color="auto"/>
            </w:tcBorders>
            <w:shd w:val="clear" w:color="auto" w:fill="CCECFF"/>
          </w:tcPr>
          <w:p>
            <w:pPr>
              <w:spacing w:after="0"/>
              <w:rPr>
                <w:sz w:val="18"/>
                <w:szCs w:val="18"/>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30.8</w:t>
            </w:r>
          </w:p>
        </w:tc>
        <w:tc>
          <w:tcPr>
            <w:tcW w:w="380" w:type="dxa"/>
            <w:vAlign w:val="bottom"/>
            <w:tcBorders>
              <w:bottom w:val="single" w:sz="8" w:color="CCECFF"/>
            </w:tcBorders>
            <w:shd w:val="clear" w:color="auto" w:fill="CCECFF"/>
          </w:tcPr>
          <w:p>
            <w:pPr>
              <w:spacing w:after="0"/>
              <w:rPr>
                <w:sz w:val="18"/>
                <w:szCs w:val="18"/>
                <w:color w:val="auto"/>
              </w:rPr>
            </w:pPr>
          </w:p>
        </w:tc>
        <w:tc>
          <w:tcPr>
            <w:tcW w:w="700" w:type="dxa"/>
            <w:vAlign w:val="bottom"/>
            <w:tcBorders>
              <w:bottom w:val="single" w:sz="8" w:color="CCECFF"/>
            </w:tcBorders>
            <w:shd w:val="clear" w:color="auto" w:fill="CCECFF"/>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ind w:right="3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tcBorders>
              <w:bottom w:val="single" w:sz="8" w:color="CCECFF"/>
            </w:tcBorders>
            <w:shd w:val="clear" w:color="auto" w:fill="CCECFF"/>
          </w:tcPr>
          <w:p>
            <w:pPr>
              <w:spacing w:after="0"/>
              <w:rPr>
                <w:sz w:val="18"/>
                <w:szCs w:val="18"/>
                <w:color w:val="auto"/>
              </w:rPr>
            </w:pPr>
          </w:p>
        </w:tc>
        <w:tc>
          <w:tcPr>
            <w:tcW w:w="760" w:type="dxa"/>
            <w:vAlign w:val="bottom"/>
            <w:tcBorders>
              <w:bottom w:val="single" w:sz="8" w:color="CCECFF"/>
            </w:tcBorders>
            <w:shd w:val="clear" w:color="auto" w:fill="CCECFF"/>
          </w:tcPr>
          <w:p>
            <w:pPr>
              <w:jc w:val="right"/>
              <w:ind w:right="10"/>
              <w:spacing w:after="0"/>
              <w:rPr>
                <w:sz w:val="20"/>
                <w:szCs w:val="20"/>
                <w:color w:val="auto"/>
              </w:rPr>
            </w:pPr>
            <w:r>
              <w:rPr>
                <w:rFonts w:ascii="Arial" w:cs="Arial" w:eastAsia="Arial" w:hAnsi="Arial"/>
                <w:sz w:val="18"/>
                <w:szCs w:val="18"/>
                <w:color w:val="auto"/>
              </w:rPr>
              <w:t>65.6</w:t>
            </w:r>
          </w:p>
        </w:tc>
        <w:tc>
          <w:tcPr>
            <w:tcW w:w="24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rPr>
              <w:t>Non-GAAP consolidated adjusted</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900.5</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856.4</w:t>
            </w: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160"/>
              <w:spacing w:after="0" w:line="202"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3"/>
                <w:szCs w:val="23"/>
                <w:color w:val="auto"/>
                <w:vertAlign w:val="superscript"/>
              </w:rPr>
              <w:t>(2)</w:t>
            </w:r>
          </w:p>
        </w:tc>
        <w:tc>
          <w:tcPr>
            <w:tcW w:w="2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w:t>
            </w:r>
          </w:p>
        </w:tc>
        <w:tc>
          <w:tcPr>
            <w:tcW w:w="34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13.5</w:t>
            </w:r>
          </w:p>
        </w:tc>
        <w:tc>
          <w:tcPr>
            <w:tcW w:w="32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-684530</wp:posOffset>
            </wp:positionV>
            <wp:extent cx="6841490" cy="2825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41490" cy="28257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-264795</wp:posOffset>
            </wp:positionV>
            <wp:extent cx="68580" cy="539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53911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-264795</wp:posOffset>
            </wp:positionV>
            <wp:extent cx="68580" cy="539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53911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-264795</wp:posOffset>
            </wp:positionV>
            <wp:extent cx="68580" cy="539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539115"/>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Components may not sum to total due to rounding.</w:t>
      </w:r>
    </w:p>
    <w:p>
      <w:pPr>
        <w:spacing w:after="0" w:line="49" w:lineRule="exact"/>
        <w:rPr>
          <w:sz w:val="20"/>
          <w:szCs w:val="20"/>
          <w:color w:val="auto"/>
        </w:rPr>
      </w:pPr>
    </w:p>
    <w:p>
      <w:pPr>
        <w:ind w:left="520" w:right="300" w:hanging="467"/>
        <w:spacing w:after="0" w:line="250"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Core financial measures reflect the results of our CCS, OWN, NICS and ANS segments, in the aggregate. Core financial measures exclude the results of our Home segment.</w:t>
      </w:r>
    </w:p>
    <w:p>
      <w:pPr>
        <w:spacing w:after="0" w:line="1" w:lineRule="exact"/>
        <w:rPr>
          <w:rFonts w:ascii="Arial" w:cs="Arial" w:eastAsia="Arial" w:hAnsi="Arial"/>
          <w:sz w:val="18"/>
          <w:szCs w:val="18"/>
          <w:color w:val="auto"/>
        </w:rPr>
      </w:pPr>
    </w:p>
    <w:p>
      <w:pPr>
        <w:ind w:left="520" w:hanging="467"/>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“Reconciliation of Non-GAAP Measures.”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Connectivity and Cable Solutions Segment</w:t>
      </w:r>
    </w:p>
    <w:p>
      <w:pPr>
        <w:spacing w:after="0" w:line="103"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Net sales for the CCS segment increased for the three and nine months ended September 30, 2022 compared to the prior year periods due to increased demand for our products and services as service providers continued to enhance their networks to keep pace with increasing broadband demand. CCS segment net sales also benefitted from pricing increases as well as additional production enabled by our capacity expansion. The supply shortages with certain of our network cable products experienced during the first half of the year have eased in the third quarter of 2022 and are expected to continue to improve in the fourth quarter of 2022 and into 2023.</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From a regional perspective, for the three months ended September 30, 2022, net sales increased in the U.S. by $213.0 million, the EMEA region by $7.0 million and Canada by $6.8 million but decreased in the APAC region by $4.5 million and the CALA region by $2.2 million compared to the prior year period. For the nine months ended September 30, 2022, net sales increased in the U.S. by $537.9 million, the EMEA region by $24.2 million, Canada by $19.7 million and the CALA region by $11.1 million but decreased in the APAC region by $8.4 million compared to the prior year period. Foreign exchange rate changes impacted CCS segment net sales unfavorably by approximately 3% and 2% during the three and nine months ended September 30, 2022, respectively, compared to the same prior year periods.</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56" w:right="499" w:bottom="1440" w:gutter="0" w:footer="0" w:header="0"/>
          <w:type w:val="continuous"/>
        </w:sectPr>
      </w:pPr>
    </w:p>
    <w:bookmarkStart w:id="33" w:name="page34"/>
    <w:bookmarkEnd w:id="33"/>
    <w:p>
      <w:pPr>
        <w:spacing w:after="0" w:line="279" w:lineRule="auto"/>
        <w:rPr>
          <w:sz w:val="20"/>
          <w:szCs w:val="20"/>
          <w:color w:val="auto"/>
        </w:rPr>
      </w:pPr>
      <w:r>
        <w:rPr>
          <w:rFonts w:ascii="Arial" w:cs="Arial" w:eastAsia="Arial" w:hAnsi="Arial"/>
          <w:sz w:val="16"/>
          <w:szCs w:val="16"/>
          <w:color w:val="auto"/>
        </w:rPr>
        <w:t>For the three and nine months ended September 30, 2022, CCS segment operating income and adjusted EBITDA both benefitted from higher sales volumes, pricing increases and operational efficiencies compared to the prior year periods. These benefits were partially offset by higher material costs, unfavorable product mix, higher freight costs and increases in SG&amp;A and R&amp;D costs. For the three and nine months ended September 30, 2022, CCS segment operating income was favorably impacted by reductions of $15.0 million and $38.6 million, respectively, in amortization expense and reductions of $5.3 million and $55.5 million, respectively, in restructuring expense. For the nine months ended September 30, 2022, CCS operating income was unfavorably impacted by a $2.7 million net charge to establish an allowance against certain accounts receivable determined to be uncollectible as a result of the Russia/Ukraine conflict. Amortization expense, restructuring expense and the charge related to certain uncollectible accounts receivable resulting from the Russia/Ukraine conflict are not reflected in adjusted EBITDA. See “Reconciliation of Segment Adjusted EBITDA”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Outdoor Wireless Networks Segment</w:t>
      </w:r>
    </w:p>
    <w:p>
      <w:pPr>
        <w:spacing w:after="0" w:line="10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For the three and nine months ended September 30, 2022, OWN segment net sales increased compared to the prior year periods primarily due to favorable pricing impacts and higher sales volumes. From a regional perspective, for the three months ended September 30, 2022, OWN segment net sales increased in the U.S. by $49.1 million and the APAC region by $1.4 million but decreased in the EMEA region by $16.3 million, Canada by $5.2 million and the CALA region by $4.4 million compared to the prior year period. For the nine months ended September 30, 2022, net sales increased in the U.S. by $189.4 million but decreased in the EMEA region by $27.1 million, the APAC region by $16.8 million, Canada by $16.7 million, and the CALA region by $7.5 million compared to the prior year period. Foreign exchange rate changes impacted OWN segment net sales unfavorably by approximately 3% and 2% during the three and nine months ended September 30, 2022, respectively, compared to the same prior year periods.</w:t>
      </w:r>
    </w:p>
    <w:p>
      <w:pPr>
        <w:spacing w:after="0" w:line="161"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For the three and nine months ended September 30, 2022, OWN segment operating income and adjusted EBITDA increased compared to the prior year periods mainly due to favorable pricing impacts, favorable product mix, increased sales volumes and benefits from decreases in SG&amp;A and R&amp;D costs, partially offset by higher material and freight costs. OWN segment operating income for the nine months ended September 30, 2022 was unfavorably impacted by an increase of $14.0 million in restructuring expense which is not reflected in adjusted EBITDA. See “Reconciliation of Segment Adjusted EBITDA”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Networking, Intelligent Cellular and Security Solutions Segment</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For the three months ended September 30, 2022, NICS segment net sales increased compared to the prior year period primarily due to favorable impacts of pricing and higher sales volumes of our Ruckus products as we saw supply chain shortages ease. For the nine months ended September 30, 2022, NICS segment net sales increased due to the impacts of favorable pricing but these were partially offset by lower sales volumes resulting from material shortages experienced by our Ruckus products during the first half of the year. While we saw some improvement in supply constraints related to our Ruckus products in the third quarter, we believe we may continue to see shortages for certain components that may negatively impact our results in the fourth quarter of 2022 and possibly into 2023. From a regional perspective, for the three months ended September 30, 2022, net sales increased in the U.S. by $23.4 million, the EMEA region by $14.8 million, Canada by $6.9 million, the APAC region by $4.1 million and the CALA region by $1.6 million compared to the prior year period. For the nine months ended September 30, 2022, net sales increased in the U.S. by $23.4 million, the APAC region by $4.8 million, the CALA region by $3.3 million and Canada by $2.2 million but decreased in the EMEA region by $4.4 million compared to the prior year period. Foreign exchange rate changes impacted NICS segment net sales unfavorably by approximately 2% during both the three and nine months ended September 30, 2022 compared to the prior year periods.</w:t>
      </w:r>
    </w:p>
    <w:p>
      <w:pPr>
        <w:spacing w:after="0" w:line="192"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For the three months ended September 30, 2022, NICS segment operating income and adjusted EBITDA increased compared to the prior year period primarily due to favorable pricing impacts on certain products and increased sales volumes, partially offset by unfavorable material costs and product mix. For the nine months ended September 30, 2022, NICS segment operating loss decreased and adjusted EBITDA increased compared to the prior year period primarily due to favorable pricing impacts on certain products, favorable product mix and lower SG&amp;A costs, partially offset by higher material costs, decreased sales volumes, higher freight costs and higher R&amp;D costs. For the three and nine months ended September 30, 2022, NICS operating loss was favorably impacted by reductions of $3.3 million and $8.6 million, respectively, in amortization expense. Amortization expense is not reflected in adjusted EBITDA. See “Reconciliation of Segment Adjusted EBITDA” below.</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Access Network Solutions Segment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the three months ended September 30, 2022, net sales increased slightly in the ANS segment compared to the prior year period primarily due to favorable pricing impacts. For the nine months ended September 30, 2022, net sales decreased in the ANS segment due to the negative impact of supply constraints and also due to projects in the first half of 2021 that did not recur in 2022. We believe our supply shortages should start to improve in the fourth quarter of 2022. From a regional perspective, for the three months ended September 30, 2022, net sales increased in the U.S. by $46.1 million and Canada by $1.9 million but decreased in the APAC region by $16.9 million, the CALA region by $14.8 million and the EMEA region by $12.0 million compared to the prior year period. For the nine months ended September 30, 2022, net sales decreased in the CALA region by $65.2 million, the APAC region by $40.5 million, the EMEA region by $13.6 million and the U.S. by $9.7 million but increased in Canada by $3.1 million compared to the prior year period. Foreign exchange rate changes impacted ANS segment net sales unfavorably by approximately 1% during both the three and nine months ended September 30, 2022 compared to the prior year periods.</w:t>
      </w:r>
    </w:p>
    <w:p>
      <w:pPr>
        <w:spacing w:after="0" w:line="17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For the three months ended September 30, 2022, ANS segment operating loss increased and adjusted EBITDA decreased compared to the prior year period primarily due to unfavorable product mix and higher freight and material costs, partially offset by favorable pricing impacts and lower R&amp;D and SG&amp;A costs. For the nine months ended September 30, 2022, ANS segment operating loss increased and adjusted EBITDA decreased compared to the prior year period primarily due to decreased sales volumes and unfavorable product mix, partially offset by favorable pricing impacts, lower R&amp;D and SG&amp;A costs and lower material costs. For the nine months ended September 30, 2022, ANS segment operating income was unfavorably impacted by an increase of $6.7 million of transformation costs mostly related to the termination of a supply agreement as part of CommScope NEXT but was favorably impacted by a reduction of $20.0 million in intellectual property litigation settlement charges. Neither of these items are reflected in adjusted EBITDA. See “Reconciliation of Segment Adjusted EBITDA” below.</w:t>
      </w:r>
    </w:p>
    <w:p>
      <w:pPr>
        <w:spacing w:after="0" w:line="17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As indicated in Note 1 in the Notes to Unaudited Condensed Consolidated Financial Statements included herein, we will perform our next annual goodwill impairment test during the fourth quarter of 2022. Although we believe the current financial projections and assumptions to be reasonable, if actual results and expectations change, particularly related to the Access Network Solutions reporting unit, it is reasonably possible that the estimate of the reporting unit fair value may change resulting in an impairment charge during the fourth quarter of 2022 that could be material. As of September 30, 2022, the goodwill balance in the Access Network Solutions reporting unit was $1,827.9 million.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Networks Segment</w:t>
      </w:r>
    </w:p>
    <w:p>
      <w:pPr>
        <w:spacing w:after="0" w:line="10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Net sales for the Home segment decreased for the three and nine months ended September 30, 2022 compared to the prior year periods. For the three months ended September 30, 2022, sales of our video solutions increased due to the impacts of favorable pricing as well as increased volumes, however, decreases in sales volumes of our other Home products more than offset these increases. For the nine months ended September 30, 2022, while net sales of broadband and video products benefitted from favorable pricing impacts, these increases were more than offset by lower net sales volumes across all our Home segment products due to continued supply shortages. Although we are working to secure components from key suppliers, we still expect to experience supply chain challenges into 2023 for our Home segment products. From a regional perspective, for the three months ended September 30, 2022, net sales decreased in the U.S. by $38.3 million, the EMEA region by $16.3 million and the APAC region by $1.6 million but increased in Canada by $20.3 million and the CALA region by $12.2 million compared to the prior year period. For the nine months ended September 30, 2022, net sales decreased in the U.S. by $122.4 million, the CALA region by $19.0 million and the EMEA region by $11.6 million but increased in Canada by $91.0 million and the APAC region by $0.4 million compared to the prior year period. Foreign exchange rate changes impacted Home segment net sales unfavorably by approximately 2% during both the three and nine months ended September 30, 2022 compared to the prior year periods.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the three and nine months ended September 30, 2022, Home segment operating loss decreased and adjusted EBITDA increased compared to the prior year periods primarily due to favorable pricing impacts, benefits from cost savings initiatives, favorable product mix and lower bad debt expense, partially offset by lower sales volumes and increased material and freight costs. Home segment operating loss and adjusted EBITDA were also favorably impacted by lower warranty costs for the nine months ended September 30, 2022. For the three and nine months ended September 30, 2022, Home segment operating loss was favorably impacted by reductions of $11.6 million and $25.0 million, respectively, in transaction, transformation and integration costs and reductions of $5.0 million and $25.5 million, respectively, in intellectual property litigation settlement charges. For the nine months ended September 30, 2022, Home segment operating loss was favorably impacted by a reduction of $6.9 million in restructuring expense. Transaction, transformation and integration costs, intellectual property litigation settlement charges and restructuring expenses are not reflected in adjusted EBITDA. See “Reconciliation of Segment Adjusted EBITDA”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key measures of our liquidity and capital resources (in millions, except percentage data).</w:t>
      </w:r>
    </w:p>
    <w:p>
      <w:pPr>
        <w:spacing w:after="0" w:line="37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7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vMerge w:val="restart"/>
          </w:tcPr>
          <w:p>
            <w:pPr>
              <w:spacing w:after="0"/>
              <w:rPr>
                <w:sz w:val="14"/>
                <w:szCs w:val="14"/>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 Change</w:t>
            </w:r>
          </w:p>
        </w:tc>
        <w:tc>
          <w:tcPr>
            <w:tcW w:w="3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C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360.3</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(214.8 )</w:t>
            </w: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(59.6 ) %</w:t>
            </w:r>
          </w:p>
        </w:tc>
        <w:tc>
          <w:tcPr>
            <w:tcW w:w="0" w:type="dxa"/>
            <w:vAlign w:val="bottom"/>
          </w:tcPr>
          <w:p>
            <w:pPr>
              <w:spacing w:after="0"/>
              <w:rPr>
                <w:sz w:val="1"/>
                <w:szCs w:val="1"/>
                <w:color w:val="auto"/>
              </w:rPr>
            </w:pPr>
          </w:p>
        </w:tc>
      </w:tr>
      <w:tr>
        <w:trPr>
          <w:trHeight w:val="174"/>
        </w:trPr>
        <w:tc>
          <w:tcPr>
            <w:tcW w:w="5700" w:type="dxa"/>
            <w:vAlign w:val="bottom"/>
          </w:tcPr>
          <w:p>
            <w:pPr>
              <w:spacing w:after="0" w:line="175" w:lineRule="exact"/>
              <w:rPr>
                <w:sz w:val="20"/>
                <w:szCs w:val="20"/>
                <w:color w:val="auto"/>
              </w:rPr>
            </w:pPr>
            <w:r>
              <w:rPr>
                <w:rFonts w:ascii="Arial" w:cs="Arial" w:eastAsia="Arial" w:hAnsi="Arial"/>
                <w:sz w:val="15"/>
                <w:szCs w:val="15"/>
                <w:color w:val="auto"/>
              </w:rPr>
              <w:t xml:space="preserve">Working capital </w:t>
            </w:r>
            <w:r>
              <w:rPr>
                <w:rFonts w:ascii="Arial" w:cs="Arial" w:eastAsia="Arial" w:hAnsi="Arial"/>
                <w:sz w:val="20"/>
                <w:szCs w:val="20"/>
                <w:color w:val="auto"/>
                <w:vertAlign w:val="superscript"/>
              </w:rPr>
              <w:t>(1)</w:t>
            </w:r>
            <w:r>
              <w:rPr>
                <w:rFonts w:ascii="Arial" w:cs="Arial" w:eastAsia="Arial" w:hAnsi="Arial"/>
                <w:sz w:val="15"/>
                <w:szCs w:val="15"/>
                <w:color w:val="auto"/>
              </w:rPr>
              <w:t>, excluding cash and cash</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equivalents and current portion of long-term debt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1,482.7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1,068.9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413.8</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CFF"/>
          </w:tcPr>
          <w:p>
            <w:pPr>
              <w:spacing w:after="0"/>
              <w:rPr>
                <w:sz w:val="20"/>
                <w:szCs w:val="20"/>
                <w:color w:val="auto"/>
              </w:rPr>
            </w:pPr>
            <w:r>
              <w:rPr>
                <w:rFonts w:ascii="Arial" w:cs="Arial" w:eastAsia="Arial" w:hAnsi="Arial"/>
                <w:sz w:val="18"/>
                <w:szCs w:val="18"/>
                <w:color w:val="auto"/>
              </w:rPr>
              <w:t>Availability under revolving credit facility</w:t>
            </w:r>
          </w:p>
        </w:tc>
        <w:tc>
          <w:tcPr>
            <w:tcW w:w="12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779.1</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684.1</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95.0</w:t>
            </w:r>
          </w:p>
        </w:tc>
        <w:tc>
          <w:tcPr>
            <w:tcW w:w="22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CFF"/>
          </w:tcPr>
          <w:p>
            <w:pPr>
              <w:spacing w:after="0" w:line="216" w:lineRule="exact"/>
              <w:rPr>
                <w:sz w:val="20"/>
                <w:szCs w:val="20"/>
                <w:color w:val="auto"/>
              </w:rPr>
            </w:pPr>
            <w:r>
              <w:rPr>
                <w:rFonts w:ascii="Arial" w:cs="Arial" w:eastAsia="Arial" w:hAnsi="Arial"/>
                <w:sz w:val="18"/>
                <w:szCs w:val="18"/>
                <w:color w:val="auto"/>
              </w:rPr>
              <w:t xml:space="preserve">Total capitalization </w:t>
            </w:r>
            <w:r>
              <w:rPr>
                <w:rFonts w:ascii="Arial" w:cs="Arial" w:eastAsia="Arial" w:hAnsi="Arial"/>
                <w:sz w:val="24"/>
                <w:szCs w:val="24"/>
                <w:color w:val="auto"/>
                <w:vertAlign w:val="superscript"/>
              </w:rPr>
              <w:t>(2)</w:t>
            </w:r>
          </w:p>
        </w:tc>
        <w:tc>
          <w:tcPr>
            <w:tcW w:w="12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10,156.2</w:t>
            </w:r>
          </w:p>
        </w:tc>
        <w:tc>
          <w:tcPr>
            <w:tcW w:w="2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10,410.0</w:t>
            </w:r>
          </w:p>
        </w:tc>
        <w:tc>
          <w:tcPr>
            <w:tcW w:w="2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(253.8 )</w:t>
            </w:r>
          </w:p>
        </w:tc>
        <w:tc>
          <w:tcPr>
            <w:tcW w:w="124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Long-term debt as a percentage of total capitalization</w:t>
            </w: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94.6 %</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91.4 %</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1899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48" w:lineRule="exact"/>
        <w:rPr>
          <w:sz w:val="20"/>
          <w:szCs w:val="20"/>
          <w:color w:val="auto"/>
        </w:rPr>
      </w:pPr>
    </w:p>
    <w:p>
      <w:pPr>
        <w:ind w:left="520" w:right="300" w:hanging="467"/>
        <w:spacing w:after="0" w:line="251"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Working capital consisted of current assets of $3,617.4 million less current liabilities of $2,021.2 million at September 30, 2022. Working capital consisted of current assets of $3,579.7 million less current liabilities of $2,182.5 million at December 31, 2021.</w:t>
      </w:r>
    </w:p>
    <w:p>
      <w:pPr>
        <w:spacing w:after="0" w:line="1" w:lineRule="exact"/>
        <w:rPr>
          <w:rFonts w:ascii="Arial" w:cs="Arial" w:eastAsia="Arial" w:hAnsi="Arial"/>
          <w:sz w:val="18"/>
          <w:szCs w:val="18"/>
          <w:color w:val="auto"/>
        </w:rPr>
      </w:pPr>
    </w:p>
    <w:p>
      <w:pPr>
        <w:ind w:left="520" w:hanging="467"/>
        <w:spacing w:after="0" w:line="24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capitalization includes long-term debt, including the current portion, Series A convertible preferred stock (the Convertible Preferred Stock) and stockholders’ deficit.</w:t>
      </w:r>
    </w:p>
    <w:p>
      <w:pPr>
        <w:spacing w:after="0" w:line="187"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color w:val="auto"/>
        </w:rPr>
        <w:t>Our principal sources of liquidity on a short-term basis are cash and cash equivalents, cash flows provided by operations and availability under our credit facilities. On a long-term basis, our potential sources of liquidity also include raising capital through the issuance of additional equity and/or debt.</w:t>
      </w: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October 19, 2022, we completed the refinancing of our senior secured asset-based revolving credit facility (Revolving Credit Facility), the main result of which was to extend the maturity to September 30, 2027. We continue to have borrowing capacity up to $1.0 billion, subject to certain limitations, but we have added additional assets under the borrowing base which we expect to increase our availability under the Revolving Credit Facility. The interest rate on the amended Revolving Credit Agreement will be an adjusted SOFR with a spread of 1.25% to 1.50%.</w:t>
      </w:r>
    </w:p>
    <w:p>
      <w:pPr>
        <w:spacing w:after="0" w:line="16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primary uses of liquidity include debt service requirements, voluntary debt repayments or redemptions, working capital requirements, capital expenditures, business separation transaction costs, transformation costs, acquisition integration costs, dividends related to the Convertible Preferred Stock if we elect to pay such dividends in cash, litigation and claim settlements, income tax payments and other contractual obligations. We expect the interest payments on our 2026 Term Loan and our Revolving Credit Facility to increase in 2022 as a result of the Federal Reserve’s increase in interest rates in 2022 and the expectation that they will continue to raise interest rates into 2023. See Part II, Item 7A, “Quantitative and Qualitative Disclosure About Market Risk” in our 2021 Annual Report for further discussion of our interest rate risk. We believe that our existing cash, cash equivalents and cash flows from operations, combined with availability under our Revolving Credit Facility, will be sufficient to meet our presently anticipated future cash needs. We may experience volatility in cash flows between periods due to, among other reasons, variability in the timing of vendor payments and customer receipts. We may, from time to time, borrow additional amounts under our Revolving Credit Facility or issue debt or equity securities, if market conditions are favorable, to meet future cash needs or to reduce our borrowing costs.</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periodically enter into sell / buy transactions with our contract manufacturers, where we sell certain component inventory to them for use in our finished goods. We are obligated to subsequently repurchase this inventory either as a finished good or the original component inventory if not used after a specific period of time. We record an accounts receivable and a contract manufacturer inventory repurchase liability related to these transactions. We do not record a sale upon shipment of the inventory to the contract manufacturer and the original value of the inventory remains in our inventory balance. Our current accrued liability related to these transactions is $78.9 million, and we expect to repurchase this inventory either as a finished good or the original component inventory in 2023.</w:t>
      </w:r>
    </w:p>
    <w:p>
      <w:pPr>
        <w:spacing w:after="0" w:line="18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During the normal course of business, to manage manufacturing lead times and help ensure adequate component supply, we enter into agreements with our contract manufacturers and component suppliers that allow them to produce and procure inventory based upon our forecasted requirements. We estimate our future obligations under these agreements to be $413.5 million as of September 30, 2022. While we believe we have adequate liabilities recorded related to our excess inventory under these purchase commitments, unexpected changes to projected demand may result in us being committed to purchase additional excess inventory to satisfy these commitments and the related charges could be material.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6" w:name="page37"/>
    <w:bookmarkEnd w:id="36"/>
    <w:p>
      <w:pPr>
        <w:ind w:right="180"/>
        <w:spacing w:after="0" w:line="259" w:lineRule="auto"/>
        <w:rPr>
          <w:sz w:val="20"/>
          <w:szCs w:val="20"/>
          <w:color w:val="auto"/>
        </w:rPr>
      </w:pPr>
      <w:r>
        <w:rPr>
          <w:rFonts w:ascii="Arial" w:cs="Arial" w:eastAsia="Arial" w:hAnsi="Arial"/>
          <w:sz w:val="17"/>
          <w:szCs w:val="17"/>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the “Reconciliation of Non-GAAP Measures” section below, but also give pro forma effect to certain events, including acquisitions, synergies and savings from cost reduction initiatives such as facility closures and headcount reductions. For the twelve months ended September 30, 2022, our non-GAAP pro forma adjusted EBITDA, as measured pursuant to the indentures governing our notes, was $1,230.9 million, which included annualized savings expected from cost reduction initiatives of $69.8 million so that the impact of cost reduction initiatives is fully reflected in the twelve-month period used in the calculation of the ratios. In addition to limitations under these indentures, our senior secured credit facilities contain customary negative covenants based on similar financial measures. We believe we are in compliance with the covenants under our indentures and senior secured credit facilities at September 30, 2022.</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Cash and cash equivalents decreased during the nine months ended September 30, 2022 primarily driven by cash used in operating activities of $196.7 million, capital expenditures of $78.7 million, cash dividends paid for the Convertible Preferred Stock of $14.9 million and tax withholding payments for vested equity-based compensation awards of $14.0 million, partially offset by net borrowings under our Revolving Credit Facility of $105.0 million. As of September 30, 2022, approximately 95% of our cash and cash equivalents were held outside the U.S. We expect cash and cash equivalents to increase from current levels by the end of 2022 with improvements in operating cash flows in the fourth quarter of 2022.</w:t>
      </w:r>
    </w:p>
    <w:p>
      <w:pPr>
        <w:spacing w:after="0" w:line="183"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Working capital, excluding cash and cash equivalents and the current portion of long-term debt, increased during the nine months ended September 30, 2022 primarily due to higher accounts receivable due to improved net sales, higher inventory balances as a result of rising material costs and increases in stock as we build inventory waiting for certain materials or components to complete our products for sale and lower accounts payable due to the timing of payments. During the nine months ended September 30, 2022, we sold accounts receivable under customer-sponsored supplier financing agreements. This had an impact of approximately $59 million on working capital, excluding cash and cash equivalents and the current portion of long-term debt, as of September 30, 2022. Under these agreements, we are able to sell certain accounts receivable to a bank, and we retain no interest in and have no servicing responsibilities for the accounts receivable sold.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net reduction in total capitalization during the nine months ended September 30, 2022 reflected the net loss for the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2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860" w:type="dxa"/>
            <w:vAlign w:val="bottom"/>
          </w:tcPr>
          <w:p>
            <w:pPr>
              <w:spacing w:after="0"/>
              <w:rPr>
                <w:sz w:val="16"/>
                <w:szCs w:val="16"/>
                <w:color w:val="auto"/>
              </w:rPr>
            </w:pPr>
          </w:p>
        </w:tc>
        <w:tc>
          <w:tcPr>
            <w:tcW w:w="2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60" w:type="dxa"/>
            <w:vAlign w:val="bottom"/>
          </w:tcPr>
          <w:p>
            <w:pPr>
              <w:spacing w:after="0"/>
              <w:rPr>
                <w:sz w:val="14"/>
                <w:szCs w:val="14"/>
                <w:color w:val="auto"/>
              </w:rPr>
            </w:pPr>
          </w:p>
        </w:tc>
        <w:tc>
          <w:tcPr>
            <w:tcW w:w="82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Change</w:t>
            </w:r>
          </w:p>
        </w:tc>
      </w:tr>
      <w:tr>
        <w:trPr>
          <w:trHeight w:val="169"/>
        </w:trPr>
        <w:tc>
          <w:tcPr>
            <w:tcW w:w="68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(dollars</w:t>
            </w:r>
          </w:p>
        </w:tc>
        <w:tc>
          <w:tcPr>
            <w:tcW w:w="240" w:type="dxa"/>
            <w:vAlign w:val="bottom"/>
            <w:gridSpan w:val="2"/>
          </w:tcPr>
          <w:p>
            <w:pPr>
              <w:spacing w:after="0"/>
              <w:rPr>
                <w:sz w:val="20"/>
                <w:szCs w:val="20"/>
                <w:color w:val="auto"/>
              </w:rPr>
            </w:pPr>
            <w:r>
              <w:rPr>
                <w:rFonts w:ascii="Arial" w:cs="Arial" w:eastAsia="Arial" w:hAnsi="Arial"/>
                <w:sz w:val="14"/>
                <w:szCs w:val="14"/>
                <w:b w:val="1"/>
                <w:bCs w:val="1"/>
                <w:color w:val="auto"/>
              </w:rPr>
              <w:t>in</w:t>
            </w:r>
          </w:p>
        </w:tc>
        <w:tc>
          <w:tcPr>
            <w:tcW w:w="820" w:type="dxa"/>
            <w:vAlign w:val="bottom"/>
            <w:tcBorders>
              <w:top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72"/>
              </w:rPr>
              <w:t>millions)</w:t>
            </w: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   (196.7 )   $</w:t>
            </w:r>
          </w:p>
        </w:tc>
        <w:tc>
          <w:tcPr>
            <w:tcW w:w="740" w:type="dxa"/>
            <w:vAlign w:val="bottom"/>
          </w:tcPr>
          <w:p>
            <w:pPr>
              <w:jc w:val="right"/>
              <w:spacing w:after="0"/>
              <w:rPr>
                <w:sz w:val="20"/>
                <w:szCs w:val="20"/>
                <w:color w:val="auto"/>
              </w:rPr>
            </w:pPr>
            <w:r>
              <w:rPr>
                <w:rFonts w:ascii="Arial" w:cs="Arial" w:eastAsia="Arial" w:hAnsi="Arial"/>
                <w:sz w:val="18"/>
                <w:szCs w:val="18"/>
                <w:color w:val="auto"/>
              </w:rPr>
              <w:t>134.7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   (331.4 )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(246.0 )%</w:t>
            </w:r>
          </w:p>
        </w:tc>
      </w:tr>
      <w:tr>
        <w:trPr>
          <w:trHeight w:val="216"/>
        </w:trPr>
        <w:tc>
          <w:tcPr>
            <w:tcW w:w="6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(62.6 )</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(111.6 )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(43.9 )</w:t>
            </w:r>
          </w:p>
        </w:tc>
        <w:tc>
          <w:tcPr>
            <w:tcW w:w="100" w:type="dxa"/>
            <w:vAlign w:val="bottom"/>
          </w:tcPr>
          <w:p>
            <w:pPr>
              <w:spacing w:after="0"/>
              <w:rPr>
                <w:sz w:val="18"/>
                <w:szCs w:val="18"/>
                <w:color w:val="auto"/>
              </w:rPr>
            </w:pPr>
          </w:p>
        </w:tc>
      </w:tr>
      <w:tr>
        <w:trPr>
          <w:trHeight w:val="216"/>
        </w:trPr>
        <w:tc>
          <w:tcPr>
            <w:tcW w:w="6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54.4</w:t>
            </w:r>
          </w:p>
        </w:tc>
        <w:tc>
          <w:tcPr>
            <w:tcW w:w="2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(127.7 )</w:t>
            </w:r>
          </w:p>
        </w:tc>
        <w:tc>
          <w:tcPr>
            <w:tcW w:w="10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182.1</w:t>
            </w:r>
          </w:p>
        </w:tc>
        <w:tc>
          <w:tcPr>
            <w:tcW w:w="22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r>
      <w:tr>
        <w:trPr>
          <w:trHeight w:val="432"/>
        </w:trPr>
        <w:tc>
          <w:tcPr>
            <w:tcW w:w="6860" w:type="dxa"/>
            <w:vAlign w:val="bottom"/>
          </w:tcPr>
          <w:p>
            <w:pPr>
              <w:ind w:left="20"/>
              <w:spacing w:after="0"/>
              <w:rPr>
                <w:sz w:val="20"/>
                <w:szCs w:val="20"/>
                <w:color w:val="auto"/>
              </w:rPr>
            </w:pPr>
            <w:r>
              <w:rPr>
                <w:rFonts w:ascii="Arial" w:cs="Arial" w:eastAsia="Arial" w:hAnsi="Arial"/>
                <w:sz w:val="18"/>
                <w:szCs w:val="18"/>
                <w:color w:val="auto"/>
              </w:rPr>
              <w:t>NM - Not meaningful</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9"/>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Operating Activities</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6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r>
      <w:tr>
        <w:trPr>
          <w:trHeight w:val="180"/>
        </w:trPr>
        <w:tc>
          <w:tcPr>
            <w:tcW w:w="6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-1393190</wp:posOffset>
            </wp:positionV>
            <wp:extent cx="71323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-6350</wp:posOffset>
            </wp:positionV>
            <wp:extent cx="13100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9740"/>
        <w:spacing w:after="0"/>
        <w:rPr>
          <w:sz w:val="20"/>
          <w:szCs w:val="20"/>
          <w:color w:val="auto"/>
        </w:rPr>
      </w:pPr>
      <w:r>
        <w:rPr>
          <w:rFonts w:ascii="Arial" w:cs="Arial" w:eastAsia="Arial" w:hAnsi="Arial"/>
          <w:sz w:val="14"/>
          <w:szCs w:val="14"/>
          <w:b w:val="1"/>
          <w:bCs w:val="1"/>
          <w:color w:val="auto"/>
        </w:rPr>
        <w:t>(in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(178.0 )</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(375.6 )</w:t>
            </w:r>
          </w:p>
        </w:tc>
        <w:tc>
          <w:tcPr>
            <w:tcW w:w="0" w:type="dxa"/>
            <w:vAlign w:val="bottom"/>
          </w:tcPr>
          <w:p>
            <w:pPr>
              <w:spacing w:after="0"/>
              <w:rPr>
                <w:sz w:val="1"/>
                <w:szCs w:val="1"/>
                <w:color w:val="auto"/>
              </w:rPr>
            </w:pPr>
          </w:p>
        </w:tc>
      </w:tr>
      <w:tr>
        <w:trPr>
          <w:trHeight w:val="216"/>
        </w:trPr>
        <w:tc>
          <w:tcPr>
            <w:tcW w:w="9060" w:type="dxa"/>
            <w:vAlign w:val="bottom"/>
          </w:tcPr>
          <w:p>
            <w:pPr>
              <w:ind w:left="200"/>
              <w:spacing w:after="0"/>
              <w:rPr>
                <w:sz w:val="20"/>
                <w:szCs w:val="20"/>
                <w:color w:val="auto"/>
              </w:rPr>
            </w:pPr>
            <w:r>
              <w:rPr>
                <w:rFonts w:ascii="Arial" w:cs="Arial" w:eastAsia="Arial" w:hAnsi="Arial"/>
                <w:sz w:val="18"/>
                <w:szCs w:val="18"/>
                <w:color w:val="auto"/>
              </w:rPr>
              <w:t>Adjustments to reconcile net loss to net cash generated by (used in) operating activities: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529.1</w:t>
            </w:r>
          </w:p>
        </w:tc>
        <w:tc>
          <w:tcPr>
            <w:tcW w:w="3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38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(75.2 )</w:t>
            </w:r>
          </w:p>
        </w:tc>
        <w:tc>
          <w:tcPr>
            <w:tcW w:w="26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(158.1 )</w:t>
            </w:r>
          </w:p>
        </w:tc>
        <w:tc>
          <w:tcPr>
            <w:tcW w:w="0" w:type="dxa"/>
            <w:vAlign w:val="bottom"/>
          </w:tcPr>
          <w:p>
            <w:pPr>
              <w:spacing w:after="0"/>
              <w:rPr>
                <w:sz w:val="1"/>
                <w:szCs w:val="1"/>
                <w:color w:val="auto"/>
              </w:rPr>
            </w:pPr>
          </w:p>
        </w:tc>
      </w:tr>
      <w:tr>
        <w:trPr>
          <w:trHeight w:val="216"/>
        </w:trPr>
        <w:tc>
          <w:tcPr>
            <w:tcW w:w="906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CFF"/>
          </w:tcPr>
          <w:p>
            <w:pPr>
              <w:ind w:left="56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(191.0 )</w:t>
            </w:r>
          </w:p>
        </w:tc>
        <w:tc>
          <w:tcPr>
            <w:tcW w:w="26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16"/>
        </w:trPr>
        <w:tc>
          <w:tcPr>
            <w:tcW w:w="9060" w:type="dxa"/>
            <w:vAlign w:val="bottom"/>
          </w:tcPr>
          <w:p>
            <w:pPr>
              <w:ind w:left="5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(153.3 )</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(173.5 )</w:t>
            </w:r>
          </w:p>
        </w:tc>
        <w:tc>
          <w:tcPr>
            <w:tcW w:w="0" w:type="dxa"/>
            <w:vAlign w:val="bottom"/>
          </w:tcPr>
          <w:p>
            <w:pPr>
              <w:spacing w:after="0"/>
              <w:rPr>
                <w:sz w:val="1"/>
                <w:szCs w:val="1"/>
                <w:color w:val="auto"/>
              </w:rPr>
            </w:pPr>
          </w:p>
        </w:tc>
      </w:tr>
      <w:tr>
        <w:trPr>
          <w:trHeight w:val="216"/>
        </w:trPr>
        <w:tc>
          <w:tcPr>
            <w:tcW w:w="9060" w:type="dxa"/>
            <w:vAlign w:val="bottom"/>
            <w:shd w:val="clear" w:color="auto" w:fill="CCECFF"/>
          </w:tcPr>
          <w:p>
            <w:pPr>
              <w:ind w:left="56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(4.7 )</w:t>
            </w:r>
          </w:p>
        </w:tc>
        <w:tc>
          <w:tcPr>
            <w:tcW w:w="26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560"/>
              <w:spacing w:after="0"/>
              <w:rPr>
                <w:sz w:val="20"/>
                <w:szCs w:val="20"/>
                <w:color w:val="auto"/>
              </w:rPr>
            </w:pPr>
            <w:r>
              <w:rPr>
                <w:rFonts w:ascii="Arial" w:cs="Arial" w:eastAsia="Arial" w:hAnsi="Arial"/>
                <w:sz w:val="18"/>
                <w:szCs w:val="18"/>
                <w:color w:val="auto"/>
              </w:rPr>
              <w:t>Accounts payable and other liabilities</w:t>
            </w: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(154.8 )</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CFF"/>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CFF"/>
          </w:tcPr>
          <w:p>
            <w:pPr>
              <w:spacing w:after="0"/>
              <w:rPr>
                <w:sz w:val="18"/>
                <w:szCs w:val="18"/>
                <w:color w:val="auto"/>
              </w:rPr>
            </w:pPr>
          </w:p>
        </w:tc>
        <w:tc>
          <w:tcPr>
            <w:tcW w:w="9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(14.1 )</w:t>
            </w:r>
          </w:p>
        </w:tc>
        <w:tc>
          <w:tcPr>
            <w:tcW w:w="26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60" w:type="dxa"/>
            <w:vAlign w:val="bottom"/>
          </w:tcPr>
          <w:p>
            <w:pPr>
              <w:ind w:left="20"/>
              <w:spacing w:after="0"/>
              <w:rPr>
                <w:sz w:val="20"/>
                <w:szCs w:val="20"/>
                <w:color w:val="auto"/>
              </w:rPr>
            </w:pPr>
            <w:r>
              <w:rPr>
                <w:rFonts w:ascii="Arial" w:cs="Arial" w:eastAsia="Arial" w:hAnsi="Arial"/>
                <w:sz w:val="18"/>
                <w:szCs w:val="18"/>
                <w:color w:val="auto"/>
              </w:rPr>
              <w:t>Net cash generated by (used in)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(196.7 )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ind w:left="5540"/>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9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9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6298565</wp:posOffset>
            </wp:positionH>
            <wp:positionV relativeFrom="paragraph">
              <wp:posOffset>-923925</wp:posOffset>
            </wp:positionV>
            <wp:extent cx="68580" cy="1714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43" w:right="239" w:bottom="1440" w:gutter="0" w:footer="0" w:header="0"/>
        </w:sectPr>
      </w:pPr>
    </w:p>
    <w:bookmarkStart w:id="37" w:name="page38"/>
    <w:bookmarkEnd w:id="37"/>
    <w:p>
      <w:pPr>
        <w:ind w:right="20"/>
        <w:spacing w:after="0" w:line="263" w:lineRule="auto"/>
        <w:rPr>
          <w:sz w:val="20"/>
          <w:szCs w:val="20"/>
          <w:color w:val="auto"/>
        </w:rPr>
      </w:pPr>
      <w:r>
        <w:rPr>
          <w:rFonts w:ascii="Arial" w:cs="Arial" w:eastAsia="Arial" w:hAnsi="Arial"/>
          <w:sz w:val="17"/>
          <w:szCs w:val="17"/>
          <w:color w:val="auto"/>
        </w:rPr>
        <w:t>During the nine months ended September 30, 2022, cash generated by (used in) operating activities deteriorated compared to the prior year period primarily as a result of higher accounts receivable as net sales improved, higher inventory costs, the timing of accounts payable payments and increases in cash taxes paid of $27.4 million, partially offset by lower payments of litigation settlements of $34.0 million and lower payments of transaction, transformation and integration costs of $18.0 million. The utilization of customer-sponsored supplier financing arrangements favorably impacted operating cash flows by approximately $59 million in the current year period compared to $25 million in the prior year period.</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221"/>
              <w:spacing w:after="0"/>
              <w:rPr>
                <w:sz w:val="20"/>
                <w:szCs w:val="20"/>
                <w:color w:val="auto"/>
              </w:rPr>
            </w:pPr>
            <w:r>
              <w:rPr>
                <w:rFonts w:ascii="Arial" w:cs="Arial" w:eastAsia="Arial" w:hAnsi="Arial"/>
                <w:sz w:val="14"/>
                <w:szCs w:val="14"/>
                <w:b w:val="1"/>
                <w:bCs w:val="1"/>
                <w:color w:val="auto"/>
                <w:w w:val="93"/>
              </w:rPr>
              <w:t>Nine Months Ended</w:t>
            </w:r>
          </w:p>
        </w:tc>
      </w:tr>
      <w:tr>
        <w:trPr>
          <w:trHeight w:val="201"/>
        </w:trPr>
        <w:tc>
          <w:tcPr>
            <w:tcW w:w="9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9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9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4"/>
              </w:rPr>
              <w:t>(in millions)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CFF"/>
          </w:tcPr>
          <w:p>
            <w:pPr>
              <w:jc w:val="right"/>
              <w:ind w:right="161"/>
              <w:spacing w:after="0"/>
              <w:rPr>
                <w:sz w:val="20"/>
                <w:szCs w:val="20"/>
                <w:color w:val="auto"/>
              </w:rPr>
            </w:pPr>
            <w:r>
              <w:rPr>
                <w:rFonts w:ascii="Arial" w:cs="Arial" w:eastAsia="Arial" w:hAnsi="Arial"/>
                <w:sz w:val="18"/>
                <w:szCs w:val="18"/>
                <w:color w:val="auto"/>
              </w:rPr>
              <w:t>(78.7 )</w:t>
            </w:r>
          </w:p>
        </w:tc>
        <w:tc>
          <w:tcPr>
            <w:tcW w:w="30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(96.2 )</w:t>
            </w:r>
          </w:p>
        </w:tc>
      </w:tr>
      <w:tr>
        <w:trPr>
          <w:trHeight w:val="216"/>
        </w:trPr>
        <w:tc>
          <w:tcPr>
            <w:tcW w:w="904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90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Payments upon settlement of net investment hedge</w:t>
            </w:r>
          </w:p>
        </w:tc>
        <w:tc>
          <w:tcPr>
            <w:tcW w:w="2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8"/>
                <w:szCs w:val="18"/>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(18.0 )</w:t>
            </w:r>
          </w:p>
        </w:tc>
      </w:tr>
      <w:tr>
        <w:trPr>
          <w:trHeight w:val="216"/>
        </w:trPr>
        <w:tc>
          <w:tcPr>
            <w:tcW w:w="904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90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(62.6</w:t>
            </w:r>
          </w:p>
        </w:tc>
        <w:tc>
          <w:tcPr>
            <w:tcW w:w="300" w:type="dxa"/>
            <w:vAlign w:val="bottom"/>
            <w:tcBorders>
              <w:bottom w:val="single" w:sz="8" w:color="CCECFF"/>
            </w:tcBorders>
            <w:shd w:val="clear" w:color="auto" w:fill="CCECFF"/>
          </w:tcPr>
          <w:p>
            <w:pPr>
              <w:jc w:val="right"/>
              <w:ind w:right="1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the decrease in cash used in investing activities compared to the prior year period was primarily driven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by a payment of $18.0 million to settle a net investment hedge in the prior year period and lower capital expenditures in the current year period. Capital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expenditures in the prior year period were driven by an investment in property, plant and equipment related to supporting improvements and expanding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production capacity in manufacturing operations. Cash used in investing activities was also favorably impacted in the current year period by proceeds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$6.9 million related to the sale of an equity method investment, proceeds of $5.0 million on the sale of certain patents and a return of $4.5 million on equity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method investments.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241"/>
              <w:spacing w:after="0"/>
              <w:rPr>
                <w:sz w:val="20"/>
                <w:szCs w:val="20"/>
                <w:color w:val="auto"/>
              </w:rPr>
            </w:pPr>
            <w:r>
              <w:rPr>
                <w:rFonts w:ascii="Arial" w:cs="Arial" w:eastAsia="Arial" w:hAnsi="Arial"/>
                <w:sz w:val="14"/>
                <w:szCs w:val="14"/>
                <w:b w:val="1"/>
                <w:bCs w:val="1"/>
                <w:color w:val="auto"/>
                <w:w w:val="94"/>
              </w:rPr>
              <w:t>Nine Months Ended</w:t>
            </w:r>
          </w:p>
        </w:tc>
      </w:tr>
      <w:tr>
        <w:trPr>
          <w:trHeight w:val="201"/>
        </w:trPr>
        <w:tc>
          <w:tcPr>
            <w:tcW w:w="8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336"/>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8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r>
      <w:tr>
        <w:trPr>
          <w:trHeight w:val="209"/>
        </w:trPr>
        <w:tc>
          <w:tcPr>
            <w:tcW w:w="8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336"/>
              <w:spacing w:after="0"/>
              <w:rPr>
                <w:sz w:val="20"/>
                <w:szCs w:val="20"/>
                <w:color w:val="auto"/>
              </w:rPr>
            </w:pPr>
            <w:r>
              <w:rPr>
                <w:rFonts w:ascii="Arial" w:cs="Arial" w:eastAsia="Arial" w:hAnsi="Arial"/>
                <w:sz w:val="14"/>
                <w:szCs w:val="14"/>
                <w:b w:val="1"/>
                <w:bCs w:val="1"/>
                <w:color w:val="auto"/>
                <w:w w:val="91"/>
              </w:rPr>
              <w:t>(in millions)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Long-term debt repaid</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(252.0 )</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w w:val="88"/>
              </w:rPr>
              <w:t>(1,274.0 )</w:t>
            </w:r>
          </w:p>
        </w:tc>
      </w:tr>
      <w:tr>
        <w:trPr>
          <w:trHeight w:val="216"/>
        </w:trPr>
        <w:tc>
          <w:tcPr>
            <w:tcW w:w="8940" w:type="dxa"/>
            <w:vAlign w:val="bottom"/>
          </w:tcPr>
          <w:p>
            <w:pPr>
              <w:ind w:left="200"/>
              <w:spacing w:after="0"/>
              <w:rPr>
                <w:sz w:val="20"/>
                <w:szCs w:val="20"/>
                <w:color w:val="auto"/>
              </w:rPr>
            </w:pPr>
            <w:r>
              <w:rPr>
                <w:rFonts w:ascii="Arial" w:cs="Arial" w:eastAsia="Arial" w:hAnsi="Arial"/>
                <w:sz w:val="18"/>
                <w:szCs w:val="18"/>
                <w:color w:val="auto"/>
              </w:rPr>
              <w:t>Long-term debt proceeds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1,250.0</w:t>
            </w:r>
          </w:p>
        </w:tc>
        <w:tc>
          <w:tcPr>
            <w:tcW w:w="100" w:type="dxa"/>
            <w:vAlign w:val="bottom"/>
          </w:tcPr>
          <w:p>
            <w:pPr>
              <w:spacing w:after="0"/>
              <w:rPr>
                <w:sz w:val="18"/>
                <w:szCs w:val="18"/>
                <w:color w:val="auto"/>
              </w:rPr>
            </w:pPr>
          </w:p>
        </w:tc>
      </w:tr>
      <w:tr>
        <w:trPr>
          <w:trHeight w:val="216"/>
        </w:trPr>
        <w:tc>
          <w:tcPr>
            <w:tcW w:w="8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Debt issuance costs</w:t>
            </w:r>
          </w:p>
        </w:tc>
        <w:tc>
          <w:tcPr>
            <w:tcW w:w="22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(9.6 )</w:t>
            </w:r>
          </w:p>
        </w:tc>
      </w:tr>
      <w:tr>
        <w:trPr>
          <w:trHeight w:val="216"/>
        </w:trPr>
        <w:tc>
          <w:tcPr>
            <w:tcW w:w="8940" w:type="dxa"/>
            <w:vAlign w:val="bottom"/>
          </w:tcPr>
          <w:p>
            <w:pPr>
              <w:ind w:left="200"/>
              <w:spacing w:after="0"/>
              <w:rPr>
                <w:sz w:val="20"/>
                <w:szCs w:val="20"/>
                <w:color w:val="auto"/>
              </w:rPr>
            </w:pPr>
            <w:r>
              <w:rPr>
                <w:rFonts w:ascii="Arial" w:cs="Arial" w:eastAsia="Arial" w:hAnsi="Arial"/>
                <w:sz w:val="18"/>
                <w:szCs w:val="18"/>
                <w:color w:val="auto"/>
              </w:rPr>
              <w:t>Debt extinguishment costs</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(34.4 )</w:t>
            </w:r>
          </w:p>
        </w:tc>
      </w:tr>
      <w:tr>
        <w:trPr>
          <w:trHeight w:val="216"/>
        </w:trPr>
        <w:tc>
          <w:tcPr>
            <w:tcW w:w="8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Dividends paid on Series A convertible preferred stock</w:t>
            </w:r>
          </w:p>
        </w:tc>
        <w:tc>
          <w:tcPr>
            <w:tcW w:w="22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(14.9 )</w:t>
            </w:r>
          </w:p>
        </w:tc>
        <w:tc>
          <w:tcPr>
            <w:tcW w:w="28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(43.0 )</w:t>
            </w:r>
          </w:p>
        </w:tc>
      </w:tr>
      <w:tr>
        <w:trPr>
          <w:trHeight w:val="216"/>
        </w:trPr>
        <w:tc>
          <w:tcPr>
            <w:tcW w:w="8940" w:type="dxa"/>
            <w:vAlign w:val="bottom"/>
          </w:tcPr>
          <w:p>
            <w:pPr>
              <w:ind w:left="200"/>
              <w:spacing w:after="0"/>
              <w:rPr>
                <w:sz w:val="20"/>
                <w:szCs w:val="20"/>
                <w:color w:val="auto"/>
              </w:rPr>
            </w:pPr>
            <w:r>
              <w:rPr>
                <w:rFonts w:ascii="Arial" w:cs="Arial" w:eastAsia="Arial" w:hAnsi="Arial"/>
                <w:sz w:val="18"/>
                <w:szCs w:val="18"/>
                <w:color w:val="auto"/>
              </w:rPr>
              <w:t>Proceeds from the issuance of common shares under equity-based compensation plans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89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Tax withholding payments for vested equity-based compensation awards</w:t>
            </w:r>
          </w:p>
        </w:tc>
        <w:tc>
          <w:tcPr>
            <w:tcW w:w="22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300"/>
              <w:spacing w:after="0"/>
              <w:rPr>
                <w:sz w:val="20"/>
                <w:szCs w:val="20"/>
                <w:color w:val="auto"/>
              </w:rPr>
            </w:pPr>
            <w:r>
              <w:rPr>
                <w:rFonts w:ascii="Arial" w:cs="Arial" w:eastAsia="Arial" w:hAnsi="Arial"/>
                <w:sz w:val="18"/>
                <w:szCs w:val="18"/>
                <w:color w:val="auto"/>
              </w:rPr>
              <w:t>(14.0 )</w:t>
            </w:r>
          </w:p>
        </w:tc>
        <w:tc>
          <w:tcPr>
            <w:tcW w:w="280" w:type="dxa"/>
            <w:vAlign w:val="bottom"/>
            <w:shd w:val="clear" w:color="auto" w:fill="CCECFF"/>
          </w:tcPr>
          <w:p>
            <w:pPr>
              <w:spacing w:after="0"/>
              <w:rPr>
                <w:sz w:val="18"/>
                <w:szCs w:val="18"/>
                <w:color w:val="auto"/>
              </w:rPr>
            </w:pPr>
          </w:p>
        </w:tc>
        <w:tc>
          <w:tcPr>
            <w:tcW w:w="74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(24.7 )</w:t>
            </w:r>
          </w:p>
        </w:tc>
      </w:tr>
      <w:tr>
        <w:trPr>
          <w:trHeight w:val="216"/>
        </w:trPr>
        <w:tc>
          <w:tcPr>
            <w:tcW w:w="894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49"/>
        </w:trPr>
        <w:tc>
          <w:tcPr>
            <w:tcW w:w="89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Net cash generated by (used in) financing activities</w:t>
            </w:r>
          </w:p>
        </w:tc>
        <w:tc>
          <w:tcPr>
            <w:tcW w:w="22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54.4</w:t>
            </w:r>
          </w:p>
        </w:tc>
        <w:tc>
          <w:tcPr>
            <w:tcW w:w="36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auto"/>
            </w:tcBorders>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80"/>
        <w:spacing w:after="0" w:line="341" w:lineRule="auto"/>
        <w:rPr>
          <w:sz w:val="20"/>
          <w:szCs w:val="20"/>
          <w:color w:val="auto"/>
        </w:rPr>
      </w:pPr>
      <w:r>
        <w:rPr>
          <w:rFonts w:ascii="Arial" w:cs="Arial" w:eastAsia="Arial" w:hAnsi="Arial"/>
          <w:sz w:val="16"/>
          <w:szCs w:val="16"/>
          <w:color w:val="auto"/>
        </w:rPr>
        <w:t>During the nine months ended September 30, 2022, we borrowed $333.0 million and repaid $228.0 million under the Revolving Credit Facility. We also paid three quarterly scheduled amortization payments totaling $24.0 million on the 2026 Term Loan during the nine months ended September 30, 2022.</w:t>
      </w:r>
    </w:p>
    <w:p>
      <w:pPr>
        <w:spacing w:after="0" w:line="11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August 2021, we issued $1,250.0 million of 4.75% senior secured notes due 2029 (the 2029 Secured Notes) and used the net proceeds from the offering, together with cash on hand, to redeem and retire $1,250.0 million outstanding under the 2024 Secured Notes. In connection with the issuance of the 2029 Secured Notes, we paid $9.6 million of debt issuance costs. We paid a redemption premium of $34.4 million to retire the 2024 Secured Notes. We also paid three quarterly scheduled amortization payments totaling $24.0 million on the 2026 Term Loan.</w:t>
      </w:r>
    </w:p>
    <w:p>
      <w:pPr>
        <w:spacing w:after="0" w:line="165"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As of September 30, 2022, we had $105.0 million outstanding borrowings under the Revolving Credit Facility and the remaining availability was $779.1 million, reflecting a borrowing base of $964.1 million reduced by $80.0 million of letters of credit issued under the Revolving Credit Facility.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8" w:name="page39"/>
    <w:bookmarkEnd w:id="38"/>
    <w:p>
      <w:pPr>
        <w:spacing w:after="0" w:line="282" w:lineRule="auto"/>
        <w:rPr>
          <w:sz w:val="20"/>
          <w:szCs w:val="20"/>
          <w:color w:val="auto"/>
        </w:rPr>
      </w:pPr>
      <w:r>
        <w:rPr>
          <w:rFonts w:ascii="Arial" w:cs="Arial" w:eastAsia="Arial" w:hAnsi="Arial"/>
          <w:sz w:val="16"/>
          <w:szCs w:val="16"/>
          <w:color w:val="auto"/>
        </w:rPr>
        <w:t>Also impacting cash generated by (used in) financing activities for the nine months ended September 30, 2022, was a decrease of $28.1 million in cash dividends paid for the Convertible Preferred Stock. In the current year period we paid cash dividends of $14.9 million and paid $29.2 million of dividends in additional shares of the Convertible Preferred Stock compared to $43.0 million of cash dividends paid in the prior year period. During the nine months ended September 30, 2022, employees surrendered shares of our common stock to satisfy their tax withholding requirements on vested restricted stock units and performance share units, which reduced cash flows by $14.0 million compared to $24.7 million in the prior year period. During the nine months ended September 30, 2022 and 2021, we received proceeds of $0.1 million and $5.5 million, respectively, related to the exercise of stock options.</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43"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We believe that presenting certain non-GAAP financial measures enhances an investor’s understanding of our financial performance. We further believe that these financial measures are useful in assessing our operating performance from period to period by excluding certain items that we believe are not representative of our core business. We also use certain of these financial measures for business planning purposes and in measuring our performance relative to that of our competitors.</w:t>
      </w:r>
    </w:p>
    <w:p>
      <w:pPr>
        <w:spacing w:after="0" w:line="18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believe these financial measures are commonly used by investors to evaluate our performance and that of our competitors. However, our use of the term non-GAAP adjusted EBITDA may vary from that of others in our industry. These financial measures should not be considered as alternatives to operating income (loss), net income (loss) or any other performance measures derived in accordance with U.S. GAAP as measures of operating performance, operating cash flows or liquidity.</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also believe presenting these non-GAAP results for the twelve months ended September 30, 2022 provides an additional tool for assessing our recent performance. Such amounts are unaudited and are derived by subtracting the data for the nine months ended September 30, 2021 from the data for the year ended December 31, 2021 and then adding the data for the nine months ended September 30, 2022.</w:t>
      </w:r>
    </w:p>
    <w:p>
      <w:pPr>
        <w:spacing w:after="0" w:line="15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Although there are no financial maintenance covenants under the terms of our senior notes, there is a limitation, among other limitations, on certain future borrowings based on an adjusted leverage ratio or a fixed charge coverage ratio. These ratios are based on financial measures similar to non-GAAP adjusted EBITDA as presented in this section, but also give pro forma effect to certain events, including acquisitions and savings from cost reduction initiatives such as facility closures and headcount reductions.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5"/>
              </w:rPr>
              <w:t>Nine Months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Twelve Months</w:t>
            </w:r>
          </w:p>
        </w:tc>
      </w:tr>
      <w:tr>
        <w:trPr>
          <w:trHeight w:val="175"/>
        </w:trPr>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3"/>
              </w:rPr>
              <w:t>Ended</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r>
      <w:tr>
        <w:trPr>
          <w:trHeight w:val="185"/>
        </w:trPr>
        <w:tc>
          <w:tcPr>
            <w:tcW w:w="3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169"/>
        </w:trPr>
        <w:tc>
          <w:tcPr>
            <w:tcW w:w="3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r>
      <w:tr>
        <w:trPr>
          <w:trHeight w:val="169"/>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3"/>
              </w:rPr>
              <w:t>millions)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CFF"/>
          </w:tcPr>
          <w:p>
            <w:pPr>
              <w:spacing w:after="0"/>
              <w:rPr>
                <w:sz w:val="18"/>
                <w:szCs w:val="18"/>
                <w:color w:val="auto"/>
              </w:rPr>
            </w:pPr>
          </w:p>
        </w:tc>
        <w:tc>
          <w:tcPr>
            <w:tcW w:w="360" w:type="dxa"/>
            <w:vAlign w:val="bottom"/>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(124.2 )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CFF"/>
          </w:tcPr>
          <w:p>
            <w:pPr>
              <w:jc w:val="right"/>
              <w:ind w:right="88"/>
              <w:spacing w:after="0"/>
              <w:rPr>
                <w:sz w:val="20"/>
                <w:szCs w:val="20"/>
                <w:color w:val="auto"/>
              </w:rPr>
            </w:pPr>
            <w:r>
              <w:rPr>
                <w:rFonts w:ascii="Arial" w:cs="Arial" w:eastAsia="Arial" w:hAnsi="Arial"/>
                <w:sz w:val="18"/>
                <w:szCs w:val="18"/>
                <w:color w:val="auto"/>
              </w:rPr>
              <w:t>(178.0 )</w:t>
            </w: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(375.6 )</w:t>
            </w:r>
          </w:p>
        </w:tc>
        <w:tc>
          <w:tcPr>
            <w:tcW w:w="200" w:type="dxa"/>
            <w:vAlign w:val="bottom"/>
            <w:shd w:val="clear" w:color="auto" w:fill="CCECFF"/>
          </w:tcPr>
          <w:p>
            <w:pPr>
              <w:jc w:val="right"/>
              <w:ind w:right="1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(462.6 )</w:t>
            </w:r>
          </w:p>
        </w:tc>
        <w:tc>
          <w:tcPr>
            <w:tcW w:w="10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(265.0 )</w:t>
            </w: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(12.2 )</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(35.2 )</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(65.3 )</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(71.9 )</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r>
      <w:tr>
        <w:trPr>
          <w:trHeight w:val="216"/>
        </w:trPr>
        <w:tc>
          <w:tcPr>
            <w:tcW w:w="3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(0.6 )</w:t>
            </w:r>
          </w:p>
        </w:tc>
        <w:tc>
          <w:tcPr>
            <w:tcW w:w="36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(0.5 )</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88"/>
              <w:spacing w:after="0"/>
              <w:rPr>
                <w:sz w:val="20"/>
                <w:szCs w:val="20"/>
                <w:color w:val="auto"/>
              </w:rPr>
            </w:pPr>
            <w:r>
              <w:rPr>
                <w:rFonts w:ascii="Arial" w:cs="Arial" w:eastAsia="Arial" w:hAnsi="Arial"/>
                <w:sz w:val="18"/>
                <w:szCs w:val="18"/>
                <w:color w:val="auto"/>
              </w:rPr>
              <w:t>(1.8 )</w:t>
            </w: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(1.5 )</w:t>
            </w:r>
          </w:p>
        </w:tc>
        <w:tc>
          <w:tcPr>
            <w:tcW w:w="2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(2.2 )</w:t>
            </w:r>
          </w:p>
        </w:tc>
      </w:tr>
      <w:tr>
        <w:trPr>
          <w:trHeight w:val="216"/>
        </w:trPr>
        <w:tc>
          <w:tcPr>
            <w:tcW w:w="3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r>
      <w:tr>
        <w:trPr>
          <w:trHeight w:val="216"/>
        </w:trPr>
        <w:tc>
          <w:tcPr>
            <w:tcW w:w="3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(5.4 )</w:t>
            </w: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88"/>
              <w:spacing w:after="0"/>
              <w:rPr>
                <w:sz w:val="20"/>
                <w:szCs w:val="20"/>
                <w:color w:val="auto"/>
              </w:rPr>
            </w:pPr>
            <w:r>
              <w:rPr>
                <w:rFonts w:ascii="Arial" w:cs="Arial" w:eastAsia="Arial" w:hAnsi="Arial"/>
                <w:sz w:val="18"/>
                <w:szCs w:val="18"/>
                <w:color w:val="auto"/>
              </w:rPr>
              <w:t>(6.4 )</w:t>
            </w:r>
          </w:p>
        </w:tc>
        <w:tc>
          <w:tcPr>
            <w:tcW w:w="38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6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(12.4 )</w:t>
            </w:r>
          </w:p>
        </w:tc>
      </w:tr>
      <w:tr>
        <w:trPr>
          <w:trHeight w:val="209"/>
        </w:trPr>
        <w:tc>
          <w:tcPr>
            <w:tcW w:w="360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240" w:type="dxa"/>
            <w:vAlign w:val="bottom"/>
            <w:tcBorders>
              <w:top w:val="single" w:sz="8" w:color="CCECFF"/>
            </w:tcBorders>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Borders>
              <w:top w:val="single" w:sz="8" w:color="CCECFF"/>
            </w:tcBorders>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220" w:type="dxa"/>
            <w:vAlign w:val="bottom"/>
            <w:tcBorders>
              <w:top w:val="single" w:sz="8" w:color="CCECFF"/>
            </w:tcBorders>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CECFF"/>
            </w:tcBorders>
          </w:tcPr>
          <w:p>
            <w:pPr>
              <w:spacing w:after="0"/>
              <w:rPr>
                <w:sz w:val="18"/>
                <w:szCs w:val="18"/>
                <w:color w:val="auto"/>
              </w:rPr>
            </w:pPr>
          </w:p>
        </w:tc>
        <w:tc>
          <w:tcPr>
            <w:tcW w:w="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Borders>
              <w:top w:val="single" w:sz="8" w:color="CCEC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Borders>
              <w:top w:val="single" w:sz="8" w:color="CCECFF"/>
            </w:tcBorders>
          </w:tcPr>
          <w:p>
            <w:pPr>
              <w:spacing w:after="0"/>
              <w:rPr>
                <w:sz w:val="18"/>
                <w:szCs w:val="18"/>
                <w:color w:val="auto"/>
              </w:rPr>
            </w:pPr>
          </w:p>
        </w:tc>
      </w:tr>
      <w:tr>
        <w:trPr>
          <w:trHeight w:val="216"/>
        </w:trPr>
        <w:tc>
          <w:tcPr>
            <w:tcW w:w="360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174"/>
        </w:trPr>
        <w:tc>
          <w:tcPr>
            <w:tcW w:w="3600" w:type="dxa"/>
            <w:vAlign w:val="bottom"/>
          </w:tcPr>
          <w:p>
            <w:pPr>
              <w:ind w:left="200"/>
              <w:spacing w:after="0" w:line="175" w:lineRule="exact"/>
              <w:rPr>
                <w:sz w:val="20"/>
                <w:szCs w:val="20"/>
                <w:color w:val="auto"/>
              </w:rPr>
            </w:pPr>
            <w:r>
              <w:rPr>
                <w:rFonts w:ascii="Arial" w:cs="Arial" w:eastAsia="Arial" w:hAnsi="Arial"/>
                <w:sz w:val="18"/>
                <w:szCs w:val="18"/>
                <w:color w:val="auto"/>
              </w:rPr>
              <w:t>Amortization of purchased intangible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0"/>
                <w:szCs w:val="20"/>
                <w:color w:val="auto"/>
              </w:rPr>
            </w:pPr>
          </w:p>
        </w:tc>
      </w:tr>
      <w:tr>
        <w:trPr>
          <w:trHeight w:val="216"/>
        </w:trPr>
        <w:tc>
          <w:tcPr>
            <w:tcW w:w="36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Restructuring costs (credits), net</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(3.1 )</w:t>
            </w:r>
          </w:p>
        </w:tc>
        <w:tc>
          <w:tcPr>
            <w:tcW w:w="2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100.2</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91.9</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CFF"/>
          </w:tcPr>
          <w:p>
            <w:pPr>
              <w:spacing w:after="0"/>
              <w:rPr>
                <w:sz w:val="18"/>
                <w:szCs w:val="18"/>
                <w:color w:val="auto"/>
              </w:rPr>
            </w:pPr>
          </w:p>
        </w:tc>
      </w:tr>
      <w:tr>
        <w:trPr>
          <w:trHeight w:val="216"/>
        </w:trPr>
        <w:tc>
          <w:tcPr>
            <w:tcW w:w="360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r>
      <w:tr>
        <w:trPr>
          <w:trHeight w:val="216"/>
        </w:trPr>
        <w:tc>
          <w:tcPr>
            <w:tcW w:w="360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CFF"/>
          </w:tcPr>
          <w:p>
            <w:pPr>
              <w:spacing w:after="0"/>
              <w:rPr>
                <w:sz w:val="18"/>
                <w:szCs w:val="18"/>
                <w:color w:val="auto"/>
              </w:rPr>
            </w:pPr>
          </w:p>
        </w:tc>
        <w:tc>
          <w:tcPr>
            <w:tcW w:w="10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CFF"/>
          </w:tcPr>
          <w:p>
            <w:pPr>
              <w:spacing w:after="0"/>
              <w:rPr>
                <w:sz w:val="18"/>
                <w:szCs w:val="18"/>
                <w:color w:val="auto"/>
              </w:rPr>
            </w:pP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1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CFF"/>
          </w:tcPr>
          <w:p>
            <w:pPr>
              <w:spacing w:after="0"/>
              <w:rPr>
                <w:sz w:val="18"/>
                <w:szCs w:val="18"/>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CFF"/>
          </w:tcPr>
          <w:p>
            <w:pPr>
              <w:spacing w:after="0"/>
              <w:rPr>
                <w:sz w:val="18"/>
                <w:szCs w:val="18"/>
                <w:color w:val="auto"/>
              </w:rPr>
            </w:pPr>
          </w:p>
        </w:tc>
      </w:tr>
      <w:tr>
        <w:trPr>
          <w:trHeight w:val="162"/>
        </w:trPr>
        <w:tc>
          <w:tcPr>
            <w:tcW w:w="3600" w:type="dxa"/>
            <w:vAlign w:val="bottom"/>
          </w:tcPr>
          <w:p>
            <w:pPr>
              <w:ind w:left="200"/>
              <w:spacing w:after="0" w:line="162" w:lineRule="exact"/>
              <w:rPr>
                <w:sz w:val="20"/>
                <w:szCs w:val="20"/>
                <w:color w:val="auto"/>
              </w:rPr>
            </w:pPr>
            <w:r>
              <w:rPr>
                <w:rFonts w:ascii="Arial" w:cs="Arial" w:eastAsia="Arial" w:hAnsi="Arial"/>
                <w:sz w:val="18"/>
                <w:szCs w:val="18"/>
                <w:color w:val="auto"/>
              </w:rPr>
              <w:t>Transaction, transformation and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3600" w:type="dxa"/>
            <w:vAlign w:val="bottom"/>
          </w:tcPr>
          <w:p>
            <w:pPr>
              <w:ind w:left="340"/>
              <w:spacing w:after="0" w:line="243" w:lineRule="exact"/>
              <w:rPr>
                <w:sz w:val="20"/>
                <w:szCs w:val="20"/>
                <w:color w:val="auto"/>
              </w:rPr>
            </w:pPr>
            <w:r>
              <w:rPr>
                <w:rFonts w:ascii="Arial" w:cs="Arial" w:eastAsia="Arial" w:hAnsi="Arial"/>
                <w:sz w:val="18"/>
                <w:szCs w:val="18"/>
                <w:color w:val="auto"/>
              </w:rPr>
              <w:t xml:space="preserve">integration costs </w:t>
            </w:r>
            <w:r>
              <w:rPr>
                <w:rFonts w:ascii="Arial" w:cs="Arial" w:eastAsia="Arial" w:hAnsi="Arial"/>
                <w:sz w:val="24"/>
                <w:szCs w:val="24"/>
                <w:color w:val="auto"/>
                <w:vertAlign w:val="superscript"/>
              </w:rPr>
              <w:t>(1)</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r>
      <w:tr>
        <w:trPr>
          <w:trHeight w:val="216"/>
        </w:trPr>
        <w:tc>
          <w:tcPr>
            <w:tcW w:w="3600" w:type="dxa"/>
            <w:vAlign w:val="bottom"/>
            <w:shd w:val="clear" w:color="auto" w:fill="CCECFF"/>
          </w:tcPr>
          <w:p>
            <w:pPr>
              <w:ind w:left="200"/>
              <w:spacing w:after="0" w:line="216" w:lineRule="exact"/>
              <w:rPr>
                <w:sz w:val="20"/>
                <w:szCs w:val="20"/>
                <w:color w:val="auto"/>
              </w:rPr>
            </w:pPr>
            <w:r>
              <w:rPr>
                <w:rFonts w:ascii="Arial" w:cs="Arial" w:eastAsia="Arial" w:hAnsi="Arial"/>
                <w:sz w:val="18"/>
                <w:szCs w:val="18"/>
                <w:color w:val="auto"/>
              </w:rPr>
              <w:t xml:space="preserve">Acquisition accounting adjustments </w:t>
            </w:r>
            <w:r>
              <w:rPr>
                <w:rFonts w:ascii="Arial" w:cs="Arial" w:eastAsia="Arial" w:hAnsi="Arial"/>
                <w:sz w:val="21"/>
                <w:szCs w:val="21"/>
                <w:color w:val="auto"/>
                <w:vertAlign w:val="superscript"/>
              </w:rPr>
              <w:t>(2)</w:t>
            </w:r>
          </w:p>
        </w:tc>
        <w:tc>
          <w:tcPr>
            <w:tcW w:w="2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CFF"/>
          </w:tcPr>
          <w:p>
            <w:pPr>
              <w:spacing w:after="0"/>
              <w:rPr>
                <w:sz w:val="18"/>
                <w:szCs w:val="18"/>
                <w:color w:val="auto"/>
              </w:rPr>
            </w:pPr>
          </w:p>
        </w:tc>
      </w:tr>
      <w:tr>
        <w:trPr>
          <w:trHeight w:val="174"/>
        </w:trPr>
        <w:tc>
          <w:tcPr>
            <w:tcW w:w="3600" w:type="dxa"/>
            <w:vAlign w:val="bottom"/>
          </w:tcPr>
          <w:p>
            <w:pPr>
              <w:ind w:left="200"/>
              <w:spacing w:after="0" w:line="175" w:lineRule="exact"/>
              <w:rPr>
                <w:sz w:val="20"/>
                <w:szCs w:val="20"/>
                <w:color w:val="auto"/>
              </w:rPr>
            </w:pPr>
            <w:r>
              <w:rPr>
                <w:rFonts w:ascii="Arial" w:cs="Arial" w:eastAsia="Arial" w:hAnsi="Arial"/>
                <w:sz w:val="18"/>
                <w:szCs w:val="18"/>
                <w:color w:val="auto"/>
              </w:rPr>
              <w:t>Patent claims and litigation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r>
      <w:tr>
        <w:trPr>
          <w:trHeight w:val="174"/>
        </w:trPr>
        <w:tc>
          <w:tcPr>
            <w:tcW w:w="3600" w:type="dxa"/>
            <w:vAlign w:val="bottom"/>
            <w:shd w:val="clear" w:color="auto" w:fill="CCECFF"/>
          </w:tcPr>
          <w:p>
            <w:pPr>
              <w:ind w:left="200"/>
              <w:spacing w:after="0" w:line="175" w:lineRule="exact"/>
              <w:rPr>
                <w:sz w:val="20"/>
                <w:szCs w:val="20"/>
                <w:color w:val="auto"/>
              </w:rPr>
            </w:pPr>
            <w:r>
              <w:rPr>
                <w:rFonts w:ascii="Arial" w:cs="Arial" w:eastAsia="Arial" w:hAnsi="Arial"/>
                <w:sz w:val="18"/>
                <w:szCs w:val="18"/>
                <w:color w:val="auto"/>
              </w:rPr>
              <w:t>Reserve (recovery) of Russian</w:t>
            </w: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7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7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0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230"/>
        </w:trPr>
        <w:tc>
          <w:tcPr>
            <w:tcW w:w="3600" w:type="dxa"/>
            <w:vAlign w:val="bottom"/>
            <w:shd w:val="clear" w:color="auto" w:fill="CCEC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CFF"/>
          </w:tcPr>
          <w:p>
            <w:pPr>
              <w:spacing w:after="0"/>
              <w:rPr>
                <w:sz w:val="20"/>
                <w:szCs w:val="20"/>
                <w:color w:val="auto"/>
              </w:rPr>
            </w:pPr>
          </w:p>
        </w:tc>
        <w:tc>
          <w:tcPr>
            <w:tcW w:w="10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(1.1 )</w:t>
            </w:r>
          </w:p>
        </w:tc>
        <w:tc>
          <w:tcPr>
            <w:tcW w:w="360" w:type="dxa"/>
            <w:vAlign w:val="bottom"/>
            <w:shd w:val="clear" w:color="auto" w:fill="CCECFF"/>
          </w:tcPr>
          <w:p>
            <w:pPr>
              <w:spacing w:after="0"/>
              <w:rPr>
                <w:sz w:val="20"/>
                <w:szCs w:val="20"/>
                <w:color w:val="auto"/>
              </w:rPr>
            </w:pPr>
          </w:p>
        </w:tc>
        <w:tc>
          <w:tcPr>
            <w:tcW w:w="9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20"/>
                <w:szCs w:val="20"/>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CFF"/>
          </w:tcPr>
          <w:p>
            <w:pPr>
              <w:spacing w:after="0"/>
              <w:rPr>
                <w:sz w:val="20"/>
                <w:szCs w:val="20"/>
                <w:color w:val="auto"/>
              </w:rPr>
            </w:pPr>
          </w:p>
        </w:tc>
        <w:tc>
          <w:tcPr>
            <w:tcW w:w="380" w:type="dxa"/>
            <w:vAlign w:val="bottom"/>
            <w:shd w:val="clear" w:color="auto" w:fill="CCECFF"/>
          </w:tcPr>
          <w:p>
            <w:pPr>
              <w:spacing w:after="0"/>
              <w:rPr>
                <w:sz w:val="20"/>
                <w:szCs w:val="20"/>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CFF"/>
          </w:tcPr>
          <w:p>
            <w:pPr>
              <w:spacing w:after="0"/>
              <w:rPr>
                <w:sz w:val="20"/>
                <w:szCs w:val="20"/>
                <w:color w:val="auto"/>
              </w:rPr>
            </w:pPr>
          </w:p>
        </w:tc>
        <w:tc>
          <w:tcPr>
            <w:tcW w:w="102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20"/>
                <w:szCs w:val="20"/>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CFF"/>
          </w:tcPr>
          <w:p>
            <w:pPr>
              <w:spacing w:after="0"/>
              <w:rPr>
                <w:sz w:val="20"/>
                <w:szCs w:val="20"/>
                <w:color w:val="auto"/>
              </w:rPr>
            </w:pPr>
          </w:p>
        </w:tc>
      </w:tr>
      <w:tr>
        <w:trPr>
          <w:trHeight w:val="216"/>
        </w:trPr>
        <w:tc>
          <w:tcPr>
            <w:tcW w:w="36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r>
      <w:tr>
        <w:trPr>
          <w:trHeight w:val="249"/>
        </w:trPr>
        <w:tc>
          <w:tcPr>
            <w:tcW w:w="36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Non-GAAP adjusted EBITDA</w:t>
            </w: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347.6</w:t>
            </w:r>
          </w:p>
        </w:tc>
        <w:tc>
          <w:tcPr>
            <w:tcW w:w="24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auto"/>
            </w:tcBorders>
            <w:shd w:val="clear" w:color="auto" w:fill="CCEC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900.5</w:t>
            </w:r>
          </w:p>
        </w:tc>
        <w:tc>
          <w:tcPr>
            <w:tcW w:w="220" w:type="dxa"/>
            <w:vAlign w:val="bottom"/>
            <w:tcBorders>
              <w:bottom w:val="single" w:sz="8" w:color="CCECFF"/>
            </w:tcBorders>
            <w:shd w:val="clear" w:color="auto" w:fill="CCECFF"/>
          </w:tcPr>
          <w:p>
            <w:pPr>
              <w:spacing w:after="0"/>
              <w:rPr>
                <w:sz w:val="21"/>
                <w:szCs w:val="21"/>
                <w:color w:val="auto"/>
              </w:rPr>
            </w:pPr>
          </w:p>
        </w:tc>
        <w:tc>
          <w:tcPr>
            <w:tcW w:w="380" w:type="dxa"/>
            <w:vAlign w:val="bottom"/>
            <w:tcBorders>
              <w:bottom w:val="single" w:sz="8" w:color="auto"/>
            </w:tcBorders>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856.4</w:t>
            </w:r>
          </w:p>
        </w:tc>
        <w:tc>
          <w:tcPr>
            <w:tcW w:w="22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jc w:val="right"/>
              <w:ind w:right="15"/>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1,117.0</w:t>
            </w:r>
          </w:p>
        </w:tc>
        <w:tc>
          <w:tcPr>
            <w:tcW w:w="2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-2165350</wp:posOffset>
            </wp:positionV>
            <wp:extent cx="76835" cy="145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-2165350</wp:posOffset>
            </wp:positionV>
            <wp:extent cx="76835"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-2165350</wp:posOffset>
            </wp:positionV>
            <wp:extent cx="68580"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-2165350</wp:posOffset>
            </wp:positionV>
            <wp:extent cx="68580"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-2165350</wp:posOffset>
            </wp:positionV>
            <wp:extent cx="6858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-24765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-7620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-24765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-7620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Note: Components may not sum to total due to rounding.</w:t>
      </w:r>
    </w:p>
    <w:p>
      <w:pPr>
        <w:spacing w:after="0" w:line="72" w:lineRule="exact"/>
        <w:rPr>
          <w:sz w:val="20"/>
          <w:szCs w:val="20"/>
          <w:color w:val="auto"/>
        </w:rPr>
      </w:pPr>
    </w:p>
    <w:p>
      <w:pPr>
        <w:ind w:left="520" w:right="140" w:hanging="512"/>
        <w:spacing w:after="0" w:line="245"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In 2022, primarily reflects transformation costs related to CommScope NEXT and integration costs related to the ARRIS acquisition. In 2021, primarily reflects transaction costs related to the planned spin-off of the Home Networks business, transformation costs related to CommScope NEXT and integration costs related to the ARRIS acquisition.</w:t>
      </w:r>
    </w:p>
    <w:p>
      <w:pPr>
        <w:spacing w:after="0" w:line="59"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In 2022 and 2021, reflects acquisition accounting adjustments related to reducing deferred revenue to its estimated fair value.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Reconciliation of Segment Adjusted EBITDA</w:t>
      </w:r>
    </w:p>
    <w:p>
      <w:pPr>
        <w:spacing w:after="0" w:line="121"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Segment adjusted EBITDA is provided as a performance measure in Note 7 in the Notes to Unaudited Condensed Consolidated Financial Statements included herein. Below we reconcile segment adjusted EBITDA for each segment individually to operating income (loss) for that segment to supplement the reconciliation of the total segment adjusted EBITDA to consolidated operating income (loss) in that footnote.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Connectivity and Cable Solutions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7"/>
          </w:tcPr>
          <w:p>
            <w:pPr>
              <w:jc w:val="center"/>
              <w:ind w:right="448"/>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72"/>
              </w:rPr>
              <w:t>millions)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143.2</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292.1</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39.1</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Restructuring costs (credits),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28"/>
              <w:spacing w:after="0"/>
              <w:rPr>
                <w:sz w:val="20"/>
                <w:szCs w:val="20"/>
                <w:color w:val="auto"/>
              </w:rPr>
            </w:pPr>
            <w:r>
              <w:rPr>
                <w:rFonts w:ascii="Arial" w:cs="Arial" w:eastAsia="Arial" w:hAnsi="Arial"/>
                <w:sz w:val="18"/>
                <w:szCs w:val="18"/>
                <w:color w:val="auto"/>
              </w:rPr>
              <w:t>(4.6 )</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920" w:type="dxa"/>
            <w:vAlign w:val="bottom"/>
            <w:gridSpan w:val="3"/>
            <w:shd w:val="clear" w:color="auto" w:fill="CCECFF"/>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Reserve (recovery) of Russian accounts receivable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(1.0 )</w:t>
            </w:r>
          </w:p>
        </w:tc>
        <w:tc>
          <w:tcPr>
            <w:tcW w:w="320" w:type="dxa"/>
            <w:vAlign w:val="bottom"/>
          </w:tcPr>
          <w:p>
            <w:pPr>
              <w:spacing w:after="0"/>
              <w:rPr>
                <w:sz w:val="18"/>
                <w:szCs w:val="18"/>
                <w:color w:val="auto"/>
              </w:rPr>
            </w:pPr>
          </w:p>
        </w:tc>
        <w:tc>
          <w:tcPr>
            <w:tcW w:w="92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12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188.2</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121.1</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455.6</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Outdoor Wireless Networks Segment</w:t>
            </w: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7"/>
          </w:tcPr>
          <w:p>
            <w:pPr>
              <w:jc w:val="center"/>
              <w:ind w:right="448"/>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1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5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ind w:left="380"/>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millions)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163.1</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Restructuring costs,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12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3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228.6</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4"/>
              </w:rPr>
              <w:t>Networking Intelligent Cellular and Security Solutions Segment</w:t>
            </w: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7"/>
          </w:tcPr>
          <w:p>
            <w:pPr>
              <w:jc w:val="center"/>
              <w:ind w:right="468"/>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ind w:left="380"/>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76"/>
              </w:rPr>
              <w:t>millions)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 (loss)</w:t>
            </w:r>
          </w:p>
        </w:tc>
        <w:tc>
          <w:tcPr>
            <w:tcW w:w="1620" w:type="dxa"/>
            <w:vAlign w:val="bottom"/>
            <w:gridSpan w:val="3"/>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CFF"/>
          </w:tcPr>
          <w:p>
            <w:pPr>
              <w:jc w:val="right"/>
              <w:ind w:right="148"/>
              <w:spacing w:after="0"/>
              <w:rPr>
                <w:sz w:val="20"/>
                <w:szCs w:val="20"/>
                <w:color w:val="auto"/>
              </w:rPr>
            </w:pPr>
            <w:r>
              <w:rPr>
                <w:rFonts w:ascii="Arial" w:cs="Arial" w:eastAsia="Arial" w:hAnsi="Arial"/>
                <w:sz w:val="18"/>
                <w:szCs w:val="18"/>
                <w:color w:val="auto"/>
              </w:rPr>
              <w:t>(38.8 )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(85.4 )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(120.9 )</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Restructuring costs (credits),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3"/>
          </w:tcPr>
          <w:p>
            <w:pPr>
              <w:jc w:val="right"/>
              <w:ind w:right="148"/>
              <w:spacing w:after="0"/>
              <w:rPr>
                <w:sz w:val="20"/>
                <w:szCs w:val="20"/>
                <w:color w:val="auto"/>
              </w:rPr>
            </w:pPr>
            <w:r>
              <w:rPr>
                <w:rFonts w:ascii="Arial" w:cs="Arial" w:eastAsia="Arial" w:hAnsi="Arial"/>
                <w:sz w:val="18"/>
                <w:szCs w:val="18"/>
                <w:color w:val="auto"/>
              </w:rPr>
              <w:t>(0.1 )</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1220" w:type="dxa"/>
            <w:vAlign w:val="bottom"/>
            <w:shd w:val="clear" w:color="auto" w:fill="CCECFF"/>
          </w:tcPr>
          <w:p>
            <w:pPr>
              <w:spacing w:after="0"/>
              <w:rPr>
                <w:sz w:val="18"/>
                <w:szCs w:val="18"/>
                <w:color w:val="auto"/>
              </w:rPr>
            </w:pPr>
          </w:p>
        </w:tc>
        <w:tc>
          <w:tcPr>
            <w:tcW w:w="200" w:type="dxa"/>
            <w:vAlign w:val="bottom"/>
            <w:tcBorders>
              <w:right w:val="single" w:sz="8" w:color="CCECFF"/>
            </w:tcBorders>
            <w:shd w:val="clear" w:color="auto" w:fill="CFF0FC"/>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3"/>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12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right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48"/>
              <w:spacing w:after="0"/>
              <w:rPr>
                <w:sz w:val="20"/>
                <w:szCs w:val="20"/>
                <w:color w:val="auto"/>
              </w:rPr>
            </w:pPr>
            <w:r>
              <w:rPr>
                <w:rFonts w:ascii="Arial" w:cs="Arial" w:eastAsia="Arial" w:hAnsi="Arial"/>
                <w:sz w:val="18"/>
                <w:szCs w:val="18"/>
                <w:color w:val="auto"/>
              </w:rPr>
              <w:t>(8.6 )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5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-5248275</wp:posOffset>
            </wp:positionV>
            <wp:extent cx="76835" cy="1714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-5248275</wp:posOffset>
            </wp:positionV>
            <wp:extent cx="6858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-5248275</wp:posOffset>
            </wp:positionV>
            <wp:extent cx="68580" cy="1714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-5248275</wp:posOffset>
            </wp:positionV>
            <wp:extent cx="68580" cy="171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-3218815</wp:posOffset>
            </wp:positionV>
            <wp:extent cx="76835"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-3218815</wp:posOffset>
            </wp:positionV>
            <wp:extent cx="685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-3218815</wp:posOffset>
            </wp:positionV>
            <wp:extent cx="6858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-3218815</wp:posOffset>
            </wp:positionV>
            <wp:extent cx="6858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-923925</wp:posOffset>
            </wp:positionV>
            <wp:extent cx="7683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-923925</wp:posOffset>
            </wp:positionV>
            <wp:extent cx="6858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-923925</wp:posOffset>
            </wp:positionV>
            <wp:extent cx="6858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Access Network Solutions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jc w:val="center"/>
              <w:ind w:right="468"/>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millions)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(15.8 )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(48.1 )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0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61.7</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185.5</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Restructuring costs,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20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Home Networks Segment</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center"/>
              <w:ind w:right="468"/>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24"/>
                <w:szCs w:val="2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295"/>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millions)</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(39.7 )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CFF"/>
          </w:tcPr>
          <w:p>
            <w:pPr>
              <w:jc w:val="right"/>
              <w:ind w:right="148"/>
              <w:spacing w:after="0"/>
              <w:rPr>
                <w:sz w:val="20"/>
                <w:szCs w:val="20"/>
                <w:color w:val="auto"/>
              </w:rPr>
            </w:pPr>
            <w:r>
              <w:rPr>
                <w:rFonts w:ascii="Arial" w:cs="Arial" w:eastAsia="Arial" w:hAnsi="Arial"/>
                <w:sz w:val="18"/>
                <w:szCs w:val="18"/>
                <w:color w:val="auto"/>
              </w:rPr>
              <w:t>(68.4 )</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(76.2 )</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(153.3 )</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Amortization of purchased intangible assets</w:t>
            </w:r>
          </w:p>
        </w:tc>
        <w:tc>
          <w:tcPr>
            <w:tcW w:w="20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Restructuring costs, net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Equity-based compensation</w:t>
            </w:r>
          </w:p>
        </w:tc>
        <w:tc>
          <w:tcPr>
            <w:tcW w:w="20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Transaction, transformation and integration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Acquisition accounting adjustments</w:t>
            </w:r>
          </w:p>
        </w:tc>
        <w:tc>
          <w:tcPr>
            <w:tcW w:w="200" w:type="dxa"/>
            <w:vAlign w:val="bottom"/>
            <w:shd w:val="clear" w:color="auto" w:fill="CCECFF"/>
          </w:tcPr>
          <w:p>
            <w:pPr>
              <w:spacing w:after="0"/>
              <w:rPr>
                <w:sz w:val="18"/>
                <w:szCs w:val="18"/>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CFF"/>
          </w:tcPr>
          <w:p>
            <w:pPr>
              <w:spacing w:after="0"/>
              <w:rPr>
                <w:sz w:val="18"/>
                <w:szCs w:val="18"/>
                <w:color w:val="auto"/>
              </w:rPr>
            </w:pPr>
          </w:p>
        </w:tc>
        <w:tc>
          <w:tcPr>
            <w:tcW w:w="320" w:type="dxa"/>
            <w:vAlign w:val="bottom"/>
            <w:shd w:val="clear" w:color="auto" w:fill="CCECFF"/>
          </w:tcPr>
          <w:p>
            <w:pPr>
              <w:spacing w:after="0"/>
              <w:rPr>
                <w:sz w:val="18"/>
                <w:szCs w:val="18"/>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Arial" w:cs="Arial" w:eastAsia="Arial" w:hAnsi="Arial"/>
                <w:sz w:val="18"/>
                <w:szCs w:val="18"/>
                <w:color w:val="auto"/>
              </w:rPr>
              <w:t>Patent claims and litigation settlements</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auto"/>
            </w:tcBorders>
            <w:shd w:val="clear" w:color="auto" w:fill="CCECFF"/>
          </w:tcPr>
          <w:p>
            <w:pPr>
              <w:spacing w:after="0"/>
              <w:rPr>
                <w:sz w:val="18"/>
                <w:szCs w:val="18"/>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(15.5 )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4740275</wp:posOffset>
            </wp:positionH>
            <wp:positionV relativeFrom="paragraph">
              <wp:posOffset>-2473960</wp:posOffset>
            </wp:positionV>
            <wp:extent cx="7683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-2473960</wp:posOffset>
            </wp:positionV>
            <wp:extent cx="6858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-2473960</wp:posOffset>
            </wp:positionV>
            <wp:extent cx="6858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-2473960</wp:posOffset>
            </wp:positionV>
            <wp:extent cx="6858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-170815</wp:posOffset>
            </wp:positionV>
            <wp:extent cx="76835" cy="1714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-170815</wp:posOffset>
            </wp:positionV>
            <wp:extent cx="68580" cy="1714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-170815</wp:posOffset>
            </wp:positionV>
            <wp:extent cx="68580"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Note: Components may not sum to total due to rounding.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This Quarterly Report on Form 10-Q or any other oral or written statements made by us or on our behalf may include forward-looking statements that reflect our current views with respect to future events and financial performance. These statements may discuss goals, targets, intentions or expectations as to future plans, trends, events, results of operations or financial condition or otherwise, in each case, based on current beliefs and expectations of management, as well as assumptions made by, and information currently available to,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These forward-looking statements are subject to various risks and uncertainties, many of which are outside our control, including, without limitation, risks related to the successful execution of CommScope NEXT; changes in cost and availability of key raw materials, components and commodities and the potential effect on customer pricing and timing of delivery of products to customers; risks related to our ability to implement price increases on our products and services; risks associated with our dependence on a limited number of key suppliers for certain raw materials and components; potential difficulties in realigning global manufacturing capacity and capabilities among our global manufacturing facilities or those of our contract manufacturers that may affect our ability to meet customer demands for products; possible future restructuring actions; the risk that our manufacturing operations, including our contract manufacturers that we rely on, encounter capacity, production, quality, financial or other difficulties causing difficulty in meeting customer demands; substantial indebtedness and restrictive debt covenants; our ability to incur additional indebtedness and increases in interest rates; our ability to generate cash to service our indebtedness; the potential separation of the Home Networks business or any other potential separation, divestiture or discontinuance of a business or product line, including uncertainty regarding the timing of the separation, achieving the expected benefits and the potential disruption to the business; our ability to integrate and fully realize anticipated benefits from prior or future divestitures, acquisitions or equity investments; our dependence on customers’ capital spending on data and communication systems, which could be negatively impacted by a regional or global economic downturn, among other factors; concentration of sales among a limited number of customers and channel partners; risks associated with our sales through channel partners; changes to the regulatory environment in which we and our customers operate; changes in technology; industry competition and the ability to retain customers through product innovation, introduction, and marketing; possible future impairment charges for fixed or intangible assets, including goodwill; our ability to attract and retain qualified key employees; labor unrest; product quality or performance issues, including those associated with our suppliers or contract manufacturers, and associated warranty claims; our ability to maintain effective management information technology systems and to successfully implement major systems initiatives; cyber-security incidents, including data security breaches, ransomware or computer viruses; the use of open standards; the long-term impact of climate change; significant international operations exposing us to economic risks like variability in foreign exchange rates and inflation as well as political and other risks, including the impact of wars, regional conflicts and terrorism; the potential impact of higher than normal inflation; our ability to comply with governmental anti-corruption laws and regulations and export and import controls and sanctions worldwide; the impact of export and import controls and sanctions worldwide on our supply chain; our ability to compete in international markets due to export and import controls to which we may be subject; changes in the laws and policies in the United States affecting trade, including the risk and uncertainty related to tariffs or potential trade wars and potential changes to laws and policies, that may impact our products; cost of protecting or defending intellectual property; costs and challenges of compliance with domestic and foreign environmental laws; the impact of litigation and similar regulatory proceedings that we are involved in or may become involved in, including the costs of such litigation; the scope, duration and impact of disease outbreaks and pandemics, such as COVID-19, on our business including employees, sites, operations, customers, supply chain logistics and the global economy; income tax rate variability and ability to recover amounts recorded as deferred tax assets; and other factors beyond our control. These and other factors are discussed in greater detail in our 2021 Annual Report and may be updated from time to time in our annual reports, quarterly reports, current reports and other filings we make with the Securities and Exchange Commission. Although the information contained in this Quarterly Report on Form 10-Q represents our best judgment as of the date of this report based on information currently available and reasonable assumptions, we can give no assurance that the expectations will be attained or that any deviation will not be material. Given these uncertainties, we caution you not to place undue reliance on these forward-looking statements, which speak only as of the date made. We are not undertaking any duty or obligation to update this information to reflect developments or information obtained after the date of this report, except as otherwise may be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There have been no material changes in the interest rate risk, commodity price risk or foreign currency exchange rate risk information previously reported under Item 7A of our 2021 Annual Report, as filed with the SEC on February 17,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0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our Chief Executive Officer and Chief Financial Officer have concluded that these disclosure controls and procedures are effective.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Reference should be made to our 2021 Annual Report for additional information regarding discussion of the effectiveness of the Company’s controls and procedures. There have been no changes in our internal control over financial reporting during the quarter ended September 30, 2022 that have materially affected, or are reasonably likely to materially affect, our internal control over financial reporting.</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47" w:right="5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Company is party to certain intellectual property claims and periodically receives notices asserting that its products infringe on another party’s patents and other intellectual property rights. These claims and assertions, whether against the Company directly or against its customers, could require the Company to pay damages, incur royalties, stop offering the relevant products and/or cease other activities. The Company may also be called upon to indemnify certain customers for costs related to claims made regarding certain products sold to such customers. The outcome of these claims and assertions is uncertain and a reasonable estimate of the loss from unfavorable outcomes in certain of these matters either cannot be determined or is estimated at the minimum amount of a range of estimates. The actual loss could be material and may vary significantly from our estimates. From time to time, the Company may also be involved as a plaintiff involving intellectual property claims. Gain contingencies, if any, are recognized when they are realized.</w:t>
      </w:r>
    </w:p>
    <w:p>
      <w:pPr>
        <w:spacing w:after="0" w:line="161"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color w:val="auto"/>
        </w:rPr>
        <w:t>The Company is also either a plaintiff or a defendant in certain other pending legal matters in the normal course of business. Management believes none of these other pending legal matters will have a material adverse effect on the Company’s business or financial condition upon final disposition.</w:t>
      </w:r>
    </w:p>
    <w:p>
      <w:pPr>
        <w:spacing w:after="0" w:line="13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addition, the Company is subject to various federal, state, local and foreign laws and regulations governing the use, discharge, disposal and remediation of hazardous materials. Compliance with current laws and regulations has not had, and is not expected to have, a materially adverse effect on the Company’s financial condition or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12529"/>
        </w:rPr>
        <w:t>The Company’s business, financial condition, results of operations and cash flows are subject to various risks which could cause actual results to vary from recent results or from anticipated future results. There have been no material changes to our risk factors disclosed in Part I - Item 1A, Risk Factors, of our 2021 Annual Report.</w:t>
      </w:r>
    </w:p>
    <w:p>
      <w:pPr>
        <w:spacing w:after="0" w:line="280" w:lineRule="exact"/>
        <w:rPr>
          <w:sz w:val="20"/>
          <w:szCs w:val="20"/>
          <w:color w:val="auto"/>
        </w:rPr>
      </w:pPr>
    </w:p>
    <w:p>
      <w:pPr>
        <w:ind w:right="4100"/>
        <w:spacing w:after="0" w:line="369"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purchase activity for the three months ended September 30,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4"/>
                <w:szCs w:val="14"/>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7"/>
              </w:rPr>
              <w:t>Average</w:t>
            </w:r>
          </w:p>
        </w:tc>
        <w:tc>
          <w:tcPr>
            <w:tcW w:w="2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2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Maximum Value of Shares that May</w:t>
            </w:r>
          </w:p>
        </w:tc>
        <w:tc>
          <w:tcPr>
            <w:tcW w:w="100" w:type="dxa"/>
            <w:vAlign w:val="bottom"/>
          </w:tcPr>
          <w:p>
            <w:pPr>
              <w:spacing w:after="0"/>
              <w:rPr>
                <w:sz w:val="14"/>
                <w:szCs w:val="14"/>
                <w:color w:val="auto"/>
              </w:rPr>
            </w:pPr>
          </w:p>
        </w:tc>
      </w:tr>
      <w:tr>
        <w:trPr>
          <w:trHeight w:val="148"/>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4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20" w:type="dxa"/>
            <w:vAlign w:val="bottom"/>
          </w:tcPr>
          <w:p>
            <w:pPr>
              <w:spacing w:after="0"/>
              <w:rPr>
                <w:sz w:val="12"/>
                <w:szCs w:val="12"/>
                <w:color w:val="auto"/>
              </w:rPr>
            </w:pPr>
          </w:p>
        </w:tc>
        <w:tc>
          <w:tcPr>
            <w:tcW w:w="2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Yet be Purchased Under the Plans or</w:t>
            </w:r>
          </w:p>
        </w:tc>
        <w:tc>
          <w:tcPr>
            <w:tcW w:w="100" w:type="dxa"/>
            <w:vAlign w:val="bottom"/>
          </w:tcPr>
          <w:p>
            <w:pPr>
              <w:spacing w:after="0"/>
              <w:rPr>
                <w:sz w:val="12"/>
                <w:szCs w:val="12"/>
                <w:color w:val="auto"/>
              </w:rPr>
            </w:pPr>
          </w:p>
        </w:tc>
      </w:tr>
      <w:tr>
        <w:trPr>
          <w:trHeight w:val="202"/>
        </w:trPr>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8"/>
              </w:rPr>
              <w:t xml:space="preserve">Purchased </w:t>
            </w:r>
            <w:r>
              <w:rPr>
                <w:rFonts w:ascii="Arial" w:cs="Arial" w:eastAsia="Arial" w:hAnsi="Arial"/>
                <w:sz w:val="21"/>
                <w:szCs w:val="21"/>
                <w:b w:val="1"/>
                <w:bCs w:val="1"/>
                <w:color w:val="auto"/>
                <w:w w:val="88"/>
                <w:vertAlign w:val="superscript"/>
              </w:rPr>
              <w:t>(1)</w:t>
            </w:r>
          </w:p>
        </w:tc>
        <w:tc>
          <w:tcPr>
            <w:tcW w:w="240" w:type="dxa"/>
            <w:vAlign w:val="bottom"/>
          </w:tcPr>
          <w:p>
            <w:pPr>
              <w:spacing w:after="0"/>
              <w:rPr>
                <w:sz w:val="17"/>
                <w:szCs w:val="17"/>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7"/>
              </w:rPr>
              <w:t>Per Share</w:t>
            </w:r>
          </w:p>
        </w:tc>
        <w:tc>
          <w:tcPr>
            <w:tcW w:w="2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415"/>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7"/>
                <w:szCs w:val="17"/>
                <w:color w:val="auto"/>
              </w:rPr>
            </w:pPr>
          </w:p>
        </w:tc>
      </w:tr>
      <w:tr>
        <w:trPr>
          <w:trHeight w:val="209"/>
        </w:trPr>
        <w:tc>
          <w:tcPr>
            <w:tcW w:w="3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July 1, 2022 - July 31, 2022</w:t>
            </w:r>
          </w:p>
        </w:tc>
        <w:tc>
          <w:tcPr>
            <w:tcW w:w="1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8,639</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CFF"/>
          </w:tcPr>
          <w:p>
            <w:pPr>
              <w:spacing w:after="0"/>
              <w:rPr>
                <w:sz w:val="18"/>
                <w:szCs w:val="18"/>
                <w:color w:val="auto"/>
              </w:rPr>
            </w:pPr>
          </w:p>
        </w:tc>
        <w:tc>
          <w:tcPr>
            <w:tcW w:w="2060" w:type="dxa"/>
            <w:vAlign w:val="bottom"/>
            <w:shd w:val="clear" w:color="auto" w:fill="CCECFF"/>
          </w:tcPr>
          <w:p>
            <w:pPr>
              <w:ind w:left="18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CFF"/>
          </w:tcPr>
          <w:p>
            <w:pPr>
              <w:spacing w:after="0"/>
              <w:rPr>
                <w:sz w:val="18"/>
                <w:szCs w:val="18"/>
                <w:color w:val="auto"/>
              </w:rPr>
            </w:pPr>
          </w:p>
        </w:tc>
        <w:tc>
          <w:tcPr>
            <w:tcW w:w="500" w:type="dxa"/>
            <w:vAlign w:val="bottom"/>
            <w:shd w:val="clear" w:color="auto" w:fill="CCECFF"/>
          </w:tcPr>
          <w:p>
            <w:pPr>
              <w:jc w:val="right"/>
              <w:ind w:right="322"/>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CFF"/>
          </w:tcPr>
          <w:p>
            <w:pPr>
              <w:ind w:left="17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CFF"/>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August 1, 2022 - August 31, 2022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18"/>
                <w:szCs w:val="18"/>
                <w:color w:val="auto"/>
              </w:rPr>
            </w:pPr>
          </w:p>
        </w:tc>
        <w:tc>
          <w:tcPr>
            <w:tcW w:w="2060" w:type="dxa"/>
            <w:vAlign w:val="bottom"/>
          </w:tcPr>
          <w:p>
            <w:pPr>
              <w:ind w:left="1880"/>
              <w:spacing w:after="0"/>
              <w:rPr>
                <w:sz w:val="20"/>
                <w:szCs w:val="20"/>
                <w:color w:val="auto"/>
              </w:rPr>
            </w:pPr>
            <w:r>
              <w:rPr>
                <w:rFonts w:ascii="Arial" w:cs="Arial" w:eastAsia="Arial" w:hAnsi="Arial"/>
                <w:sz w:val="18"/>
                <w:szCs w:val="18"/>
                <w:color w:val="auto"/>
                <w:w w:val="88"/>
              </w:rPr>
              <w:t>—</w:t>
            </w:r>
          </w:p>
        </w:tc>
        <w:tc>
          <w:tcPr>
            <w:tcW w:w="72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1900" w:type="dxa"/>
            <w:vAlign w:val="bottom"/>
          </w:tcPr>
          <w:p>
            <w:pPr>
              <w:ind w:left="1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September 1, 2022 - September 30, 2022</w:t>
            </w:r>
          </w:p>
        </w:tc>
        <w:tc>
          <w:tcPr>
            <w:tcW w:w="120" w:type="dxa"/>
            <w:vAlign w:val="bottom"/>
            <w:tcBorders>
              <w:bottom w:val="single" w:sz="8" w:color="CCECFF"/>
            </w:tcBorders>
            <w:shd w:val="clear" w:color="auto" w:fill="CCECFF"/>
          </w:tcPr>
          <w:p>
            <w:pPr>
              <w:spacing w:after="0"/>
              <w:rPr>
                <w:sz w:val="18"/>
                <w:szCs w:val="18"/>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1,066</w:t>
            </w:r>
          </w:p>
        </w:tc>
        <w:tc>
          <w:tcPr>
            <w:tcW w:w="420" w:type="dxa"/>
            <w:vAlign w:val="bottom"/>
            <w:tcBorders>
              <w:bottom w:val="single" w:sz="8" w:color="CCECFF"/>
            </w:tcBorders>
            <w:gridSpan w:val="2"/>
            <w:shd w:val="clear" w:color="auto" w:fill="CCECFF"/>
          </w:tcPr>
          <w:p>
            <w:pPr>
              <w:ind w:left="2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12.16</w:t>
            </w:r>
          </w:p>
        </w:tc>
        <w:tc>
          <w:tcPr>
            <w:tcW w:w="200" w:type="dxa"/>
            <w:vAlign w:val="bottom"/>
            <w:tcBorders>
              <w:bottom w:val="single" w:sz="8" w:color="CCECFF"/>
            </w:tcBorders>
            <w:shd w:val="clear" w:color="auto" w:fill="CCECFF"/>
          </w:tcPr>
          <w:p>
            <w:pPr>
              <w:spacing w:after="0"/>
              <w:rPr>
                <w:sz w:val="18"/>
                <w:szCs w:val="18"/>
                <w:color w:val="auto"/>
              </w:rPr>
            </w:pPr>
          </w:p>
        </w:tc>
        <w:tc>
          <w:tcPr>
            <w:tcW w:w="2060" w:type="dxa"/>
            <w:vAlign w:val="bottom"/>
            <w:tcBorders>
              <w:bottom w:val="single" w:sz="8" w:color="auto"/>
            </w:tcBorders>
            <w:shd w:val="clear" w:color="auto" w:fill="CCECFF"/>
          </w:tcPr>
          <w:p>
            <w:pPr>
              <w:ind w:left="1880"/>
              <w:spacing w:after="0"/>
              <w:rPr>
                <w:sz w:val="20"/>
                <w:szCs w:val="20"/>
                <w:color w:val="auto"/>
              </w:rPr>
            </w:pPr>
            <w:r>
              <w:rPr>
                <w:rFonts w:ascii="Arial" w:cs="Arial" w:eastAsia="Arial" w:hAnsi="Arial"/>
                <w:sz w:val="18"/>
                <w:szCs w:val="18"/>
                <w:color w:val="auto"/>
                <w:w w:val="88"/>
              </w:rPr>
              <w:t>—</w:t>
            </w:r>
          </w:p>
        </w:tc>
        <w:tc>
          <w:tcPr>
            <w:tcW w:w="720" w:type="dxa"/>
            <w:vAlign w:val="bottom"/>
            <w:tcBorders>
              <w:bottom w:val="single" w:sz="8" w:color="CCECFF"/>
            </w:tcBorders>
            <w:gridSpan w:val="2"/>
            <w:shd w:val="clear" w:color="auto" w:fill="CCECFF"/>
          </w:tcPr>
          <w:p>
            <w:pPr>
              <w:jc w:val="right"/>
              <w:ind w:right="322"/>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CFF"/>
            </w:tcBorders>
            <w:shd w:val="clear" w:color="auto" w:fill="CCECFF"/>
          </w:tcPr>
          <w:p>
            <w:pPr>
              <w:ind w:left="1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398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11,210</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Pr>
          <w:p>
            <w:pPr>
              <w:spacing w:after="0"/>
              <w:rPr>
                <w:sz w:val="18"/>
                <w:szCs w:val="18"/>
                <w:color w:val="auto"/>
              </w:rPr>
            </w:pPr>
          </w:p>
        </w:tc>
        <w:tc>
          <w:tcPr>
            <w:tcW w:w="2060" w:type="dxa"/>
            <w:vAlign w:val="bottom"/>
          </w:tcPr>
          <w:p>
            <w:pPr>
              <w:ind w:left="18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-170815</wp:posOffset>
            </wp:positionV>
            <wp:extent cx="76835"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-170815</wp:posOffset>
            </wp:positionV>
            <wp:extent cx="6858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right="24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purchased were withheld to satisfy the withholding tax obligations related to restricted stock units and performance share units that vested during the period.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color w:val="auto"/>
        </w:rPr>
        <w:t>31.1 **</w:t>
      </w:r>
      <w:r>
        <w:rPr>
          <w:sz w:val="20"/>
          <w:szCs w:val="20"/>
          <w:color w:val="auto"/>
        </w:rPr>
        <w:tab/>
      </w:r>
      <w:r>
        <w:rPr>
          <w:rFonts w:ascii="Arial" w:cs="Arial" w:eastAsia="Arial" w:hAnsi="Arial"/>
          <w:sz w:val="16"/>
          <w:szCs w:val="16"/>
          <w:u w:val="single" w:color="auto"/>
          <w:color w:val="0000FF"/>
        </w:rPr>
        <w:t>Certification of Principal Executive Officer pursuant to Rule 13a-14(a).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-10160</wp:posOffset>
            </wp:positionV>
            <wp:extent cx="32651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265170" cy="8255"/>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31.2 **</w:t>
            </w:r>
          </w:p>
        </w:tc>
        <w:tc>
          <w:tcPr>
            <w:tcW w:w="9720" w:type="dxa"/>
            <w:vAlign w:val="bottom"/>
            <w:gridSpan w:val="3"/>
          </w:tcPr>
          <w:p>
            <w:pPr>
              <w:spacing w:after="0"/>
              <w:rPr>
                <w:sz w:val="20"/>
                <w:szCs w:val="20"/>
                <w:color w:val="auto"/>
              </w:rPr>
            </w:pPr>
            <w:r>
              <w:rPr>
                <w:rFonts w:ascii="Arial" w:cs="Arial" w:eastAsia="Arial" w:hAnsi="Arial"/>
                <w:sz w:val="18"/>
                <w:szCs w:val="18"/>
                <w:color w:val="0000FF"/>
              </w:rPr>
              <w:t>Certification of Principal Financial Officer pursuant to Rule 13a-14(a).</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080" w:type="dxa"/>
            <w:vAlign w:val="bottom"/>
            <w:tcBorders>
              <w:right w:val="single" w:sz="8" w:color="0000EE"/>
            </w:tcBorders>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color w:val="auto"/>
              </w:rPr>
              <w:t>32.1 **</w:t>
            </w:r>
          </w:p>
        </w:tc>
        <w:tc>
          <w:tcPr>
            <w:tcW w:w="9720" w:type="dxa"/>
            <w:vAlign w:val="bottom"/>
            <w:gridSpan w:val="3"/>
          </w:tcPr>
          <w:p>
            <w:pPr>
              <w:spacing w:after="0"/>
              <w:rPr>
                <w:sz w:val="20"/>
                <w:szCs w:val="20"/>
                <w:color w:val="auto"/>
              </w:rPr>
            </w:pPr>
            <w:r>
              <w:rPr>
                <w:rFonts w:ascii="Arial" w:cs="Arial" w:eastAsia="Arial" w:hAnsi="Arial"/>
                <w:sz w:val="18"/>
                <w:szCs w:val="18"/>
                <w:color w:val="0000FF"/>
                <w:w w:val="91"/>
              </w:rPr>
              <w:t>Certification of Principal Executive Officer and Principal Financial Officer Pursuant to 18 U.S.C. Section 1350 as Adopted Pursuant to</w:t>
            </w:r>
          </w:p>
        </w:tc>
      </w:tr>
      <w:tr>
        <w:trPr>
          <w:trHeight w:val="169"/>
        </w:trPr>
        <w:tc>
          <w:tcPr>
            <w:tcW w:w="104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1"/>
              </w:rPr>
              <w:t>Section 906 of the Sarbanes-Oxley Act of 2002 (furnished pursuant to Item 601(b)(32)(ii) of Regulation S-K).</w:t>
            </w:r>
          </w:p>
        </w:tc>
        <w:tc>
          <w:tcPr>
            <w:tcW w:w="1820" w:type="dxa"/>
            <w:vAlign w:val="bottom"/>
            <w:tcBorders>
              <w:top w:val="single" w:sz="8" w:color="0000FF"/>
            </w:tcBorders>
          </w:tcPr>
          <w:p>
            <w:pPr>
              <w:spacing w:after="0"/>
              <w:rPr>
                <w:sz w:val="14"/>
                <w:szCs w:val="14"/>
                <w:color w:val="auto"/>
              </w:rPr>
            </w:pPr>
          </w:p>
        </w:tc>
      </w:tr>
      <w:tr>
        <w:trPr>
          <w:trHeight w:val="53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3"/>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040" w:type="dxa"/>
            <w:vAlign w:val="bottom"/>
          </w:tcPr>
          <w:p>
            <w:pPr>
              <w:spacing w:after="0"/>
              <w:rPr>
                <w:sz w:val="20"/>
                <w:szCs w:val="20"/>
                <w:color w:val="auto"/>
              </w:rPr>
            </w:pPr>
          </w:p>
        </w:tc>
        <w:tc>
          <w:tcPr>
            <w:tcW w:w="972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Schema Document, furnished herewith.</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80" w:lineRule="exact"/>
        <w:rPr>
          <w:sz w:val="20"/>
          <w:szCs w:val="20"/>
          <w:color w:val="auto"/>
        </w:rPr>
      </w:pPr>
    </w:p>
    <w:p>
      <w:pPr>
        <w:ind w:left="1040" w:hanging="10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03" w:lineRule="exact"/>
        <w:rPr>
          <w:rFonts w:ascii="Arial" w:cs="Arial" w:eastAsia="Arial" w:hAnsi="Arial"/>
          <w:sz w:val="18"/>
          <w:szCs w:val="18"/>
          <w:color w:val="auto"/>
        </w:rPr>
      </w:pPr>
    </w:p>
    <w:p>
      <w:pPr>
        <w:ind w:left="1040" w:hanging="214"/>
        <w:spacing w:after="0"/>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647" w:right="7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COMMSCOPE HOLDING COMPANY, INC.</w:t>
            </w:r>
          </w:p>
        </w:tc>
      </w:tr>
      <w:tr>
        <w:trPr>
          <w:trHeight w:val="472"/>
        </w:trPr>
        <w:tc>
          <w:tcPr>
            <w:tcW w:w="6180" w:type="dxa"/>
            <w:vAlign w:val="bottom"/>
          </w:tcPr>
          <w:p>
            <w:pPr>
              <w:spacing w:after="0"/>
              <w:rPr>
                <w:sz w:val="20"/>
                <w:szCs w:val="20"/>
                <w:color w:val="auto"/>
              </w:rPr>
            </w:pPr>
            <w:r>
              <w:rPr>
                <w:rFonts w:ascii="Arial" w:cs="Arial" w:eastAsia="Arial" w:hAnsi="Arial"/>
                <w:sz w:val="18"/>
                <w:szCs w:val="18"/>
                <w:color w:val="auto"/>
              </w:rPr>
              <w:t>November 2, 2022</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Kyle D. Lorentzen</w:t>
            </w:r>
          </w:p>
        </w:tc>
      </w:tr>
      <w:tr>
        <w:trPr>
          <w:trHeight w:val="195"/>
        </w:trPr>
        <w:tc>
          <w:tcPr>
            <w:tcW w:w="618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040" w:type="dxa"/>
            <w:vAlign w:val="bottom"/>
          </w:tcPr>
          <w:p>
            <w:pPr>
              <w:ind w:left="20"/>
              <w:spacing w:after="0" w:line="195" w:lineRule="exact"/>
              <w:rPr>
                <w:sz w:val="20"/>
                <w:szCs w:val="20"/>
                <w:color w:val="auto"/>
              </w:rPr>
            </w:pPr>
            <w:r>
              <w:rPr>
                <w:rFonts w:ascii="Arial" w:cs="Arial" w:eastAsia="Arial" w:hAnsi="Arial"/>
                <w:sz w:val="18"/>
                <w:szCs w:val="18"/>
                <w:color w:val="auto"/>
              </w:rPr>
              <w:t>Kyle D. Lorentzen</w:t>
            </w:r>
          </w:p>
        </w:tc>
      </w:tr>
      <w:tr>
        <w:trPr>
          <w:trHeight w:val="216"/>
        </w:trPr>
        <w:tc>
          <w:tcPr>
            <w:tcW w:w="6180" w:type="dxa"/>
            <w:vAlign w:val="bottom"/>
          </w:tcPr>
          <w:p>
            <w:pPr>
              <w:spacing w:after="0"/>
              <w:rPr>
                <w:sz w:val="18"/>
                <w:szCs w:val="18"/>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230"/>
        </w:trPr>
        <w:tc>
          <w:tcPr>
            <w:tcW w:w="6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Charles L. Treadway, certify that:</w:t>
      </w:r>
    </w:p>
    <w:p>
      <w:pPr>
        <w:spacing w:after="0" w:line="211"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CommScope Holding Company, Inc.;</w:t>
      </w:r>
    </w:p>
    <w:p>
      <w:pPr>
        <w:spacing w:after="0" w:line="224" w:lineRule="exact"/>
        <w:rPr>
          <w:rFonts w:ascii="Arial" w:cs="Arial" w:eastAsia="Arial" w:hAnsi="Arial"/>
          <w:sz w:val="18"/>
          <w:szCs w:val="18"/>
          <w:color w:val="auto"/>
        </w:rPr>
      </w:pPr>
    </w:p>
    <w:p>
      <w:pPr>
        <w:ind w:right="280" w:firstLine="8"/>
        <w:spacing w:after="0" w:line="324"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60" w:firstLine="8"/>
        <w:spacing w:after="0" w:line="307"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right="40" w:firstLine="8"/>
        <w:spacing w:after="0" w:line="24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520" w:hanging="3"/>
        <w:spacing w:after="0" w:line="247"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520" w:right="220" w:hanging="3"/>
        <w:spacing w:after="0" w:line="247"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520" w:right="880" w:hanging="3"/>
        <w:spacing w:after="0" w:line="324" w:lineRule="auto"/>
        <w:tabs>
          <w:tab w:leader="none" w:pos="705"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hanging="3"/>
        <w:spacing w:after="0" w:line="255"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right="480" w:firstLine="8"/>
        <w:spacing w:after="0" w:line="307"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20" w:right="300" w:hanging="3"/>
        <w:spacing w:after="0" w:line="261" w:lineRule="auto"/>
        <w:tabs>
          <w:tab w:leader="none" w:pos="7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40" w:hanging="3"/>
        <w:spacing w:after="0" w:line="277" w:lineRule="auto"/>
        <w:tabs>
          <w:tab w:leader="none" w:pos="71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2022</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L. Treadway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Charles L. Treadway</w:t>
            </w:r>
          </w:p>
        </w:tc>
        <w:tc>
          <w:tcPr>
            <w:tcW w:w="6740" w:type="dxa"/>
            <w:vAlign w:val="bottom"/>
          </w:tcPr>
          <w:p>
            <w:pPr>
              <w:spacing w:after="0"/>
              <w:rPr>
                <w:sz w:val="18"/>
                <w:szCs w:val="18"/>
                <w:color w:val="auto"/>
              </w:rPr>
            </w:pPr>
          </w:p>
        </w:tc>
      </w:tr>
      <w:tr>
        <w:trPr>
          <w:trHeight w:val="189"/>
        </w:trPr>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line="189" w:lineRule="exact"/>
              <w:rPr>
                <w:sz w:val="20"/>
                <w:szCs w:val="20"/>
                <w:color w:val="auto"/>
              </w:rPr>
            </w:pPr>
            <w:r>
              <w:rPr>
                <w:rFonts w:ascii="Arial" w:cs="Arial" w:eastAsia="Arial" w:hAnsi="Arial"/>
                <w:sz w:val="18"/>
                <w:szCs w:val="18"/>
                <w:color w:val="auto"/>
              </w:rPr>
              <w:t>President, Chief Executive Officer and Director</w:t>
            </w:r>
          </w:p>
        </w:tc>
        <w:tc>
          <w:tcPr>
            <w:tcW w:w="6740" w:type="dxa"/>
            <w:vAlign w:val="bottom"/>
          </w:tcPr>
          <w:p>
            <w:pPr>
              <w:spacing w:after="0"/>
              <w:rPr>
                <w:sz w:val="16"/>
                <w:szCs w:val="16"/>
                <w:color w:val="auto"/>
              </w:rPr>
            </w:pPr>
          </w:p>
        </w:tc>
      </w:tr>
      <w:tr>
        <w:trPr>
          <w:trHeight w:val="230"/>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c>
          <w:tcPr>
            <w:tcW w:w="6740" w:type="dxa"/>
            <w:vAlign w:val="bottom"/>
          </w:tcPr>
          <w:p>
            <w:pPr>
              <w:spacing w:after="0"/>
              <w:rPr>
                <w:sz w:val="20"/>
                <w:szCs w:val="20"/>
                <w:color w:val="auto"/>
              </w:rPr>
            </w:pPr>
          </w:p>
        </w:tc>
      </w:tr>
      <w:tr>
        <w:trPr>
          <w:trHeight w:val="533"/>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Kyle D. Lorentzen, certify that:</w:t>
      </w:r>
    </w:p>
    <w:p>
      <w:pPr>
        <w:spacing w:after="0" w:line="21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CommScope Holding Company, Inc.;</w:t>
      </w:r>
    </w:p>
    <w:p>
      <w:pPr>
        <w:spacing w:after="0" w:line="224" w:lineRule="exact"/>
        <w:rPr>
          <w:rFonts w:ascii="Arial" w:cs="Arial" w:eastAsia="Arial" w:hAnsi="Arial"/>
          <w:sz w:val="18"/>
          <w:szCs w:val="18"/>
          <w:color w:val="auto"/>
        </w:rPr>
      </w:pPr>
    </w:p>
    <w:p>
      <w:pPr>
        <w:ind w:right="280" w:firstLine="8"/>
        <w:spacing w:after="0" w:line="324"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60" w:firstLine="8"/>
        <w:spacing w:after="0" w:line="307"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ind w:right="40" w:firstLine="8"/>
        <w:spacing w:after="0" w:line="24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520" w:hanging="3"/>
        <w:spacing w:after="0" w:line="247"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520" w:right="220" w:hanging="3"/>
        <w:spacing w:after="0" w:line="247" w:lineRule="auto"/>
        <w:tabs>
          <w:tab w:leader="none" w:pos="7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520" w:right="880" w:hanging="3"/>
        <w:spacing w:after="0" w:line="324" w:lineRule="auto"/>
        <w:tabs>
          <w:tab w:leader="none" w:pos="70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hanging="3"/>
        <w:spacing w:after="0" w:line="255" w:lineRule="auto"/>
        <w:tabs>
          <w:tab w:leader="none" w:pos="7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ind w:right="480" w:firstLine="8"/>
        <w:spacing w:after="0" w:line="307"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7"/>
          <w:szCs w:val="17"/>
          <w:color w:val="auto"/>
        </w:rPr>
      </w:pPr>
    </w:p>
    <w:p>
      <w:pPr>
        <w:ind w:left="520" w:right="300" w:hanging="3"/>
        <w:spacing w:after="0" w:line="261"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40" w:hanging="3"/>
        <w:spacing w:after="0" w:line="277" w:lineRule="auto"/>
        <w:tabs>
          <w:tab w:leader="none" w:pos="7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2022</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Kyle D. Lorentzen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9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Kyle D. Lorentzen</w:t>
            </w:r>
          </w:p>
        </w:tc>
        <w:tc>
          <w:tcPr>
            <w:tcW w:w="6740" w:type="dxa"/>
            <w:vAlign w:val="bottom"/>
          </w:tcPr>
          <w:p>
            <w:pPr>
              <w:spacing w:after="0"/>
              <w:rPr>
                <w:sz w:val="18"/>
                <w:szCs w:val="18"/>
                <w:color w:val="auto"/>
              </w:rPr>
            </w:pPr>
          </w:p>
        </w:tc>
      </w:tr>
      <w:tr>
        <w:trPr>
          <w:trHeight w:val="189"/>
        </w:trPr>
        <w:tc>
          <w:tcPr>
            <w:tcW w:w="600" w:type="dxa"/>
            <w:vAlign w:val="bottom"/>
          </w:tcPr>
          <w:p>
            <w:pPr>
              <w:ind w:left="20"/>
              <w:spacing w:after="0" w:line="189" w:lineRule="exact"/>
              <w:rPr>
                <w:sz w:val="20"/>
                <w:szCs w:val="20"/>
                <w:color w:val="auto"/>
              </w:rPr>
            </w:pPr>
            <w:r>
              <w:rPr>
                <w:rFonts w:ascii="Arial" w:cs="Arial" w:eastAsia="Arial" w:hAnsi="Arial"/>
                <w:sz w:val="18"/>
                <w:szCs w:val="18"/>
                <w:color w:val="auto"/>
              </w:rPr>
              <w:t>Title:</w:t>
            </w:r>
          </w:p>
        </w:tc>
        <w:tc>
          <w:tcPr>
            <w:tcW w:w="3900" w:type="dxa"/>
            <w:vAlign w:val="bottom"/>
          </w:tcPr>
          <w:p>
            <w:pPr>
              <w:ind w:left="100"/>
              <w:spacing w:after="0" w:line="189" w:lineRule="exact"/>
              <w:rPr>
                <w:sz w:val="20"/>
                <w:szCs w:val="20"/>
                <w:color w:val="auto"/>
              </w:rPr>
            </w:pPr>
            <w:r>
              <w:rPr>
                <w:rFonts w:ascii="Arial" w:cs="Arial" w:eastAsia="Arial" w:hAnsi="Arial"/>
                <w:sz w:val="18"/>
                <w:szCs w:val="18"/>
                <w:color w:val="auto"/>
              </w:rPr>
              <w:t>Executive Vice President and Chief Financial</w:t>
            </w:r>
          </w:p>
        </w:tc>
        <w:tc>
          <w:tcPr>
            <w:tcW w:w="6740" w:type="dxa"/>
            <w:vAlign w:val="bottom"/>
          </w:tcPr>
          <w:p>
            <w:pPr>
              <w:spacing w:after="0"/>
              <w:rPr>
                <w:sz w:val="16"/>
                <w:szCs w:val="16"/>
                <w:color w:val="auto"/>
              </w:rPr>
            </w:pPr>
          </w:p>
        </w:tc>
      </w:tr>
      <w:tr>
        <w:trPr>
          <w:trHeight w:val="230"/>
        </w:trPr>
        <w:tc>
          <w:tcPr>
            <w:tcW w:w="60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Arial" w:cs="Arial" w:eastAsia="Arial" w:hAnsi="Arial"/>
                <w:sz w:val="18"/>
                <w:szCs w:val="18"/>
                <w:color w:val="auto"/>
              </w:rPr>
              <w:t>Officer (Principal Financial Officer)</w:t>
            </w:r>
          </w:p>
        </w:tc>
        <w:tc>
          <w:tcPr>
            <w:tcW w:w="6740" w:type="dxa"/>
            <w:vAlign w:val="bottom"/>
          </w:tcPr>
          <w:p>
            <w:pPr>
              <w:spacing w:after="0"/>
              <w:rPr>
                <w:sz w:val="20"/>
                <w:szCs w:val="20"/>
                <w:color w:val="auto"/>
              </w:rPr>
            </w:pPr>
          </w:p>
        </w:tc>
      </w:tr>
      <w:tr>
        <w:trPr>
          <w:trHeight w:val="533"/>
        </w:trPr>
        <w:tc>
          <w:tcPr>
            <w:tcW w:w="6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7"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auto"/>
        </w:rPr>
        <w:t>In connection with the Quarterly Report of CommScope Holding Company, Inc. (the “Company”) on Form 10-Q for the quarter ended September 30, 2022 as filed with the Securities and Exchange Commission on the date hereof (the “Report”), we, Charles L. Treadway, President, Chief Executive Officer and Director of the Company, and Kyle D. Lorentzen, Executive Vice President and Chief Financial Officer of the Company, certify, pursuant to 18 U.S.C. §</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1350 as adopted pursuant to § 906 of the Sarbanes-Oxley Act of 2002, that:</w:t>
      </w:r>
    </w:p>
    <w:p>
      <w:pPr>
        <w:spacing w:after="0" w:line="19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20" w:right="620" w:hanging="12"/>
        <w:spacing w:after="0" w:line="500"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2,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Charles L. Treadway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23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Charles L. Treadway</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 and Director</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23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Kyle D. Lorentzen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04"/>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2022-11-03T05:33:53Z</dcterms:created>
  <dcterms:modified xsi:type="dcterms:W3CDTF">2022-11-03T05:33:53Z</dcterms:modified>
</cp:coreProperties>
</file>