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701.htm"/>
      <w:bookmarkStart w:id="1" w:name="ksvisn2026070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July 1,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75" w:after="283"/>
        <w:jc w:val="left"/>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extBody"/>
        <w:bidi w:val="0"/>
        <w:spacing w:before="122" w:after="283"/>
        <w:jc w:val="left"/>
        <w:rPr>
          <w:rFonts w:ascii="Times New Roman" w:hAnsi="Times New Roman"/>
          <w:color w:val="000000"/>
          <w:sz w:val="20"/>
        </w:rPr>
      </w:pPr>
      <w:r>
        <w:rPr>
          <w:rFonts w:ascii="Times New Roman" w:hAnsi="Times New Roman"/>
          <w:color w:val="000000"/>
          <w:sz w:val="20"/>
        </w:rPr>
        <w:t xml:space="preserve">As set forth in the Company’s Current Report on Form 8-K filed with the Securities and Exchange Commission on July 1, 2026 (the “Original Form 8-K”), Vistance Networks, Inc., a Delaware corporation (the “Company” or “Vistance”) completed the previously announced sale of its RUCKUS reporting segment (the “Business”) to Belden, Inc., a Delaware corporation (“Belden”) on July 1, 2026, pursuant to the Purchase Agreement (the “Purchase Agreement”), dated as of April 29, 2026, which was attached as Exhibit 2.1 to the Company’s Current Report on Form 8-K filed with the Securities and Exchange Commission on May 5, 2026. This Amendment No.1 on Form 8-K/A amends the Original Form 8-K to include Item 9.01 as set forth herein. </w:t>
      </w:r>
    </w:p>
    <w:p>
      <w:pPr>
        <w:pStyle w:val="TextBody"/>
        <w:bidi w:val="0"/>
        <w:spacing w:before="135"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3"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Unaudited Pro Forma Condensed Consolidated Financial Information</w:t>
      </w:r>
    </w:p>
    <w:p>
      <w:pPr>
        <w:pStyle w:val="TextBody"/>
        <w:bidi w:val="0"/>
        <w:spacing w:before="36"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following unaudited pro forma condensed consolidated financial statements of Vistance reflecting the disposition of the Business pursuant to the Purchase Agreement, are filed as Exhibit 99.1 to this Current Report on Form 8-K and are incorporated herein by reference:</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Unaudited Pro Forma Condensed Consolidated Balance Sheet as of March 31, 2026;</w:t>
      </w:r>
    </w:p>
    <w:p>
      <w:pPr>
        <w:pStyle w:val="TextBody"/>
        <w:bidi w:val="0"/>
        <w:spacing w:before="126" w:after="283"/>
        <w:jc w:val="left"/>
        <w:rPr>
          <w:color w:val="000000"/>
        </w:rPr>
      </w:pPr>
      <w:r>
        <w:rPr>
          <w:color w:val="000000"/>
        </w:rPr>
        <w:t>•</w:t>
      </w:r>
    </w:p>
    <w:p>
      <w:pPr>
        <w:pStyle w:val="TextBody"/>
        <w:bidi w:val="0"/>
        <w:spacing w:before="126" w:after="283"/>
        <w:jc w:val="left"/>
        <w:rPr>
          <w:rFonts w:ascii="Times New Roman" w:hAnsi="Times New Roman"/>
          <w:color w:val="000000"/>
          <w:sz w:val="20"/>
        </w:rPr>
      </w:pPr>
      <w:r>
        <w:rPr>
          <w:rFonts w:ascii="Times New Roman" w:hAnsi="Times New Roman"/>
          <w:color w:val="000000"/>
          <w:sz w:val="20"/>
        </w:rPr>
        <w:t>Unaudited Pro Forma Condensed Consolidated Statements of Operations for the three months ended March 31, 2026 and the years ended December 31, 2025, 2024 and 2023; and</w:t>
      </w:r>
    </w:p>
    <w:p>
      <w:pPr>
        <w:pStyle w:val="TextBody"/>
        <w:bidi w:val="0"/>
        <w:spacing w:before="109" w:after="283"/>
        <w:jc w:val="left"/>
        <w:rPr>
          <w:color w:val="000000"/>
        </w:rPr>
      </w:pPr>
      <w:r>
        <w:rPr>
          <w:color w:val="000000"/>
        </w:rPr>
        <w:t>•</w:t>
      </w:r>
    </w:p>
    <w:p>
      <w:pPr>
        <w:pStyle w:val="TextBody"/>
        <w:bidi w:val="0"/>
        <w:spacing w:before="109" w:after="283"/>
        <w:jc w:val="left"/>
        <w:rPr>
          <w:rFonts w:ascii="Times New Roman" w:hAnsi="Times New Roman"/>
          <w:color w:val="000000"/>
          <w:sz w:val="20"/>
        </w:rPr>
      </w:pPr>
      <w:r>
        <w:rPr>
          <w:rFonts w:ascii="Times New Roman" w:hAnsi="Times New Roman"/>
          <w:color w:val="000000"/>
          <w:sz w:val="20"/>
        </w:rPr>
        <w:t>Notes to the Unaudited Pro Forma Condensed Consolidated Financial Statements.</w:t>
      </w:r>
    </w:p>
    <w:p>
      <w:pPr>
        <w:pStyle w:val="TextBody"/>
        <w:bidi w:val="0"/>
        <w:spacing w:before="36" w:after="283"/>
        <w:jc w:val="left"/>
        <w:rPr/>
      </w:pPr>
      <w:r>
        <w:rPr/>
        <w:t> </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126" w:after="283"/>
        <w:jc w:val="left"/>
        <w:rPr>
          <w:rFonts w:ascii="Times New Roman" w:hAnsi="Times New Roman"/>
          <w:color w:val="000000"/>
          <w:sz w:val="20"/>
        </w:rPr>
      </w:pPr>
      <w:r>
        <w:rPr>
          <w:rFonts w:ascii="Times New Roman" w:hAnsi="Times New Roman"/>
          <w:color w:val="000000"/>
          <w:sz w:val="20"/>
        </w:rPr>
        <w:t>The following exhibits are hereby filed as part of this Current Report on Form 8-K.</w:t>
      </w:r>
    </w:p>
    <w:tbl>
      <w:tblPr>
        <w:tblW w:w="8739" w:type="dxa"/>
        <w:jc w:val="left"/>
        <w:tblInd w:w="0" w:type="dxa"/>
        <w:tblLayout w:type="fixed"/>
        <w:tblCellMar>
          <w:top w:w="28" w:type="dxa"/>
          <w:left w:w="28" w:type="dxa"/>
          <w:bottom w:w="28" w:type="dxa"/>
          <w:right w:w="28" w:type="dxa"/>
        </w:tblCellMar>
      </w:tblPr>
      <w:tblGrid>
        <w:gridCol w:w="897"/>
        <w:gridCol w:w="7842"/>
      </w:tblGrid>
      <w:tr>
        <w:trPr/>
        <w:tc>
          <w:tcPr>
            <w:tcW w:w="897" w:type="dxa"/>
            <w:tcBorders/>
            <w:vAlign w:val="center"/>
          </w:tcPr>
          <w:p>
            <w:pPr>
              <w:pStyle w:val="TableContents"/>
              <w:bidi w:val="0"/>
              <w:spacing w:before="0" w:after="283"/>
              <w:jc w:val="left"/>
              <w:rPr>
                <w:sz w:val="4"/>
                <w:szCs w:val="4"/>
              </w:rPr>
            </w:pPr>
            <w:r>
              <w:rPr>
                <w:sz w:val="4"/>
                <w:szCs w:val="4"/>
              </w:rPr>
            </w:r>
          </w:p>
        </w:tc>
        <w:tc>
          <w:tcPr>
            <w:tcW w:w="784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897" w:type="dxa"/>
            <w:tcBorders/>
            <w:tcMar>
              <w:top w:w="0" w:type="dxa"/>
              <w:left w:w="0" w:type="dxa"/>
              <w:bottom w:w="0" w:type="dxa"/>
              <w:right w:w="0" w:type="dxa"/>
            </w:tcMar>
            <w:vAlign w:val="center"/>
          </w:tcPr>
          <w:p>
            <w:pPr>
              <w:pStyle w:val="TableContents"/>
              <w:bidi w:val="0"/>
              <w:spacing w:before="120" w:after="283"/>
              <w:ind w:left="0" w:right="0" w:firstLine="101"/>
              <w:jc w:val="left"/>
              <w:rPr>
                <w:rFonts w:ascii="Times New Roman" w:hAnsi="Times New Roman"/>
                <w:b/>
                <w:color w:val="000000"/>
                <w:sz w:val="20"/>
              </w:rPr>
            </w:pPr>
            <w:r>
              <w:rPr>
                <w:rFonts w:ascii="Times New Roman" w:hAnsi="Times New Roman"/>
                <w:b/>
                <w:color w:val="000000"/>
                <w:sz w:val="20"/>
              </w:rPr>
              <w:t>Exhibit.</w:t>
            </w:r>
          </w:p>
        </w:tc>
        <w:tc>
          <w:tcPr>
            <w:tcW w:w="7842" w:type="dxa"/>
            <w:tcBorders/>
            <w:tcMar>
              <w:top w:w="0" w:type="dxa"/>
              <w:left w:w="0" w:type="dxa"/>
              <w:bottom w:w="0" w:type="dxa"/>
              <w:right w:w="0" w:type="dxa"/>
            </w:tcMar>
            <w:vAlign w:val="center"/>
          </w:tcPr>
          <w:p>
            <w:pPr>
              <w:pStyle w:val="TableContents"/>
              <w:bidi w:val="0"/>
              <w:spacing w:before="118" w:after="283"/>
              <w:ind w:left="0" w:right="0" w:firstLine="101"/>
              <w:jc w:val="left"/>
              <w:rPr>
                <w:rFonts w:ascii="Times New Roman" w:hAnsi="Times New Roman"/>
                <w:b/>
                <w:color w:val="000000"/>
                <w:sz w:val="20"/>
              </w:rPr>
            </w:pPr>
            <w:r>
              <w:rPr>
                <w:rFonts w:ascii="Times New Roman" w:hAnsi="Times New Roman"/>
                <w:b/>
                <w:color w:val="000000"/>
                <w:sz w:val="20"/>
              </w:rPr>
              <w:t>Description.</w:t>
            </w:r>
          </w:p>
        </w:tc>
      </w:tr>
      <w:tr>
        <w:trPr/>
        <w:tc>
          <w:tcPr>
            <w:tcW w:w="897" w:type="dxa"/>
            <w:tcBorders/>
            <w:tcMar>
              <w:top w:w="0" w:type="dxa"/>
              <w:left w:w="0" w:type="dxa"/>
              <w:bottom w:w="0" w:type="dxa"/>
              <w:right w:w="0" w:type="dxa"/>
            </w:tcMar>
            <w:vAlign w:val="center"/>
          </w:tcPr>
          <w:p>
            <w:pPr>
              <w:pStyle w:val="TableContents"/>
              <w:bidi w:val="0"/>
              <w:spacing w:before="120" w:after="283"/>
              <w:ind w:left="0" w:right="0" w:firstLine="101"/>
              <w:jc w:val="left"/>
              <w:rPr>
                <w:rFonts w:ascii="Times New Roman" w:hAnsi="Times New Roman"/>
                <w:color w:val="000000"/>
                <w:sz w:val="20"/>
              </w:rPr>
            </w:pPr>
            <w:r>
              <w:rPr>
                <w:rFonts w:ascii="Times New Roman" w:hAnsi="Times New Roman"/>
                <w:color w:val="000000"/>
                <w:sz w:val="20"/>
              </w:rPr>
              <w:t>99.1</w:t>
            </w:r>
          </w:p>
        </w:tc>
        <w:tc>
          <w:tcPr>
            <w:tcW w:w="7842" w:type="dxa"/>
            <w:tcBorders/>
            <w:tcMar>
              <w:top w:w="0" w:type="dxa"/>
              <w:left w:w="0" w:type="dxa"/>
              <w:bottom w:w="0" w:type="dxa"/>
              <w:right w:w="0" w:type="dxa"/>
            </w:tcMar>
            <w:vAlign w:val="center"/>
          </w:tcPr>
          <w:p>
            <w:pPr>
              <w:pStyle w:val="TableContents"/>
              <w:bidi w:val="0"/>
              <w:spacing w:before="118" w:after="283"/>
              <w:ind w:left="0" w:right="0" w:firstLine="101"/>
              <w:jc w:val="left"/>
              <w:rPr/>
            </w:pPr>
            <w:hyperlink w:anchor="visn-ex99_1.htm">
              <w:r>
                <w:rPr>
                  <w:rStyle w:val="InternetLink"/>
                  <w:rFonts w:ascii="Times New Roman" w:hAnsi="Times New Roman"/>
                  <w:color w:val="0000FF"/>
                  <w:sz w:val="20"/>
                  <w:u w:val="single"/>
                </w:rPr>
                <w:t>Vistance Networks, Inc. Unaudited Pro Forma Condensed Consolidated Financial Information</w:t>
              </w:r>
            </w:hyperlink>
          </w:p>
        </w:tc>
      </w:tr>
      <w:tr>
        <w:trPr/>
        <w:tc>
          <w:tcPr>
            <w:tcW w:w="897" w:type="dxa"/>
            <w:tcBorders/>
            <w:tcMar>
              <w:top w:w="0" w:type="dxa"/>
              <w:left w:w="0" w:type="dxa"/>
              <w:bottom w:w="0" w:type="dxa"/>
              <w:right w:w="0" w:type="dxa"/>
            </w:tcMar>
            <w:vAlign w:val="center"/>
          </w:tcPr>
          <w:p>
            <w:pPr>
              <w:pStyle w:val="TableContents"/>
              <w:bidi w:val="0"/>
              <w:spacing w:before="120" w:after="283"/>
              <w:ind w:left="0" w:right="0" w:firstLine="101"/>
              <w:jc w:val="left"/>
              <w:rPr>
                <w:rFonts w:ascii="Times New Roman" w:hAnsi="Times New Roman"/>
                <w:color w:val="000000"/>
                <w:sz w:val="20"/>
              </w:rPr>
            </w:pPr>
            <w:r>
              <w:rPr>
                <w:rFonts w:ascii="Times New Roman" w:hAnsi="Times New Roman"/>
                <w:color w:val="000000"/>
                <w:sz w:val="20"/>
              </w:rPr>
              <w:t>104</w:t>
            </w:r>
          </w:p>
        </w:tc>
        <w:tc>
          <w:tcPr>
            <w:tcW w:w="7842" w:type="dxa"/>
            <w:tcBorders/>
            <w:tcMar>
              <w:top w:w="0" w:type="dxa"/>
              <w:left w:w="0" w:type="dxa"/>
              <w:bottom w:w="0" w:type="dxa"/>
              <w:right w:w="0" w:type="dxa"/>
            </w:tcMar>
            <w:vAlign w:val="center"/>
          </w:tcPr>
          <w:p>
            <w:pPr>
              <w:pStyle w:val="TableContents"/>
              <w:bidi w:val="0"/>
              <w:spacing w:before="120" w:after="283"/>
              <w:ind w:left="0" w:right="0" w:firstLine="101"/>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475" w:type="dxa"/>
        <w:jc w:val="left"/>
        <w:tblInd w:w="0" w:type="dxa"/>
        <w:tblLayout w:type="fixed"/>
        <w:tblCellMar>
          <w:top w:w="28" w:type="dxa"/>
          <w:left w:w="28" w:type="dxa"/>
          <w:bottom w:w="28" w:type="dxa"/>
          <w:right w:w="28" w:type="dxa"/>
        </w:tblCellMar>
      </w:tblPr>
      <w:tblGrid>
        <w:gridCol w:w="1711"/>
        <w:gridCol w:w="146"/>
        <w:gridCol w:w="406"/>
        <w:gridCol w:w="631"/>
        <w:gridCol w:w="258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visn-ex99_1.htm"/>
      <w:bookmarkStart w:id="3" w:name="ksvisnex99_1"/>
      <w:bookmarkEnd w:id="2"/>
      <w:bookmarkEnd w:id="3"/>
      <w:r>
        <w:rPr>
          <w:rFonts w:ascii="Times New Roman" w:hAnsi="Times New Roman"/>
          <w:b/>
          <w:color w:val="000000"/>
          <w:sz w:val="20"/>
        </w:rPr>
        <w:t>Exhibit 99.1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CONSOLIDATED FINANCIAL STATEMENTS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On July 1, 2026, Vistance Networks, Inc. (“Vistance Networks”, or the “Company”) completed the sale of its RUCKUS Networks business (“Ruckus Business” or “Ruckus”) to Belden Inc. (“Belden” or the “Buyer”) for $1.846 billion in cash (the “Ruckus Sale Transaction” or the “Sale”). Ruckus provides wireless networks for enterprises and service providers. Product offerings include indoor cellular solutions such as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following unaudited pro forma condensed consolidated financial statements were derived from the historical consolidated financial statements of Vistance Networks, which were prepared in accordance with generally accepted accounting principles in the United States of America ("GAAP"). The unaudited pro forma condensed consolidated financial statements were prepared in accordance with Article 11 of Regulation S-X. The unaudited pro forma condensed consolidated financial statements were prepared for illustrative and informational purposes only and are not intended to represent what Vistance Networks’ results of operations or financial position would have been had the Sale occurred on the dates indicated. The unaudited pro forma condensed consolidated financial statements should not be considered indicative of Vistance Networks’ future results of operations or financial position. The actual financial position and results of operations may differ significantly from the unaudited pro forma condensed consolidated financial statements presented herein due to a variety of factors.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unaudited pro forma condensed consolidated financial statements as of and for the three months ended March 31, 2026 have been derived from the historical unaudited condensed consolidated financial statements of Vistance Networks, included in Vistance Networks’ Quarterly Report on Form 10-Q for the quarterly period ended March 31, 2026, filed with the Securities and Exchange Commission (“SEC”) on April 30, 2026. The unaudited pro forma condensed consolidated financial statements for the years ended December 31, 2025, 2024 and 2023 have been derived from the historical audited consolidated financial statements of Vistance Networks, included in Vistance Networks’ Annual Report on Form 10-K for the year ended December 31, 2025, filed with the SEC on February 26, 2026. The unaudited pro forma condensed consolidated financial statements and accompanying notes should be read in conjunction with Vistance Networks’ historical consolidated financial statements and accompanying notes.</w:t>
      </w:r>
    </w:p>
    <w:p>
      <w:pPr>
        <w:pStyle w:val="TextBody"/>
        <w:bidi w:val="0"/>
        <w:spacing w:before="240" w:after="283"/>
        <w:jc w:val="both"/>
        <w:rPr>
          <w:rFonts w:ascii="Times New Roman" w:hAnsi="Times New Roman"/>
          <w:sz w:val="20"/>
        </w:rPr>
      </w:pPr>
      <w:r>
        <w:rPr>
          <w:rFonts w:ascii="Times New Roman" w:hAnsi="Times New Roman"/>
          <w:color w:val="000000"/>
          <w:sz w:val="18"/>
        </w:rPr>
        <w:t>The unaudited pro forma condensed consolidated statements of operations for the three months ended March 31, 2026 and for the years ended December 31, 2025, 2024 and 2023 reflect pro forma results of Vistance Networks’ operations as if the Sale had occurred on January 1, 2023. The unaudited pro forma condensed consolidated balance sheet as of March 31, 2026, gives effect to the Sale as if it had occurred on that date. The adjustments in the “Other Separation Adjustments” column in the unaudited pro forma condensed consolidated statements of operations give effect to the Other Separation Adjustments as if they occurred on January 1, 2025. The unaudited pro forma condensed consolidated balance sheet as of March 31, 2026, gives effect to the Other Separation Adjustments as if they had occurred on that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 xml:space="preserve">The Sale represents a strategic shift that has a material effect on Vistance Networks’ operations and financial results. Accordingly, in the second quarter of 2026, the Sale met the criteria under Accounting Standards Codification (“ASC”) 205-20, </w:t>
      </w:r>
      <w:r>
        <w:rPr>
          <w:rFonts w:ascii="Times New Roman" w:hAnsi="Times New Roman"/>
          <w:i/>
          <w:color w:val="000000"/>
          <w:sz w:val="18"/>
        </w:rPr>
        <w:t>Presentation of Financial Statements</w:t>
      </w:r>
      <w:r>
        <w:rPr>
          <w:rFonts w:ascii="Times New Roman" w:hAnsi="Times New Roman"/>
          <w:color w:val="000000"/>
          <w:sz w:val="18"/>
        </w:rPr>
        <w:t>, for discontinued operations, and the Company will present the Sale as a discontinued operation in its Quarterly Report on Form 10-Q for the quarterly period ended June 30, 2026. The Company believes that the adjustments included within the “Discontinued Operations of the Ruckus Business” column of the unaudited pro forma condensed consolidated financial statements are consistent with the guidance for discontinued operations under GAAP. Vistance Networks’ current estimates on a discontinued operations basis are subject to change as the Company finalizes discontinued operations accounting to be reported in its Annual Report on Form 10-K for the year ended December 31, 2026.</w:t>
      </w:r>
    </w:p>
    <w:p>
      <w:pPr>
        <w:pStyle w:val="TextBody"/>
        <w:bidi w:val="0"/>
        <w:spacing w:before="240" w:after="240"/>
        <w:jc w:val="both"/>
        <w:rPr>
          <w:rFonts w:ascii="Times New Roman" w:hAnsi="Times New Roman"/>
          <w:color w:val="000000"/>
          <w:sz w:val="18"/>
        </w:rPr>
      </w:pPr>
      <w:r>
        <w:rPr>
          <w:rFonts w:ascii="Times New Roman" w:hAnsi="Times New Roman"/>
          <w:color w:val="000000"/>
          <w:sz w:val="18"/>
        </w:rPr>
        <w:t>Article 11 of Regulation S-X requires that pro forma financial information include the following pro forma adjustments to the historical financial statements of the registrant as follows: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Transaction Accounting Adjustments: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Adjustments that reflect only the application of required accounting to the acquisition, disposition, or other transaction.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Autonomous Entity Adjustments: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w:t>
      </w:r>
    </w:p>
    <w:p>
      <w:pPr>
        <w:pStyle w:val="TextBody"/>
        <w:bidi w:val="0"/>
        <w:jc w:val="both"/>
        <w:rPr>
          <w:rFonts w:ascii="Times New Roman" w:hAnsi="Times New Roman"/>
          <w:color w:val="000000"/>
          <w:sz w:val="18"/>
        </w:rPr>
      </w:pPr>
      <w:r>
        <w:rPr>
          <w:rFonts w:ascii="Times New Roman" w:hAnsi="Times New Roman"/>
          <w:color w:val="000000"/>
          <w:sz w:val="18"/>
        </w:rPr>
        <w:t>Adjustments that are necessary to reflect the operations and financial position of the registrant as an autonomous entity when the registrant was previously part of another entity.</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In addition, Regulation S-X permits registrants to reflect adjustments that depict synergies or dis-synergies of the acquisitions and dispositions for which pro forma effect is being given in the disclosures as management adjustments.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following unaudited pro forma condensed consolidated statements of operations and unaudited pro forma condensed consolidated balance sheet reflect the following transactions in conjunction with the Ruckus Sale Transaction: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Discontinued Operations of the Ruckus Business: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The historical financial results directly attributable to Ruckus in accordance with ASC 205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Other Separation Adjustments: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Cash proceeds from the Sale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Estimated unaccrued one-time bonus and transaction costs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o</w:t>
      </w:r>
    </w:p>
    <w:p>
      <w:pPr>
        <w:pStyle w:val="TextBody"/>
        <w:bidi w:val="0"/>
        <w:jc w:val="both"/>
        <w:rPr>
          <w:rFonts w:ascii="Times New Roman" w:hAnsi="Times New Roman"/>
          <w:color w:val="000000"/>
          <w:sz w:val="18"/>
        </w:rPr>
      </w:pPr>
      <w:r>
        <w:rPr>
          <w:rFonts w:ascii="Times New Roman" w:hAnsi="Times New Roman"/>
          <w:color w:val="000000"/>
          <w:sz w:val="18"/>
        </w:rPr>
        <w:t>Estimated taxes payable Vistance Networks will owe as a result of the Sale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Company expects to distribute a significant portion of the net proceeds to shareholders as a special distribution within 60 days following the closing of the Sale. The exact amount and timing of the distribution will be determined by the Board after closing and taking into account all relevant factors. Accordingly, no amounts related to the special distribution are reflected in the unaudited pro forma condensed consolidated financial statements.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unaudited pro forma condensed consolidated financial statements do not contain any autonomous entity adjustments or potential synergies or dis-synergies that may occur in connection with the Sale.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 xml:space="preserve">Vistance Networks, Inc. </w:t>
      </w:r>
    </w:p>
    <w:p>
      <w:pPr>
        <w:pStyle w:val="Heading1"/>
        <w:bidi w:val="0"/>
        <w:jc w:val="center"/>
        <w:rPr>
          <w:rFonts w:ascii="Times New Roman" w:hAnsi="Times New Roman"/>
          <w:color w:val="000000"/>
          <w:sz w:val="20"/>
        </w:rPr>
      </w:pPr>
      <w:r>
        <w:rPr>
          <w:rFonts w:ascii="Times New Roman" w:hAnsi="Times New Roman"/>
          <w:color w:val="000000"/>
          <w:sz w:val="20"/>
        </w:rPr>
        <w:t xml:space="preserve">Unaudited Pro Forma Condensed Consolidated Balance Sheet </w:t>
      </w:r>
    </w:p>
    <w:p>
      <w:pPr>
        <w:pStyle w:val="Heading1"/>
        <w:bidi w:val="0"/>
        <w:jc w:val="center"/>
        <w:rPr>
          <w:rFonts w:ascii="Times New Roman" w:hAnsi="Times New Roman"/>
          <w:color w:val="000000"/>
          <w:sz w:val="20"/>
        </w:rPr>
      </w:pPr>
      <w:r>
        <w:rPr>
          <w:rFonts w:ascii="Times New Roman" w:hAnsi="Times New Roman"/>
          <w:color w:val="000000"/>
          <w:sz w:val="20"/>
        </w:rPr>
        <w:t xml:space="preserve">As of March 31, 2026 </w:t>
      </w:r>
    </w:p>
    <w:p>
      <w:pPr>
        <w:pStyle w:val="Heading1"/>
        <w:bidi w:val="0"/>
        <w:jc w:val="center"/>
        <w:rPr>
          <w:rFonts w:ascii="Times New Roman" w:hAnsi="Times New Roman"/>
          <w:color w:val="000000"/>
          <w:sz w:val="20"/>
        </w:rPr>
      </w:pPr>
      <w:r>
        <w:rPr>
          <w:rFonts w:ascii="Times New Roman" w:hAnsi="Times New Roman"/>
          <w:color w:val="000000"/>
          <w:sz w:val="20"/>
        </w:rPr>
        <w:t>(In millions,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65"/>
        <w:gridCol w:w="290"/>
        <w:gridCol w:w="960"/>
        <w:gridCol w:w="146"/>
        <w:gridCol w:w="424"/>
        <w:gridCol w:w="1499"/>
        <w:gridCol w:w="161"/>
        <w:gridCol w:w="354"/>
        <w:gridCol w:w="1123"/>
        <w:gridCol w:w="161"/>
        <w:gridCol w:w="649"/>
        <w:gridCol w:w="146"/>
        <w:gridCol w:w="196"/>
        <w:gridCol w:w="931"/>
      </w:tblGrid>
      <w:tr>
        <w:trPr/>
        <w:tc>
          <w:tcPr>
            <w:tcW w:w="31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165"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71"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Transaction Accounting Adjustments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5" w:type="dxa"/>
            <w:tcBorders/>
            <w:tcMar>
              <w:top w:w="0" w:type="dxa"/>
              <w:left w:w="0" w:type="dxa"/>
              <w:bottom w:w="0" w:type="dxa"/>
              <w:right w:w="0" w:type="dxa"/>
            </w:tcMar>
            <w:vAlign w:val="center"/>
          </w:tcPr>
          <w:p>
            <w:pPr>
              <w:pStyle w:val="TableContents"/>
              <w:bidi w:val="0"/>
              <w:spacing w:before="0" w:after="283"/>
              <w:jc w:val="right"/>
              <w:rPr/>
            </w:pPr>
            <w:r>
              <w:rPr/>
              <w:t> </w:t>
            </w:r>
          </w:p>
        </w:tc>
        <w:tc>
          <w:tcPr>
            <w:tcW w:w="125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Historical Vistance Networks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2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Discontinued Operations of the Ruckus Business (a)</w:t>
            </w:r>
          </w:p>
        </w:tc>
        <w:tc>
          <w:tcPr>
            <w:tcW w:w="1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7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Separation Adjustments</w:t>
            </w:r>
          </w:p>
        </w:tc>
        <w:tc>
          <w:tcPr>
            <w:tcW w:w="16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4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4,148.3</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 net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w:t>
            </w:r>
          </w:p>
        </w:tc>
      </w:tr>
      <w:tr>
        <w:trPr/>
        <w:tc>
          <w:tcPr>
            <w:tcW w:w="31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Inventories, net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current assets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290"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0"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3,323.8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2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99"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(386.4)</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23"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1,830.0</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4,767.4</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(495.9)</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intangible assets, net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697.4</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204.4</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29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5,443.0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2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99"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(1,124.7)</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35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23"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1,830.0</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6,148.3</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and other liabilities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CECFF" w:val="clear"/>
            <w:tcMar>
              <w:top w:w="0" w:type="dxa"/>
              <w:left w:w="0" w:type="dxa"/>
              <w:bottom w:w="0" w:type="dxa"/>
              <w:right w:w="0" w:type="dxa"/>
            </w:tcMar>
            <w:vAlign w:val="center"/>
          </w:tcPr>
          <w:p>
            <w:pPr>
              <w:pStyle w:val="TableContents"/>
              <w:bidi w:val="0"/>
              <w:spacing w:before="0" w:after="283"/>
              <w:ind w:left="0" w:right="0" w:firstLine="160"/>
              <w:jc w:val="right"/>
              <w:rPr>
                <w:rFonts w:ascii="Times New Roman" w:hAnsi="Times New Roman"/>
                <w:color w:val="000000"/>
                <w:sz w:val="18"/>
              </w:rPr>
            </w:pPr>
            <w:r>
              <w:rPr>
                <w:rFonts w:ascii="Times New Roman" w:hAnsi="Times New Roman"/>
                <w:color w:val="000000"/>
                <w:sz w:val="18"/>
              </w:rPr>
              <w:t>253.5</w:t>
            </w:r>
          </w:p>
        </w:tc>
      </w:tr>
      <w:tr>
        <w:trPr/>
        <w:tc>
          <w:tcPr>
            <w:tcW w:w="3165"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8"/>
              </w:rPr>
            </w:pPr>
            <w:r>
              <w:rPr>
                <w:rFonts w:ascii="Times New Roman" w:hAnsi="Times New Roman"/>
                <w:b/>
                <w:color w:val="000000"/>
                <w:sz w:val="18"/>
              </w:rPr>
              <w:t>Total current liabilities</w:t>
            </w:r>
          </w:p>
        </w:tc>
        <w:tc>
          <w:tcPr>
            <w:tcW w:w="290"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0"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498.6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2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99"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(193.5)</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23"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1" w:type="dxa"/>
            <w:tcBorders>
              <w:top w:val="single" w:sz="4" w:space="0" w:color="000000"/>
            </w:tcBorders>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378.9</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income taxes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160"/>
              <w:jc w:val="right"/>
              <w:rPr>
                <w:rFonts w:ascii="Times New Roman" w:hAnsi="Times New Roman"/>
                <w:color w:val="000000"/>
                <w:sz w:val="18"/>
              </w:rPr>
            </w:pPr>
            <w:r>
              <w:rPr>
                <w:rFonts w:ascii="Times New Roman" w:hAnsi="Times New Roman"/>
                <w:color w:val="000000"/>
                <w:sz w:val="18"/>
              </w:rPr>
              <w:t>155.5</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8"/>
              </w:rPr>
            </w:pPr>
            <w:r>
              <w:rPr>
                <w:rFonts w:ascii="Times New Roman" w:hAnsi="Times New Roman"/>
                <w:b/>
                <w:color w:val="000000"/>
                <w:sz w:val="18"/>
              </w:rPr>
              <w:t>Total liabilities</w:t>
            </w:r>
          </w:p>
        </w:tc>
        <w:tc>
          <w:tcPr>
            <w:tcW w:w="290"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0"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848.5</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42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99"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(320.0)</w:t>
            </w:r>
          </w:p>
        </w:tc>
        <w:tc>
          <w:tcPr>
            <w:tcW w:w="16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35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23"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w:t>
            </w:r>
          </w:p>
        </w:tc>
        <w:tc>
          <w:tcPr>
            <w:tcW w:w="16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602.3</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$0.01 par value: Authorized shares 1,300,000,000; Issued and outstanding shares: 225,513,374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2,491.7</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Retained earnings</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3,405.9</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r>
      <w:tr>
        <w:trPr/>
        <w:tc>
          <w:tcPr>
            <w:tcW w:w="31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 at cost: 19,766,856 shares</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50"/>
              <w:jc w:val="right"/>
              <w:rPr>
                <w:rFonts w:ascii="Times New Roman" w:hAnsi="Times New Roman"/>
                <w:color w:val="000000"/>
                <w:sz w:val="18"/>
              </w:rPr>
            </w:pPr>
            <w:r>
              <w:rPr>
                <w:rFonts w:ascii="Times New Roman" w:hAnsi="Times New Roman"/>
                <w:color w:val="000000"/>
                <w:sz w:val="18"/>
              </w:rPr>
              <w:t>(355.2)</w:t>
            </w:r>
          </w:p>
        </w:tc>
      </w:tr>
      <w:tr>
        <w:trPr/>
        <w:tc>
          <w:tcPr>
            <w:tcW w:w="3165" w:type="dxa"/>
            <w:tcBorders/>
            <w:shd w:fill="CCECFF" w:val="clear"/>
            <w:tcMar>
              <w:top w:w="0" w:type="dxa"/>
              <w:left w:w="0" w:type="dxa"/>
              <w:bottom w:w="0" w:type="dxa"/>
              <w:right w:w="0" w:type="dxa"/>
            </w:tcMar>
            <w:vAlign w:val="center"/>
          </w:tcPr>
          <w:p>
            <w:pPr>
              <w:pStyle w:val="TableContents"/>
              <w:bidi w:val="0"/>
              <w:spacing w:before="0" w:after="283"/>
              <w:ind w:left="0" w:right="0" w:firstLine="250"/>
              <w:jc w:val="left"/>
              <w:rPr>
                <w:rFonts w:ascii="Times New Roman" w:hAnsi="Times New Roman"/>
                <w:color w:val="000000"/>
                <w:sz w:val="18"/>
              </w:rPr>
            </w:pPr>
            <w:r>
              <w:rPr>
                <w:rFonts w:ascii="Times New Roman" w:hAnsi="Times New Roman"/>
                <w:color w:val="000000"/>
                <w:sz w:val="18"/>
              </w:rPr>
              <w:t>Total stockholders' equity</w:t>
            </w:r>
          </w:p>
        </w:tc>
        <w:tc>
          <w:tcPr>
            <w:tcW w:w="290"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4,594.5</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42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(804.7)</w:t>
            </w:r>
          </w:p>
        </w:tc>
        <w:tc>
          <w:tcPr>
            <w:tcW w:w="16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35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1,756.2</w:t>
            </w:r>
          </w:p>
        </w:tc>
        <w:tc>
          <w:tcPr>
            <w:tcW w:w="16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64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4" w:space="0" w:color="000000"/>
            </w:tcBorders>
            <w:shd w:fill="CCECFF" w:val="clear"/>
            <w:tcMar>
              <w:left w:w="0" w:type="dxa"/>
              <w:bottom w:w="0" w:type="dxa"/>
              <w:right w:w="0" w:type="dxa"/>
            </w:tcMar>
            <w:vAlign w:val="center"/>
          </w:tcPr>
          <w:p>
            <w:pPr>
              <w:pStyle w:val="TableContents"/>
              <w:bidi w:val="0"/>
              <w:spacing w:before="0" w:after="283"/>
              <w:ind w:left="0" w:right="0" w:firstLine="235"/>
              <w:jc w:val="right"/>
              <w:rPr>
                <w:rFonts w:ascii="Times New Roman" w:hAnsi="Times New Roman"/>
                <w:color w:val="000000"/>
                <w:sz w:val="18"/>
              </w:rPr>
            </w:pPr>
            <w:r>
              <w:rPr>
                <w:rFonts w:ascii="Times New Roman" w:hAnsi="Times New Roman"/>
                <w:color w:val="000000"/>
                <w:sz w:val="18"/>
              </w:rPr>
              <w:t>5,546.0</w:t>
            </w:r>
          </w:p>
        </w:tc>
      </w:tr>
      <w:tr>
        <w:trPr/>
        <w:tc>
          <w:tcPr>
            <w:tcW w:w="3165" w:type="dxa"/>
            <w:tcBorders/>
            <w:tcMar>
              <w:top w:w="0" w:type="dxa"/>
              <w:left w:w="0" w:type="dxa"/>
              <w:bottom w:w="0" w:type="dxa"/>
              <w:right w:w="0" w:type="dxa"/>
            </w:tcMar>
            <w:vAlign w:val="center"/>
          </w:tcPr>
          <w:p>
            <w:pPr>
              <w:pStyle w:val="TableContents"/>
              <w:bidi w:val="0"/>
              <w:spacing w:before="0" w:after="283"/>
              <w:ind w:left="0" w:right="0" w:firstLine="235"/>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29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5,443.0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99"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(1,124.7)</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123"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1,830.0</w:t>
            </w:r>
          </w:p>
        </w:tc>
        <w:tc>
          <w:tcPr>
            <w:tcW w:w="16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9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6,148.3</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 notes to unaudited pro forma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 xml:space="preserve">Vistance Networks, Inc. </w:t>
      </w:r>
    </w:p>
    <w:p>
      <w:pPr>
        <w:pStyle w:val="Heading1"/>
        <w:bidi w:val="0"/>
        <w:jc w:val="center"/>
        <w:rPr>
          <w:rFonts w:ascii="Times New Roman" w:hAnsi="Times New Roman"/>
          <w:color w:val="000000"/>
          <w:sz w:val="20"/>
        </w:rPr>
      </w:pPr>
      <w:r>
        <w:rPr>
          <w:rFonts w:ascii="Times New Roman" w:hAnsi="Times New Roman"/>
          <w:color w:val="000000"/>
          <w:sz w:val="20"/>
        </w:rPr>
        <w:t xml:space="preserve">Unaudited Pro Forma Condensed Consolidated Statement of Operations </w:t>
      </w:r>
    </w:p>
    <w:p>
      <w:pPr>
        <w:pStyle w:val="Heading1"/>
        <w:bidi w:val="0"/>
        <w:jc w:val="center"/>
        <w:rPr>
          <w:rFonts w:ascii="Times New Roman" w:hAnsi="Times New Roman"/>
          <w:color w:val="000000"/>
          <w:sz w:val="20"/>
        </w:rPr>
      </w:pPr>
      <w:r>
        <w:rPr>
          <w:rFonts w:ascii="Times New Roman" w:hAnsi="Times New Roman"/>
          <w:color w:val="000000"/>
          <w:sz w:val="20"/>
        </w:rPr>
        <w:t xml:space="preserve">For the three months ended March 31, 2026 </w:t>
      </w:r>
    </w:p>
    <w:p>
      <w:pPr>
        <w:pStyle w:val="Heading1"/>
        <w:bidi w:val="0"/>
        <w:jc w:val="center"/>
        <w:rPr>
          <w:rFonts w:ascii="Times New Roman" w:hAnsi="Times New Roman"/>
          <w:color w:val="000000"/>
          <w:sz w:val="20"/>
        </w:rPr>
      </w:pPr>
      <w:r>
        <w:rPr>
          <w:rFonts w:ascii="Times New Roman" w:hAnsi="Times New Roman"/>
          <w:color w:val="000000"/>
          <w:sz w:val="20"/>
        </w:rPr>
        <w:t>(In millions,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3"/>
        <w:gridCol w:w="328"/>
        <w:gridCol w:w="962"/>
        <w:gridCol w:w="146"/>
        <w:gridCol w:w="461"/>
        <w:gridCol w:w="1543"/>
        <w:gridCol w:w="162"/>
        <w:gridCol w:w="604"/>
        <w:gridCol w:w="162"/>
        <w:gridCol w:w="819"/>
        <w:gridCol w:w="695"/>
        <w:gridCol w:w="162"/>
        <w:gridCol w:w="604"/>
        <w:gridCol w:w="146"/>
        <w:gridCol w:w="207"/>
        <w:gridCol w:w="661"/>
      </w:tblGrid>
      <w:tr>
        <w:trPr/>
        <w:tc>
          <w:tcPr>
            <w:tcW w:w="25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543" w:type="dxa"/>
            <w:tcBorders/>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212"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Transaction Accounting Adjustments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68"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Historical</w:t>
            </w:r>
            <w:r>
              <w:rPr>
                <w:rFonts w:ascii="Times New Roman" w:hAnsi="Times New Roman"/>
                <w:color w:val="000000"/>
                <w:sz w:val="20"/>
              </w:rPr>
              <w:t xml:space="preserve"> </w:t>
            </w:r>
            <w:r>
              <w:rPr>
                <w:rFonts w:ascii="Times New Roman" w:hAnsi="Times New Roman"/>
                <w:b/>
                <w:color w:val="000000"/>
                <w:sz w:val="18"/>
              </w:rPr>
              <w:t>Vistance Networks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00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Discontinued Operations of the Ruckus Business (a)</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0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1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Separation Adjustments</w:t>
            </w:r>
          </w:p>
        </w:tc>
        <w:tc>
          <w:tcPr>
            <w:tcW w:w="16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C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Transition service agreement income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r>
      <w:tr>
        <w:trPr/>
        <w:tc>
          <w:tcPr>
            <w:tcW w:w="2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purchased intangible assets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 net</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32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62"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4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154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(94.4)</w:t>
            </w:r>
          </w:p>
        </w:tc>
        <w:tc>
          <w:tcPr>
            <w:tcW w:w="162"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69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2"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116.7</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328"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3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5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continuing operations before income taxes</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3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5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continuing operations</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213.3</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convertible preferred stock dividends</w:t>
            </w:r>
          </w:p>
        </w:tc>
        <w:tc>
          <w:tcPr>
            <w:tcW w:w="3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15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6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from continuing operations attributable to common stockholders</w:t>
            </w:r>
          </w:p>
        </w:tc>
        <w:tc>
          <w:tcPr>
            <w:tcW w:w="32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5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w:t>
            </w:r>
          </w:p>
        </w:tc>
        <w:tc>
          <w:tcPr>
            <w:tcW w:w="162"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69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2"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66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211.6</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per share from continuing operations</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shares outstanding:</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r>
      <w:tr>
        <w:trPr/>
        <w:tc>
          <w:tcPr>
            <w:tcW w:w="25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tcMar>
              <w:top w:w="0" w:type="dxa"/>
              <w:left w:w="0" w:type="dxa"/>
              <w:bottom w:w="0" w:type="dxa"/>
              <w:right w:w="0" w:type="dxa"/>
            </w:tcMar>
            <w:vAlign w:val="center"/>
          </w:tcPr>
          <w:p>
            <w:pPr>
              <w:pStyle w:val="TableContents"/>
              <w:bidi w:val="0"/>
              <w:spacing w:before="0" w:after="283"/>
              <w:jc w:val="right"/>
              <w:rPr/>
            </w:pPr>
            <w:r>
              <w:rPr/>
              <w:t> </w:t>
            </w:r>
          </w:p>
        </w:tc>
        <w:tc>
          <w:tcPr>
            <w:tcW w:w="8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 notes to unaudited pro forma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Consolidated Statement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year ended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6"/>
        <w:gridCol w:w="282"/>
        <w:gridCol w:w="1040"/>
        <w:gridCol w:w="146"/>
        <w:gridCol w:w="465"/>
        <w:gridCol w:w="1516"/>
        <w:gridCol w:w="156"/>
        <w:gridCol w:w="580"/>
        <w:gridCol w:w="156"/>
        <w:gridCol w:w="444"/>
        <w:gridCol w:w="1060"/>
        <w:gridCol w:w="156"/>
        <w:gridCol w:w="580"/>
        <w:gridCol w:w="146"/>
        <w:gridCol w:w="196"/>
        <w:gridCol w:w="776"/>
      </w:tblGrid>
      <w:tr>
        <w:trPr/>
        <w:tc>
          <w:tcPr>
            <w:tcW w:w="25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3" w:type="dxa"/>
            <w:gridSpan w:val="9"/>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Transaction Accounting Adjustments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7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Historical</w:t>
            </w:r>
            <w:r>
              <w:rPr>
                <w:rFonts w:ascii="Times New Roman" w:hAnsi="Times New Roman"/>
                <w:color w:val="000000"/>
                <w:sz w:val="20"/>
              </w:rPr>
              <w:t xml:space="preserve"> </w:t>
            </w:r>
            <w:r>
              <w:rPr>
                <w:rFonts w:ascii="Times New Roman" w:hAnsi="Times New Roman"/>
                <w:b/>
                <w:color w:val="000000"/>
                <w:sz w:val="18"/>
              </w:rPr>
              <w:t>Vistance Networks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8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Discontinued Operations of the Ruckus Business (a)</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0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 Separation Adjustments</w:t>
            </w:r>
          </w:p>
        </w:tc>
        <w:tc>
          <w:tcPr>
            <w:tcW w:w="15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5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Transition service agreement income</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purchased intangible assets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 net</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282"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center"/>
              <w:rPr/>
            </w:pPr>
            <w:r>
              <w:rPr/>
              <w:t> </w:t>
            </w:r>
          </w:p>
        </w:tc>
        <w:tc>
          <w:tcPr>
            <w:tcW w:w="104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943.8</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46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center"/>
              <w:rPr/>
            </w:pPr>
            <w:r>
              <w:rPr/>
              <w:t> </w:t>
            </w:r>
          </w:p>
        </w:tc>
        <w:tc>
          <w:tcPr>
            <w:tcW w:w="151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(365.3)</w:t>
            </w:r>
          </w:p>
        </w:tc>
        <w:tc>
          <w:tcPr>
            <w:tcW w:w="15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center"/>
              <w:rPr/>
            </w:pPr>
            <w:r>
              <w:rPr/>
              <w:t> </w:t>
            </w:r>
          </w:p>
        </w:tc>
        <w:tc>
          <w:tcPr>
            <w:tcW w:w="106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5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center"/>
              <w:rPr/>
            </w:pPr>
            <w:r>
              <w:rPr/>
              <w:t> </w:t>
            </w:r>
          </w:p>
        </w:tc>
        <w:tc>
          <w:tcPr>
            <w:tcW w:w="776"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580.9</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 (loss)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(loss) from continuing operations before income taxes</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continuing operations</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276.8</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convertible preferred stock dividends</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from continuing operations attributable to common stockholders</w:t>
            </w:r>
          </w:p>
        </w:tc>
        <w:tc>
          <w:tcPr>
            <w:tcW w:w="282"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40"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255.4</w:t>
            </w:r>
          </w:p>
        </w:tc>
        <w:tc>
          <w:tcPr>
            <w:tcW w:w="14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51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(58.1)</w:t>
            </w:r>
          </w:p>
        </w:tc>
        <w:tc>
          <w:tcPr>
            <w:tcW w:w="15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44"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060"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5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77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per share from continuing operations</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2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r>
      <w:tr>
        <w:trPr/>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shares outstanding:</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2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r>
      <w:tr>
        <w:trPr/>
        <w:tc>
          <w:tcPr>
            <w:tcW w:w="25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282"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 notes to unaudited pro forma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Consolidated Statement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year ended December 31, 2024</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3481"/>
        <w:gridCol w:w="351"/>
        <w:gridCol w:w="1293"/>
        <w:gridCol w:w="146"/>
        <w:gridCol w:w="701"/>
        <w:gridCol w:w="1958"/>
        <w:gridCol w:w="255"/>
        <w:gridCol w:w="947"/>
        <w:gridCol w:w="146"/>
        <w:gridCol w:w="200"/>
        <w:gridCol w:w="727"/>
      </w:tblGrid>
      <w:tr>
        <w:trPr/>
        <w:tc>
          <w:tcPr>
            <w:tcW w:w="34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1"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1"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Transaction Accounting Adjustments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7"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Historical Vistance Networks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65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Discontinued Operations of the Ruckus Business (a)</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Transition service agreement income</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purchased intangible assets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 net</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2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(298.6)</w:t>
            </w:r>
          </w:p>
        </w:tc>
        <w:tc>
          <w:tcPr>
            <w:tcW w:w="2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2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622.7</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(290.6)</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3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2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9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 before income taxes</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(272.6)</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w:t>
            </w:r>
          </w:p>
        </w:tc>
        <w:tc>
          <w:tcPr>
            <w:tcW w:w="3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2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9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 xml:space="preserve">Series A </w:t>
            </w:r>
            <w:r>
              <w:rPr>
                <w:rFonts w:ascii="Times New Roman" w:hAnsi="Times New Roman"/>
                <w:color w:val="000000"/>
                <w:sz w:val="20"/>
              </w:rPr>
              <w:t>c</w:t>
            </w:r>
            <w:r>
              <w:rPr>
                <w:rFonts w:ascii="Times New Roman" w:hAnsi="Times New Roman"/>
                <w:color w:val="000000"/>
                <w:sz w:val="18"/>
              </w:rPr>
              <w:t>onvertible preferred stock dividends</w:t>
            </w:r>
          </w:p>
        </w:tc>
        <w:tc>
          <w:tcPr>
            <w:tcW w:w="35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2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19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from continuing operations attributable to common stockholders</w:t>
            </w:r>
          </w:p>
        </w:tc>
        <w:tc>
          <w:tcPr>
            <w:tcW w:w="35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9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9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255"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72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(273.1)</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per share from continuing operations</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shares outstanding:</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5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2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 notes to unaudited pro forma condensed consolidated financial statements</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Consolidated Statement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year ended December 31, 2023</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3461"/>
        <w:gridCol w:w="350"/>
        <w:gridCol w:w="1288"/>
        <w:gridCol w:w="146"/>
        <w:gridCol w:w="699"/>
        <w:gridCol w:w="1947"/>
        <w:gridCol w:w="254"/>
        <w:gridCol w:w="943"/>
        <w:gridCol w:w="146"/>
        <w:gridCol w:w="197"/>
        <w:gridCol w:w="774"/>
      </w:tblGrid>
      <w:tr>
        <w:trPr/>
        <w:tc>
          <w:tcPr>
            <w:tcW w:w="346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3"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 Transaction Accounting Adjustments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71"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3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Historical Vistance Networks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64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Discontinued Operations of the Ruckus Business (a)</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 Forma</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1,124.4</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Transition service agreement income</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purchased intangible assets</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Restructuring costs, net</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impairments</w:t>
            </w:r>
          </w:p>
        </w:tc>
        <w:tc>
          <w:tcPr>
            <w:tcW w:w="35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3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1,559.9</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6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(338.5)</w:t>
            </w:r>
          </w:p>
        </w:tc>
        <w:tc>
          <w:tcPr>
            <w:tcW w:w="25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1,221.4</w:t>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(117.2)</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(776.8)</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 before income taxes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(116.9)</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(689.9)</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continuing operations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(93.1)</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(745.9)</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convertible preferred stock dividends</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from continuing operations attributable to common stockholders</w:t>
            </w:r>
          </w:p>
        </w:tc>
        <w:tc>
          <w:tcPr>
            <w:tcW w:w="350"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88"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(714.6)</w:t>
            </w:r>
          </w:p>
        </w:tc>
        <w:tc>
          <w:tcPr>
            <w:tcW w:w="146"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9"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947"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(93.1)</w:t>
            </w:r>
          </w:p>
        </w:tc>
        <w:tc>
          <w:tcPr>
            <w:tcW w:w="254"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774" w:type="dxa"/>
            <w:tcBorders>
              <w:bottom w:val="doub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(807.7)</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per share from continuing operations</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shares outstanding:</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r>
      <w:tr>
        <w:trPr/>
        <w:tc>
          <w:tcPr>
            <w:tcW w:w="34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See notes to unaudited pro forma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the Unaudited Pro Forma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1. BASIS OF PRESENTATION</w:t>
      </w:r>
    </w:p>
    <w:p>
      <w:pPr>
        <w:pStyle w:val="TextBody"/>
        <w:bidi w:val="0"/>
        <w:jc w:val="both"/>
        <w:rPr>
          <w:rFonts w:ascii="Times New Roman" w:hAnsi="Times New Roman"/>
          <w:color w:val="000000"/>
          <w:sz w:val="18"/>
        </w:rPr>
      </w:pPr>
      <w:r>
        <w:rPr>
          <w:rFonts w:ascii="Times New Roman" w:hAnsi="Times New Roman"/>
          <w:color w:val="000000"/>
          <w:sz w:val="18"/>
        </w:rPr>
        <w:t>The historical financial information as of and for the three months ended March 31, 2026, has been derived from and should be read in conjunction with the historical unaudited condensed consolidated financial statements of Vistance Networks, included in Vistance Networks’ Quarterly Report on Form 10-Q for the quarterly period ended March 31, 2026, and the assumptions outlined in Note 2 below. The historical financial information for the years ended December 31, 2025, 2024 and 2023 has been derived from and should be read in conjunction with the historical audited consolidated financial statements of Vistance Networks, included in Vistance Networks’ Annual Report on Form 10-K for the year ended December 31, 2025, and the assumptions outlined in Note 2 below.</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PRO FORMA ADJUSTMENTS AND ASSUMPTIONS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following adjustments have been reflected in the unaudited pro forma condensed consolidated financial statements:</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The “Discontinued Operations of the Ruckus Business” column in the unaudited pro forma condensed consolidated financial statements represents the historical financial results directly attributable to Ruckus in accordance with ASC 205.</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The unaudited pro forma condensed consolidated balance sheet reflects the cash consideration received in exchange for the sale of Ruckus, as follows:</w:t>
      </w:r>
    </w:p>
    <w:p>
      <w:pPr>
        <w:pStyle w:val="TextBody"/>
        <w:bidi w:val="0"/>
        <w:jc w:val="left"/>
        <w:rPr/>
      </w:pPr>
      <w:r>
        <w:rPr/>
        <w:t> </w:t>
      </w:r>
    </w:p>
    <w:tbl>
      <w:tblPr>
        <w:tblW w:w="4578" w:type="dxa"/>
        <w:jc w:val="left"/>
        <w:tblInd w:w="0" w:type="dxa"/>
        <w:tblLayout w:type="fixed"/>
        <w:tblCellMar>
          <w:top w:w="28" w:type="dxa"/>
          <w:left w:w="28" w:type="dxa"/>
          <w:bottom w:w="28" w:type="dxa"/>
          <w:right w:w="28" w:type="dxa"/>
        </w:tblCellMar>
      </w:tblPr>
      <w:tblGrid>
        <w:gridCol w:w="3691"/>
        <w:gridCol w:w="196"/>
        <w:gridCol w:w="691"/>
      </w:tblGrid>
      <w:tr>
        <w:trPr/>
        <w:tc>
          <w:tcPr>
            <w:tcW w:w="3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r>
      <w:tr>
        <w:trPr/>
        <w:tc>
          <w:tcPr>
            <w:tcW w:w="36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consideration received for sale of Ruckus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1,846.0</w:t>
            </w:r>
          </w:p>
        </w:tc>
      </w:tr>
      <w:tr>
        <w:trPr/>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banker fees owed upon closing</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r>
      <w:tr>
        <w:trPr/>
        <w:tc>
          <w:tcPr>
            <w:tcW w:w="36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 forma adjustment to cash and cash equivalents</w:t>
            </w:r>
          </w:p>
        </w:tc>
        <w:tc>
          <w:tcPr>
            <w:tcW w:w="196" w:type="dxa"/>
            <w:tcBorders>
              <w:top w:val="single" w:sz="4" w:space="0" w:color="000000"/>
              <w:bottom w:val="double" w:sz="4" w:space="0" w:color="000000"/>
            </w:tcBorders>
            <w:shd w:fill="CCEC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4"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1,830.0</w:t>
            </w:r>
          </w:p>
        </w:tc>
      </w:tr>
    </w:tbl>
    <w:p>
      <w:pPr>
        <w:pStyle w:val="TextBody"/>
        <w:bidi w:val="0"/>
        <w:jc w:val="both"/>
        <w:rPr/>
      </w:pPr>
      <w:r>
        <w:rPr/>
        <w:t> </w:t>
      </w:r>
    </w:p>
    <w:p>
      <w:pPr>
        <w:pStyle w:val="TextBody"/>
        <w:bidi w:val="0"/>
        <w:spacing w:before="0" w:after="24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w:t>
      </w:r>
    </w:p>
    <w:p>
      <w:pPr>
        <w:pStyle w:val="TextBody"/>
        <w:bidi w:val="0"/>
        <w:jc w:val="both"/>
        <w:rPr>
          <w:rFonts w:ascii="Times New Roman" w:hAnsi="Times New Roman"/>
          <w:color w:val="000000"/>
          <w:sz w:val="18"/>
        </w:rPr>
      </w:pPr>
      <w:r>
        <w:rPr>
          <w:rFonts w:ascii="Times New Roman" w:hAnsi="Times New Roman"/>
          <w:color w:val="000000"/>
          <w:sz w:val="18"/>
        </w:rPr>
        <w:t xml:space="preserve">Estimated unaccrued one-time transaction costs of $16.4 were recorded as an accrual in the unaudited pro forma condensed consolidated balance sheet within accrued and other liabilities. These costs consist of accounting, financial, and legal advisory fees.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d)</w:t>
      </w:r>
    </w:p>
    <w:p>
      <w:pPr>
        <w:pStyle w:val="TextBody"/>
        <w:bidi w:val="0"/>
        <w:jc w:val="both"/>
        <w:rPr>
          <w:rFonts w:ascii="Times New Roman" w:hAnsi="Times New Roman"/>
          <w:color w:val="000000"/>
          <w:sz w:val="18"/>
        </w:rPr>
      </w:pPr>
      <w:r>
        <w:rPr>
          <w:rFonts w:ascii="Times New Roman" w:hAnsi="Times New Roman"/>
          <w:color w:val="000000"/>
          <w:sz w:val="18"/>
        </w:rPr>
        <w:t>In conjunction with the Sale, the Company entered into a Transition service agreement (“TSA”). Under the TSA, the Company will provide and receive certain post-closing services on a transitional basis. The TSA has an initial term of up to 9 months for certain services and provides for options to extend services for one renewal term of three months. For services provided, a pro forma adjustment recognizing the related monthly fixed fee income was included in transition services agreement income of $16.1 for the year ended December 31, 2025. The adjustment reflects only the initial contractual term of the TSA and excludes any renewal periods.</w:t>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e)</w:t>
      </w:r>
    </w:p>
    <w:p>
      <w:pPr>
        <w:pStyle w:val="TextBody"/>
        <w:bidi w:val="0"/>
        <w:jc w:val="both"/>
        <w:rPr>
          <w:rFonts w:ascii="Times New Roman" w:hAnsi="Times New Roman"/>
          <w:color w:val="000000"/>
          <w:sz w:val="18"/>
        </w:rPr>
      </w:pPr>
      <w:r>
        <w:rPr>
          <w:rFonts w:ascii="Times New Roman" w:hAnsi="Times New Roman"/>
          <w:color w:val="000000"/>
          <w:sz w:val="18"/>
        </w:rPr>
        <w:t>The adjustment made to retained earnings in the unaudited pro forma condensed consolidated balance sheet consists of the following adjustments:</w:t>
      </w:r>
    </w:p>
    <w:p>
      <w:pPr>
        <w:pStyle w:val="TextBody"/>
        <w:bidi w:val="0"/>
        <w:jc w:val="left"/>
        <w:rPr/>
      </w:pPr>
      <w:r>
        <w:rPr/>
        <w:t> </w:t>
      </w:r>
    </w:p>
    <w:tbl>
      <w:tblPr>
        <w:tblW w:w="4383" w:type="dxa"/>
        <w:jc w:val="left"/>
        <w:tblInd w:w="0" w:type="dxa"/>
        <w:tblLayout w:type="fixed"/>
        <w:tblCellMar>
          <w:top w:w="28" w:type="dxa"/>
          <w:left w:w="28" w:type="dxa"/>
          <w:bottom w:w="28" w:type="dxa"/>
          <w:right w:w="28" w:type="dxa"/>
        </w:tblCellMar>
      </w:tblPr>
      <w:tblGrid>
        <w:gridCol w:w="3496"/>
        <w:gridCol w:w="196"/>
        <w:gridCol w:w="691"/>
      </w:tblGrid>
      <w:tr>
        <w:trPr/>
        <w:tc>
          <w:tcPr>
            <w:tcW w:w="3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r>
      <w:tr>
        <w:trPr/>
        <w:tc>
          <w:tcPr>
            <w:tcW w:w="34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Cash consideration received for sale of Ruckus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1,846.0</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unaccrued one-time transaction costs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r>
      <w:tr>
        <w:trPr/>
        <w:tc>
          <w:tcPr>
            <w:tcW w:w="34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banker fees owed upon closing</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One-time transaction bonus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r>
      <w:tr>
        <w:trPr/>
        <w:tc>
          <w:tcPr>
            <w:tcW w:w="34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taxes payable from the Sale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Pro forma adjustment to retained earnings </w:t>
            </w:r>
          </w:p>
        </w:tc>
        <w:tc>
          <w:tcPr>
            <w:tcW w:w="196" w:type="dxa"/>
            <w:tcBorders>
              <w:top w:val="single" w:sz="4" w:space="0" w:color="000000"/>
              <w:bottom w:val="double" w:sz="4" w:space="0" w:color="000000"/>
            </w:tcBorders>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4" w:space="0" w:color="000000"/>
            </w:tcBorders>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1,756.2</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w:t>
      </w:r>
    </w:p>
    <w:p>
      <w:pPr>
        <w:pStyle w:val="TextBody"/>
        <w:bidi w:val="0"/>
        <w:jc w:val="both"/>
        <w:rPr>
          <w:rFonts w:ascii="Times New Roman" w:hAnsi="Times New Roman"/>
          <w:color w:val="000000"/>
          <w:sz w:val="18"/>
        </w:rPr>
      </w:pPr>
      <w:r>
        <w:rPr>
          <w:rFonts w:ascii="Times New Roman" w:hAnsi="Times New Roman"/>
          <w:color w:val="000000"/>
          <w:sz w:val="18"/>
        </w:rPr>
        <w:t xml:space="preserve">The income tax impacts of discontinued operations have been estimated using the applicable statutory income tax rate in the respective jurisdictions, adjusted for effective tax rate impacts related to permanent differences and income tax credits. The estimated income tax adjustments are subject to change and actual amounts will differ from the results reflected herein.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jc w:val="center"/>
        <w:rPr>
          <w:rFonts w:ascii="Times New Roman" w:hAnsi="Times New Roman"/>
          <w:color w:val="000000"/>
          <w:sz w:val="20"/>
        </w:rPr>
      </w:pPr>
      <w:r>
        <w:rPr>
          <w:rFonts w:ascii="Times New Roman" w:hAnsi="Times New Roman"/>
          <w:color w:val="000000"/>
          <w:sz w:val="20"/>
        </w:rPr>
        <w:t>Vistance Networks, Inc.</w:t>
      </w:r>
    </w:p>
    <w:p>
      <w:pPr>
        <w:pStyle w:val="TextBody"/>
        <w:bidi w:val="0"/>
        <w:jc w:val="center"/>
        <w:rPr>
          <w:rFonts w:ascii="Times New Roman" w:hAnsi="Times New Roman"/>
          <w:b/>
          <w:color w:val="000000"/>
          <w:sz w:val="20"/>
        </w:rPr>
      </w:pPr>
      <w:r>
        <w:rPr>
          <w:rFonts w:ascii="Times New Roman" w:hAnsi="Times New Roman"/>
          <w:b/>
          <w:color w:val="000000"/>
          <w:sz w:val="20"/>
        </w:rPr>
        <w:t>Notes to the Unaudited Pro Forma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 millions, unless otherwise noted)</w:t>
      </w:r>
    </w:p>
    <w:p>
      <w:pPr>
        <w:pStyle w:val="TextBody"/>
        <w:bidi w:val="0"/>
        <w:jc w:val="center"/>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g)</w:t>
      </w:r>
    </w:p>
    <w:p>
      <w:pPr>
        <w:pStyle w:val="TextBody"/>
        <w:bidi w:val="0"/>
        <w:jc w:val="both"/>
        <w:rPr>
          <w:rFonts w:ascii="Times New Roman" w:hAnsi="Times New Roman"/>
          <w:color w:val="000000"/>
          <w:sz w:val="18"/>
        </w:rPr>
      </w:pPr>
      <w:r>
        <w:rPr>
          <w:rFonts w:ascii="Times New Roman" w:hAnsi="Times New Roman"/>
          <w:color w:val="000000"/>
          <w:sz w:val="18"/>
        </w:rPr>
        <w:t>Represents the tax impact of the pro forma Other Separation Adjustments at the applicable blended statutory income tax rates.</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h)</w:t>
      </w:r>
    </w:p>
    <w:p>
      <w:pPr>
        <w:pStyle w:val="TextBody"/>
        <w:bidi w:val="0"/>
        <w:jc w:val="both"/>
        <w:rPr>
          <w:rFonts w:ascii="Times New Roman" w:hAnsi="Times New Roman"/>
          <w:color w:val="000000"/>
          <w:sz w:val="18"/>
        </w:rPr>
      </w:pPr>
      <w:r>
        <w:rPr>
          <w:rFonts w:ascii="Times New Roman" w:hAnsi="Times New Roman"/>
          <w:color w:val="000000"/>
          <w:sz w:val="18"/>
        </w:rPr>
        <w:t>Estimated unaccrued one-time bonus costs of $2.4 were recorded as an accrual in the unaudited pro forma condensed consolidated balance sheet within accrued and other liabilities. These one-time costs were directly attributed to the Sale and were paid by the Company following the Sale.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adjustment to selling, general and administrative of $2.4 in the unaudited proforma condensed consolidated statement of operations for the year ended December 31, 2025 reflects the one-time bonus costs assuming payment made on January 1, 2025.</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i)</w:t>
      </w:r>
    </w:p>
    <w:p>
      <w:pPr>
        <w:pStyle w:val="TextBody"/>
        <w:bidi w:val="0"/>
        <w:jc w:val="both"/>
        <w:rPr>
          <w:rFonts w:ascii="Times New Roman" w:hAnsi="Times New Roman"/>
          <w:color w:val="000000"/>
          <w:sz w:val="18"/>
        </w:rPr>
      </w:pPr>
      <w:r>
        <w:rPr>
          <w:rFonts w:ascii="Times New Roman" w:hAnsi="Times New Roman"/>
          <w:color w:val="000000"/>
          <w:sz w:val="18"/>
        </w:rPr>
        <w:t>Represents taxes payable adjustment of $55.0 within accrued and other liabilities in the unaudited pro forma condensed consolidated balance sheet for the expected income tax payable due as a result of the gain on Sale. The current tax payable on the gain is reduced by tax attributes utilized in the current year. The estimated tax impact is subject to change and the actual impact could differ from the results reflected herein.</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j)</w:t>
      </w:r>
    </w:p>
    <w:p>
      <w:pPr>
        <w:pStyle w:val="TextBody"/>
        <w:bidi w:val="0"/>
        <w:jc w:val="both"/>
        <w:rPr>
          <w:rFonts w:ascii="Times New Roman" w:hAnsi="Times New Roman"/>
          <w:color w:val="000000"/>
          <w:sz w:val="18"/>
        </w:rPr>
      </w:pPr>
      <w:r>
        <w:rPr>
          <w:rFonts w:ascii="Times New Roman" w:hAnsi="Times New Roman"/>
          <w:color w:val="000000"/>
          <w:sz w:val="18"/>
        </w:rPr>
        <w:t>The following table summarizes the unaudited pro forma net earnings (loss) from continuing operations per share for the three months ended March 31, 2026 and years ended December 31, 2025,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38"/>
        <w:gridCol w:w="481"/>
        <w:gridCol w:w="1255"/>
        <w:gridCol w:w="146"/>
        <w:gridCol w:w="446"/>
        <w:gridCol w:w="1168"/>
        <w:gridCol w:w="146"/>
        <w:gridCol w:w="411"/>
        <w:gridCol w:w="1204"/>
        <w:gridCol w:w="146"/>
        <w:gridCol w:w="400"/>
        <w:gridCol w:w="1264"/>
      </w:tblGrid>
      <w:tr>
        <w:trPr/>
        <w:tc>
          <w:tcPr>
            <w:tcW w:w="313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3138" w:type="dxa"/>
            <w:tcBorders/>
            <w:tcMar>
              <w:top w:w="0" w:type="dxa"/>
              <w:left w:w="0" w:type="dxa"/>
              <w:bottom w:w="0" w:type="dxa"/>
              <w:right w:w="0" w:type="dxa"/>
            </w:tcMar>
            <w:vAlign w:val="center"/>
          </w:tcPr>
          <w:p>
            <w:pPr>
              <w:pStyle w:val="TableContents"/>
              <w:bidi w:val="0"/>
              <w:spacing w:before="0" w:after="283"/>
              <w:jc w:val="left"/>
              <w:rPr/>
            </w:pPr>
            <w:r>
              <w:rPr/>
              <w:t> </w:t>
            </w:r>
          </w:p>
        </w:tc>
        <w:tc>
          <w:tcPr>
            <w:tcW w:w="173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1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 2023</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continuing operations attributable to common stockholders</w:t>
            </w:r>
          </w:p>
        </w:tc>
        <w:tc>
          <w:tcPr>
            <w:tcW w:w="481" w:type="dxa"/>
            <w:tcBorders>
              <w:bottom w:val="doub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t>
            </w:r>
          </w:p>
        </w:tc>
        <w:tc>
          <w:tcPr>
            <w:tcW w:w="125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44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6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0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40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6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(807.7)</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4"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 basic</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w:t>
            </w:r>
          </w:p>
        </w:tc>
      </w:tr>
      <w:tr>
        <w:trPr/>
        <w:tc>
          <w:tcPr>
            <w:tcW w:w="3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Dilutive effect of equity-based awards</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Dilutive effect of as-if converted Series A convertible preferred stock</w:t>
            </w:r>
          </w:p>
        </w:tc>
        <w:tc>
          <w:tcPr>
            <w:tcW w:w="4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both"/>
              <w:rPr/>
            </w:pPr>
            <w:r>
              <w:rPr/>
              <w:t> </w:t>
            </w:r>
          </w:p>
        </w:tc>
        <w:tc>
          <w:tcPr>
            <w:tcW w:w="1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 diluted</w:t>
            </w:r>
          </w:p>
        </w:tc>
        <w:tc>
          <w:tcPr>
            <w:tcW w:w="48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5"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4"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4"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210.9</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6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(loss) from continuing operations per share</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t>
            </w:r>
          </w:p>
        </w:tc>
        <w:tc>
          <w:tcPr>
            <w:tcW w:w="125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6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6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(loss) from continuing operations per share</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w:t>
            </w:r>
          </w:p>
        </w:tc>
        <w:tc>
          <w:tcPr>
            <w:tcW w:w="125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16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0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26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3623</Words>
  <Characters>20525</Characters>
  <CharactersWithSpaces>24235</CharactersWithSpaces>
  <Paragraphs>1819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