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23" w:lineRule="auto"/>
        <w:rPr>
          <w:sz w:val="20"/>
          <w:szCs w:val="20"/>
          <w:color w:val="auto"/>
        </w:rPr>
      </w:pPr>
      <w:r>
        <w:rPr>
          <w:rFonts w:ascii="Times New Roman" w:cs="Times New Roman" w:eastAsia="Times New Roman" w:hAnsi="Times New Roman"/>
          <w:sz w:val="14"/>
          <w:szCs w:val="14"/>
          <w:b w:val="1"/>
          <w:bCs w:val="1"/>
          <w:color w:val="auto"/>
        </w:rPr>
        <w:t>(Mark One)</w:t>
      </w:r>
    </w:p>
    <w:p>
      <w:pPr>
        <w:spacing w:after="0" w:line="1" w:lineRule="exact"/>
        <w:rPr>
          <w:sz w:val="24"/>
          <w:szCs w:val="24"/>
          <w:color w:val="auto"/>
        </w:rPr>
      </w:pPr>
    </w:p>
    <w:p>
      <w:pPr>
        <w:ind w:left="100"/>
        <w:spacing w:after="0" w:line="200" w:lineRule="exact"/>
        <w:tabs>
          <w:tab w:leader="none" w:pos="920" w:val="left"/>
        </w:tabs>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9"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600" w:type="dxa"/>
            <w:vAlign w:val="bottom"/>
            <w:vMerge w:val="restart"/>
          </w:tcPr>
          <w:p>
            <w:pPr>
              <w:spacing w:after="0" w:line="200"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tc>
        <w:tc>
          <w:tcPr>
            <w:tcW w:w="5740" w:type="dxa"/>
            <w:vAlign w:val="bottom"/>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rPr>
              <w:t>OR</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0" w:type="dxa"/>
            <w:vAlign w:val="bottom"/>
            <w:vMerge w:val="continue"/>
          </w:tcPr>
          <w:p>
            <w:pPr>
              <w:spacing w:after="0"/>
              <w:rPr>
                <w:sz w:val="21"/>
                <w:szCs w:val="21"/>
                <w:color w:val="auto"/>
              </w:rPr>
            </w:pPr>
          </w:p>
        </w:tc>
        <w:tc>
          <w:tcPr>
            <w:tcW w:w="9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574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6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94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Commission file number: 001-36146</w:t>
            </w:r>
          </w:p>
        </w:tc>
        <w:tc>
          <w:tcPr>
            <w:tcW w:w="0" w:type="dxa"/>
            <w:vAlign w:val="bottom"/>
          </w:tcPr>
          <w:p>
            <w:pPr>
              <w:spacing w:after="0"/>
              <w:rPr>
                <w:sz w:val="1"/>
                <w:szCs w:val="1"/>
                <w:color w:val="auto"/>
              </w:rPr>
            </w:pPr>
          </w:p>
        </w:tc>
      </w:tr>
    </w:tbl>
    <w:p>
      <w:pPr>
        <w:spacing w:after="0" w:line="5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40"/>
          <w:szCs w:val="40"/>
          <w:b w:val="1"/>
          <w:bCs w:val="1"/>
          <w:color w:val="auto"/>
        </w:rPr>
        <w:t>Vistance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-266065</wp:posOffset>
            </wp:positionV>
            <wp:extent cx="2108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41" w:right="339" w:bottom="1440" w:gutter="0" w:footer="0" w:header="0"/>
        </w:sectPr>
      </w:pPr>
    </w:p>
    <w:p>
      <w:pPr>
        <w:spacing w:after="0" w:line="5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27-4332098</w:t>
      </w:r>
    </w:p>
    <w:p>
      <w:pPr>
        <w:spacing w:after="0" w:line="24" w:lineRule="exact"/>
        <w:rPr>
          <w:sz w:val="24"/>
          <w:szCs w:val="24"/>
          <w:color w:val="auto"/>
        </w:rPr>
      </w:pPr>
    </w:p>
    <w:p>
      <w:pPr>
        <w:sectPr>
          <w:pgSz w:w="11900" w:h="16838" w:orient="portrait"/>
          <w:cols w:equalWidth="0" w:num="2">
            <w:col w:w="7280" w:space="720"/>
            <w:col w:w="3240"/>
          </w:cols>
          <w:pgMar w:left="320" w:top="1141"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53" w:lineRule="exact"/>
        <w:rPr>
          <w:sz w:val="24"/>
          <w:szCs w:val="24"/>
          <w:color w:val="auto"/>
        </w:rPr>
      </w:pPr>
    </w:p>
    <w:p>
      <w:pPr>
        <w:sectPr>
          <w:pgSz w:w="11900" w:h="16838" w:orient="portrait"/>
          <w:cols w:equalWidth="0" w:num="2">
            <w:col w:w="7180" w:space="720"/>
            <w:col w:w="3340"/>
          </w:cols>
          <w:pgMar w:left="320" w:top="1141" w:right="339" w:bottom="1440" w:gutter="0" w:footer="0" w:header="0"/>
          <w:type w:val="continuous"/>
        </w:sect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2601 Telecom Parkway</w:t>
      </w:r>
    </w:p>
    <w:p>
      <w:pPr>
        <w:spacing w:after="0" w:line="31"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Richardson, Texas</w:t>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75082</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(Zip Code)</w:t>
      </w:r>
    </w:p>
    <w:p>
      <w:pPr>
        <w:spacing w:after="0" w:line="20" w:lineRule="exact"/>
        <w:rPr>
          <w:sz w:val="24"/>
          <w:szCs w:val="24"/>
          <w:color w:val="auto"/>
        </w:rPr>
      </w:pPr>
      <w:r>
        <w:rPr>
          <w:sz w:val="24"/>
          <w:szCs w:val="24"/>
          <w:color w:val="auto"/>
        </w:rPr>
        <w:br w:type="column"/>
      </w: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(972) 952-9700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p>
    <w:p>
      <w:pPr>
        <w:sectPr>
          <w:pgSz w:w="11900" w:h="16838" w:orient="portrait"/>
          <w:cols w:equalWidth="0" w:num="3">
            <w:col w:w="4520" w:space="720"/>
            <w:col w:w="860" w:space="720"/>
            <w:col w:w="4420"/>
          </w:cols>
          <w:pgMar w:left="320" w:top="1141"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ectPr>
          <w:pgSz w:w="11900" w:h="16838" w:orient="portrait"/>
          <w:cols w:equalWidth="0" w:num="1">
            <w:col w:w="11240"/>
          </w:cols>
          <w:pgMar w:left="320" w:top="1141" w:right="339" w:bottom="1440" w:gutter="0" w:footer="0" w:header="0"/>
          <w:type w:val="continuous"/>
        </w:sectPr>
      </w:pP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CommScope Holding Company, Inc.</w:t>
      </w:r>
    </w:p>
    <w:p>
      <w:pPr>
        <w:spacing w:after="0" w:line="2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0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40" w:type="dxa"/>
            <w:vAlign w:val="bottom"/>
          </w:tcPr>
          <w:p>
            <w:pPr>
              <w:spacing w:after="0"/>
              <w:rPr>
                <w:sz w:val="13"/>
                <w:szCs w:val="13"/>
                <w:color w:val="auto"/>
              </w:rPr>
            </w:pPr>
          </w:p>
        </w:tc>
        <w:tc>
          <w:tcPr>
            <w:tcW w:w="3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3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VISN</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40" w:type="dxa"/>
            <w:vAlign w:val="bottom"/>
          </w:tcPr>
          <w:p>
            <w:pPr>
              <w:jc w:val="center"/>
              <w:ind w:right="975"/>
              <w:spacing w:after="0"/>
              <w:rPr>
                <w:sz w:val="20"/>
                <w:szCs w:val="20"/>
                <w:color w:val="auto"/>
              </w:rPr>
            </w:pPr>
            <w:r>
              <w:rPr>
                <w:rFonts w:ascii="Times New Roman" w:cs="Times New Roman" w:eastAsia="Times New Roman" w:hAnsi="Times New Roman"/>
                <w:sz w:val="18"/>
                <w:szCs w:val="18"/>
                <w:color w:val="auto"/>
                <w:w w:val="99"/>
              </w:rPr>
              <w:t>Nasdaq</w:t>
            </w:r>
          </w:p>
        </w:tc>
      </w:tr>
      <w:tr>
        <w:trPr>
          <w:trHeight w:val="252"/>
        </w:trPr>
        <w:tc>
          <w:tcPr>
            <w:tcW w:w="8400" w:type="dxa"/>
            <w:vAlign w:val="bottom"/>
            <w:gridSpan w:val="5"/>
          </w:tcPr>
          <w:p>
            <w:pPr>
              <w:ind w:left="326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2840" w:type="dxa"/>
            <w:vAlign w:val="bottom"/>
          </w:tcPr>
          <w:p>
            <w:pPr>
              <w:spacing w:after="0"/>
              <w:rPr>
                <w:sz w:val="21"/>
                <w:szCs w:val="21"/>
                <w:color w:val="auto"/>
              </w:rPr>
            </w:pPr>
          </w:p>
        </w:tc>
      </w:tr>
      <w:tr>
        <w:trPr>
          <w:trHeight w:val="261"/>
        </w:trPr>
        <w:tc>
          <w:tcPr>
            <w:tcW w:w="1124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8400" w:type="dxa"/>
            <w:vAlign w:val="bottom"/>
            <w:gridSpan w:val="5"/>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2840" w:type="dxa"/>
            <w:vAlign w:val="bottom"/>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20" w:lineRule="exact"/>
        <w:rPr>
          <w:sz w:val="24"/>
          <w:szCs w:val="24"/>
          <w:color w:val="auto"/>
        </w:rPr>
      </w:pPr>
    </w:p>
    <w:p>
      <w:pPr>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5"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20"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74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The aggregate market value of shares of Common Stock held by non-affiliates of the registrant was approximately $1,781.6 million as of June 30, 2025. For purposes of this computation, shares held by affiliates and by directors and officers of the registrant have been excluded.</w:t>
      </w:r>
    </w:p>
    <w:p>
      <w:pPr>
        <w:spacing w:after="0" w:line="2" w:lineRule="exact"/>
        <w:rPr>
          <w:sz w:val="24"/>
          <w:szCs w:val="24"/>
          <w:color w:val="auto"/>
        </w:rPr>
      </w:pPr>
    </w:p>
    <w:p>
      <w:pPr>
        <w:ind w:left="4360" w:right="4380" w:hanging="4342"/>
        <w:spacing w:after="0" w:line="334" w:lineRule="auto"/>
        <w:rPr>
          <w:sz w:val="20"/>
          <w:szCs w:val="20"/>
          <w:color w:val="auto"/>
        </w:rPr>
      </w:pPr>
      <w:r>
        <w:rPr>
          <w:rFonts w:ascii="Times New Roman" w:cs="Times New Roman" w:eastAsia="Times New Roman" w:hAnsi="Times New Roman"/>
          <w:sz w:val="16"/>
          <w:szCs w:val="16"/>
          <w:color w:val="auto"/>
        </w:rPr>
        <w:t>As of February 12, 2026 there were 225,462,013 shares of the registrant’s Common Stock outstanding. Documents Incorporated by Reference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the 2026 Annual Meeting of Stockholders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Vistance Networks, Inc.</w:t>
            </w:r>
          </w:p>
        </w:tc>
        <w:tc>
          <w:tcPr>
            <w:tcW w:w="1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7"/>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8"/>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60" w:type="dxa"/>
            <w:vAlign w:val="bottom"/>
          </w:tcPr>
          <w:p>
            <w:pPr>
              <w:spacing w:after="0"/>
              <w:rPr>
                <w:sz w:val="18"/>
                <w:szCs w:val="18"/>
                <w:color w:val="auto"/>
              </w:rPr>
            </w:pPr>
          </w:p>
        </w:tc>
      </w:tr>
      <w:tr>
        <w:trPr>
          <w:trHeight w:val="238"/>
        </w:trPr>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60" w:type="dxa"/>
            <w:vAlign w:val="bottom"/>
          </w:tcPr>
          <w:p>
            <w:pPr>
              <w:spacing w:after="0"/>
              <w:rPr>
                <w:sz w:val="20"/>
                <w:szCs w:val="20"/>
                <w:color w:val="auto"/>
              </w:rPr>
            </w:pPr>
          </w:p>
        </w:tc>
      </w:tr>
      <w:tr>
        <w:trPr>
          <w:trHeight w:val="500"/>
        </w:trPr>
        <w:tc>
          <w:tcPr>
            <w:tcW w:w="5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80" w:type="dxa"/>
            <w:vAlign w:val="bottom"/>
            <w:gridSpan w:val="26"/>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98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Item 1. Business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6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5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w w:val="98"/>
              </w:rPr>
              <w:t>Item 1A. Risk Factors</w:t>
            </w:r>
          </w:p>
        </w:tc>
        <w:tc>
          <w:tcPr>
            <w:tcW w:w="824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260" w:type="dxa"/>
            <w:vAlign w:val="bottom"/>
          </w:tcPr>
          <w:p>
            <w:pPr>
              <w:spacing w:after="0"/>
              <w:rPr>
                <w:sz w:val="24"/>
                <w:szCs w:val="24"/>
                <w:color w:val="auto"/>
              </w:rPr>
            </w:pPr>
          </w:p>
        </w:tc>
        <w:tc>
          <w:tcPr>
            <w:tcW w:w="27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w w:val="99"/>
              </w:rPr>
              <w:t>Item 1B. Unresolved Staff Comments</w:t>
            </w:r>
          </w:p>
        </w:tc>
        <w:tc>
          <w:tcPr>
            <w:tcW w:w="710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260" w:type="dxa"/>
            <w:vAlign w:val="bottom"/>
          </w:tcPr>
          <w:p>
            <w:pPr>
              <w:spacing w:after="0"/>
              <w:rPr>
                <w:sz w:val="24"/>
                <w:szCs w:val="24"/>
                <w:color w:val="auto"/>
              </w:rPr>
            </w:pPr>
          </w:p>
        </w:tc>
        <w:tc>
          <w:tcPr>
            <w:tcW w:w="1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8"/>
              </w:rPr>
              <w:t>Item 1C. Cybersecurity</w:t>
            </w:r>
          </w:p>
        </w:tc>
        <w:tc>
          <w:tcPr>
            <w:tcW w:w="814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4"/>
        </w:trPr>
        <w:tc>
          <w:tcPr>
            <w:tcW w:w="26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8"/>
              </w:rPr>
              <w:t>Item 2. Properties</w:t>
            </w:r>
          </w:p>
        </w:tc>
        <w:tc>
          <w:tcPr>
            <w:tcW w:w="8540" w:type="dxa"/>
            <w:vAlign w:val="bottom"/>
            <w:gridSpan w:val="19"/>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260" w:type="dxa"/>
            <w:vAlign w:val="bottom"/>
          </w:tcPr>
          <w:p>
            <w:pPr>
              <w:spacing w:after="0"/>
              <w:rPr>
                <w:sz w:val="24"/>
                <w:szCs w:val="24"/>
                <w:color w:val="auto"/>
              </w:rPr>
            </w:pPr>
          </w:p>
        </w:tc>
        <w:tc>
          <w:tcPr>
            <w:tcW w:w="18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w w:val="98"/>
              </w:rPr>
              <w:t>Item 3. Legal Proceedings</w:t>
            </w:r>
          </w:p>
        </w:tc>
        <w:tc>
          <w:tcPr>
            <w:tcW w:w="7940" w:type="dxa"/>
            <w:vAlign w:val="bottom"/>
            <w:gridSpan w:val="16"/>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260" w:type="dxa"/>
            <w:vAlign w:val="bottom"/>
          </w:tcPr>
          <w:p>
            <w:pPr>
              <w:spacing w:after="0"/>
              <w:rPr>
                <w:sz w:val="24"/>
                <w:szCs w:val="24"/>
                <w:color w:val="auto"/>
              </w:rPr>
            </w:pPr>
          </w:p>
        </w:tc>
        <w:tc>
          <w:tcPr>
            <w:tcW w:w="23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w w:val="98"/>
              </w:rPr>
              <w:t>Item 4. Mine Safety Disclosures</w:t>
            </w:r>
          </w:p>
        </w:tc>
        <w:tc>
          <w:tcPr>
            <w:tcW w:w="7500" w:type="dxa"/>
            <w:vAlign w:val="bottom"/>
            <w:gridSpan w:val="14"/>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9540" w:type="dxa"/>
            <w:vAlign w:val="bottom"/>
            <w:gridSpan w:val="25"/>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89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auto"/>
                <w:w w:val="99"/>
              </w:rPr>
              <w:t>Item 5. Market for the Registrant’s Common Equity, Related Stockholder Matters and Issuer Purchases of Equity Securities</w:t>
            </w:r>
          </w:p>
        </w:tc>
        <w:tc>
          <w:tcPr>
            <w:tcW w:w="9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4"/>
        </w:trPr>
        <w:tc>
          <w:tcPr>
            <w:tcW w:w="260" w:type="dxa"/>
            <w:vAlign w:val="bottom"/>
          </w:tcPr>
          <w:p>
            <w:pPr>
              <w:spacing w:after="0"/>
              <w:rPr>
                <w:sz w:val="24"/>
                <w:szCs w:val="24"/>
                <w:color w:val="auto"/>
              </w:rPr>
            </w:pPr>
          </w:p>
        </w:tc>
        <w:tc>
          <w:tcPr>
            <w:tcW w:w="12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w w:val="97"/>
              </w:rPr>
              <w:t>Item 6. Reserved</w:t>
            </w:r>
          </w:p>
        </w:tc>
        <w:tc>
          <w:tcPr>
            <w:tcW w:w="8600" w:type="dxa"/>
            <w:vAlign w:val="bottom"/>
            <w:gridSpan w:val="20"/>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260" w:type="dxa"/>
            <w:vAlign w:val="bottom"/>
          </w:tcPr>
          <w:p>
            <w:pPr>
              <w:spacing w:after="0"/>
              <w:rPr>
                <w:sz w:val="24"/>
                <w:szCs w:val="24"/>
                <w:color w:val="auto"/>
              </w:rPr>
            </w:pPr>
          </w:p>
        </w:tc>
        <w:tc>
          <w:tcPr>
            <w:tcW w:w="70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auto"/>
                <w:w w:val="99"/>
              </w:rPr>
              <w:t>Item 7. Management’s Discussion and Analysis of Financial Condition and Results of Operations</w:t>
            </w:r>
          </w:p>
        </w:tc>
        <w:tc>
          <w:tcPr>
            <w:tcW w:w="280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4"/>
        </w:trPr>
        <w:tc>
          <w:tcPr>
            <w:tcW w:w="260" w:type="dxa"/>
            <w:vAlign w:val="bottom"/>
          </w:tcPr>
          <w:p>
            <w:pPr>
              <w:spacing w:after="0"/>
              <w:rPr>
                <w:sz w:val="24"/>
                <w:szCs w:val="24"/>
                <w:color w:val="auto"/>
              </w:rPr>
            </w:pPr>
          </w:p>
        </w:tc>
        <w:tc>
          <w:tcPr>
            <w:tcW w:w="50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auto"/>
                <w:w w:val="99"/>
              </w:rPr>
              <w:t>Item 7A. Quantitative and Qualitative Disclosures About Market Risk</w:t>
            </w:r>
          </w:p>
        </w:tc>
        <w:tc>
          <w:tcPr>
            <w:tcW w:w="4780" w:type="dxa"/>
            <w:vAlign w:val="bottom"/>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4"/>
        </w:trPr>
        <w:tc>
          <w:tcPr>
            <w:tcW w:w="260" w:type="dxa"/>
            <w:vAlign w:val="bottom"/>
          </w:tcPr>
          <w:p>
            <w:pPr>
              <w:spacing w:after="0"/>
              <w:rPr>
                <w:sz w:val="24"/>
                <w:szCs w:val="24"/>
                <w:color w:val="auto"/>
              </w:rPr>
            </w:pPr>
          </w:p>
        </w:tc>
        <w:tc>
          <w:tcPr>
            <w:tcW w:w="38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w w:val="99"/>
              </w:rPr>
              <w:t>Item 8. Financial Statements and Supplementary Data</w:t>
            </w:r>
          </w:p>
        </w:tc>
        <w:tc>
          <w:tcPr>
            <w:tcW w:w="594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4"/>
        </w:trPr>
        <w:tc>
          <w:tcPr>
            <w:tcW w:w="260" w:type="dxa"/>
            <w:vAlign w:val="bottom"/>
          </w:tcPr>
          <w:p>
            <w:pPr>
              <w:spacing w:after="0"/>
              <w:rPr>
                <w:sz w:val="24"/>
                <w:szCs w:val="24"/>
                <w:color w:val="auto"/>
              </w:rPr>
            </w:pPr>
          </w:p>
        </w:tc>
        <w:tc>
          <w:tcPr>
            <w:tcW w:w="98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04"/>
        </w:trPr>
        <w:tc>
          <w:tcPr>
            <w:tcW w:w="2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w w:val="99"/>
              </w:rPr>
              <w:t>Item 9A. Controls and Procedures</w:t>
            </w:r>
          </w:p>
        </w:tc>
        <w:tc>
          <w:tcPr>
            <w:tcW w:w="4560" w:type="dxa"/>
            <w:vAlign w:val="bottom"/>
            <w:tcBorders>
              <w:top w:val="single" w:sz="8" w:color="0000EE"/>
            </w:tcBorders>
            <w:gridSpan w:val="9"/>
          </w:tcPr>
          <w:p>
            <w:pPr>
              <w:spacing w:after="0"/>
              <w:rPr>
                <w:sz w:val="24"/>
                <w:szCs w:val="24"/>
                <w:color w:val="auto"/>
              </w:rPr>
            </w:pPr>
          </w:p>
        </w:tc>
        <w:tc>
          <w:tcPr>
            <w:tcW w:w="280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04"/>
        </w:trPr>
        <w:tc>
          <w:tcPr>
            <w:tcW w:w="260" w:type="dxa"/>
            <w:vAlign w:val="bottom"/>
          </w:tcPr>
          <w:p>
            <w:pPr>
              <w:spacing w:after="0"/>
              <w:rPr>
                <w:sz w:val="24"/>
                <w:szCs w:val="24"/>
                <w:color w:val="auto"/>
              </w:rPr>
            </w:pPr>
          </w:p>
        </w:tc>
        <w:tc>
          <w:tcPr>
            <w:tcW w:w="19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w w:val="98"/>
              </w:rPr>
              <w:t>Item 9B. Other Information</w:t>
            </w:r>
          </w:p>
        </w:tc>
        <w:tc>
          <w:tcPr>
            <w:tcW w:w="784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4"/>
        </w:trPr>
        <w:tc>
          <w:tcPr>
            <w:tcW w:w="260" w:type="dxa"/>
            <w:vAlign w:val="bottom"/>
          </w:tcPr>
          <w:p>
            <w:pPr>
              <w:spacing w:after="0"/>
              <w:rPr>
                <w:sz w:val="24"/>
                <w:szCs w:val="24"/>
                <w:color w:val="auto"/>
              </w:rPr>
            </w:pPr>
          </w:p>
        </w:tc>
        <w:tc>
          <w:tcPr>
            <w:tcW w:w="98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2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9"/>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04"/>
        </w:trPr>
        <w:tc>
          <w:tcPr>
            <w:tcW w:w="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460" w:type="dxa"/>
            <w:vAlign w:val="bottom"/>
            <w:gridSpan w:val="23"/>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47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w w:val="99"/>
              </w:rPr>
              <w:t>Item 10. Directors, Executive Officers and Corporate Governance</w:t>
            </w:r>
          </w:p>
        </w:tc>
        <w:tc>
          <w:tcPr>
            <w:tcW w:w="508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4"/>
        </w:trPr>
        <w:tc>
          <w:tcPr>
            <w:tcW w:w="260" w:type="dxa"/>
            <w:vAlign w:val="bottom"/>
          </w:tcPr>
          <w:p>
            <w:pPr>
              <w:spacing w:after="0"/>
              <w:rPr>
                <w:sz w:val="24"/>
                <w:szCs w:val="24"/>
                <w:color w:val="auto"/>
              </w:rPr>
            </w:pPr>
          </w:p>
        </w:tc>
        <w:tc>
          <w:tcPr>
            <w:tcW w:w="24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w w:val="98"/>
              </w:rPr>
              <w:t>Item 11. Executive Compensation</w:t>
            </w:r>
          </w:p>
        </w:tc>
        <w:tc>
          <w:tcPr>
            <w:tcW w:w="7380" w:type="dxa"/>
            <w:vAlign w:val="bottom"/>
            <w:gridSpan w:val="13"/>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4"/>
        </w:trPr>
        <w:tc>
          <w:tcPr>
            <w:tcW w:w="260" w:type="dxa"/>
            <w:vAlign w:val="bottom"/>
          </w:tcPr>
          <w:p>
            <w:pPr>
              <w:spacing w:after="0"/>
              <w:rPr>
                <w:sz w:val="24"/>
                <w:szCs w:val="24"/>
                <w:color w:val="auto"/>
              </w:rPr>
            </w:pPr>
          </w:p>
        </w:tc>
        <w:tc>
          <w:tcPr>
            <w:tcW w:w="98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260" w:type="dxa"/>
            <w:vAlign w:val="bottom"/>
          </w:tcPr>
          <w:p>
            <w:pPr>
              <w:spacing w:after="0"/>
              <w:rPr>
                <w:sz w:val="24"/>
                <w:szCs w:val="24"/>
                <w:color w:val="auto"/>
              </w:rPr>
            </w:pPr>
          </w:p>
        </w:tc>
        <w:tc>
          <w:tcPr>
            <w:tcW w:w="610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auto"/>
                <w:w w:val="99"/>
              </w:rPr>
              <w:t>Item 13. Certain Relationships and Related Transactions, and Director Independence</w:t>
            </w:r>
          </w:p>
        </w:tc>
        <w:tc>
          <w:tcPr>
            <w:tcW w:w="1820" w:type="dxa"/>
            <w:vAlign w:val="bottom"/>
            <w:tcBorders>
              <w:top w:val="single" w:sz="8" w:color="0000EE"/>
            </w:tcBorders>
            <w:gridSpan w:val="2"/>
          </w:tcPr>
          <w:p>
            <w:pPr>
              <w:spacing w:after="0"/>
              <w:rPr>
                <w:sz w:val="24"/>
                <w:szCs w:val="24"/>
                <w:color w:val="auto"/>
              </w:rPr>
            </w:pPr>
          </w:p>
        </w:tc>
        <w:tc>
          <w:tcPr>
            <w:tcW w:w="190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260" w:type="dxa"/>
            <w:vAlign w:val="bottom"/>
          </w:tcPr>
          <w:p>
            <w:pPr>
              <w:spacing w:after="0"/>
              <w:rPr>
                <w:sz w:val="24"/>
                <w:szCs w:val="24"/>
                <w:color w:val="auto"/>
              </w:rPr>
            </w:pPr>
          </w:p>
        </w:tc>
        <w:tc>
          <w:tcPr>
            <w:tcW w:w="35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auto"/>
                <w:w w:val="99"/>
              </w:rPr>
              <w:t>Item 14. Principal Accountant Fees and Services</w:t>
            </w:r>
          </w:p>
        </w:tc>
        <w:tc>
          <w:tcPr>
            <w:tcW w:w="6320" w:type="dxa"/>
            <w:vAlign w:val="bottom"/>
            <w:gridSpan w:val="10"/>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9480" w:type="dxa"/>
            <w:vAlign w:val="bottom"/>
            <w:gridSpan w:val="24"/>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260" w:type="dxa"/>
            <w:vAlign w:val="bottom"/>
          </w:tcPr>
          <w:p>
            <w:pPr>
              <w:spacing w:after="0"/>
              <w:rPr>
                <w:sz w:val="24"/>
                <w:szCs w:val="24"/>
                <w:color w:val="auto"/>
              </w:rPr>
            </w:pPr>
          </w:p>
        </w:tc>
        <w:tc>
          <w:tcPr>
            <w:tcW w:w="3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tc>
        <w:tc>
          <w:tcPr>
            <w:tcW w:w="598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4"/>
        </w:trPr>
        <w:tc>
          <w:tcPr>
            <w:tcW w:w="1008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884"/>
        </w:trPr>
        <w:tc>
          <w:tcPr>
            <w:tcW w:w="820" w:type="dxa"/>
            <w:vAlign w:val="bottom"/>
            <w:tcBorders>
              <w:top w:val="single" w:sz="8" w:color="0000EE"/>
            </w:tcBorders>
            <w:gridSpan w:val="6"/>
          </w:tcPr>
          <w:p>
            <w:pPr>
              <w:spacing w:after="0"/>
              <w:rPr>
                <w:sz w:val="24"/>
                <w:szCs w:val="24"/>
                <w:color w:val="auto"/>
              </w:rPr>
            </w:pPr>
          </w:p>
        </w:tc>
        <w:tc>
          <w:tcPr>
            <w:tcW w:w="5000" w:type="dxa"/>
            <w:vAlign w:val="bottom"/>
            <w:gridSpan w:val="17"/>
          </w:tcPr>
          <w:p>
            <w:pPr>
              <w:jc w:val="center"/>
              <w:ind w:left="4510"/>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“Vistance Networks, Inc.,” “the Company,” “Registrant,” “we,” “us,” or “our” are to Vistance Networks, Inc. and its direct and indirect subsidiaries on a consolidated basis.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statements are subject to various risks and uncertainties, many of which are outside of our control. Item 1A, “Risk Factors,” of this Annual Report on Form 10-K sets forth more detailed information about the factors that may cause our actual results to differ, perhaps materially, from the views stated in such forward-looking statements. Although the information contained in this Annual Report on Form 10-K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any forward-looking statements to reflect developments or information obtained after the date of this Annual Report on Form 10-K, except to the extent required by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Vistance Networks, Inc. was incorporated in Delaware on October 22, 2010 as CommScope Holding Company, Inc., and our initial public offering for our common stock was on October 25, 2013. Effective January 14, 2026, we changed our legal name from CommScope Holding Company, Inc. to Vistance Networks, Inc. Since our founding as an independent company in 1976, we have played a significant role in many of the world’s leading communication networks. Our evolution has been driven by technological innovation and strategies that expanded our product offerings and complemented our existing solutions. We are a global provider of infrastructure solutions that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(IPTV)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2025, excluding our discontinued operations, we have a team of over 4,500 people who serve our customers in over 70 countries. Our customers include substantially all the leading global telecommunications operators, data center managers, cable television providers or multi-system operators (MSOs) and thousands of enterprise customers, including many Fortune 500 companies. We have long-standing, direct relationships with our customers and serve them through a direct sales force, supplemented by a global network of channel partners.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Since 2021, we have been engaged in a transformation initiative designed to drive shareholder value through three pillars: profitable growth, operational efficiency and portfolio optimization. We continue to focus on driving operational efficiencies and other cost savings initiatives, as well as portfolio optimization, all of which enabled us to take advantage of the recovery in demand that we started to see beginning in late 2024 and continuing through 2025. We continue to analyze the impacts of the recently announced tariffs under the current U.S. administration; however, we believe we have a manageable plan in place to mitigate any potential impacts. Our approach of focusing on matters in our control has driven improved results in 2025 and will remain our focus into 2026. As a result, we incurred $19.7 million, $36.7 million and $29.4 million of net restructuring costs and $29.9 million, $63.4 million and $27.1 million of transaction, transformation and integration costs during the years ended December 31, 2025, 2024 and 2023, respectively, primarily related to our transformation initiative. We expect to continue to incur such costs during 2026 as we continue executing on our transformation initiative, and the resulting charges and cash requirements could be material.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194"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During the years ended December 31, 2023, 2024 and 2025, we executed several strategic transactions that are further described in Note 3 and Note 4 in the Notes to Consolidated Financial Statements included elsewhere in this Annual Report on Form 10-K. These transactions included the acquisition of certain assets of Casa Systems, Inc. (Casa), as well as multiple divestitures, including the Home business, the Outdoor Wireless Networks (OWN) segment, the Distributed Antenna Systems (DAS) business unit, the OneCell business, and the Connectivity and Cable Solutions (CCS) segment. Several of these divestitures met the criteria for discontinued operations under Accounting Standard Codification (ASC) 205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and "held for sale" classification under ASC 360-10,</w:t>
      </w:r>
      <w:r>
        <w:rPr>
          <w:rFonts w:ascii="Times New Roman" w:cs="Times New Roman" w:eastAsia="Times New Roman" w:hAnsi="Times New Roman"/>
          <w:sz w:val="18"/>
          <w:szCs w:val="18"/>
          <w:i w:val="1"/>
          <w:iCs w:val="1"/>
          <w:color w:val="auto"/>
        </w:rPr>
        <w:t xml:space="preserve"> Impairment and Disposal of Long Lived Assets. </w:t>
      </w:r>
      <w:r>
        <w:rPr>
          <w:rFonts w:ascii="Times New Roman" w:cs="Times New Roman" w:eastAsia="Times New Roman" w:hAnsi="Times New Roman"/>
          <w:sz w:val="18"/>
          <w:szCs w:val="18"/>
          <w:color w:val="auto"/>
        </w:rPr>
        <w:t>Detailed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gain or loss recognition, held for sale measurements, and the related balance sheet, statement of operations, and statement of cash flow impacts are included within those notes.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Renaming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April 1, 2025, following the divestiture of the DAS business unit, we renamed our Networking, Intelligent Cellular &amp; Security Solutions (NICS) segment to RUCKUS. The name change did not impact our operating or reportable segment structure, chief operating decision maker (CODM) reporting or historical segment results. Historical activities occurring prior to the effective date are referenced under the former NICS name.</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the CCS segment, and effective upon the closing of that transaction on January 9, 2026, we renamed our Access Network Solutions (ANS) segment to Aurora Networks (Aurora). The name change did not impact our operating or reportable segment structure, CODM reporting or historical segment results. Historical activities occurring prior to the effective date are referenced under the former ANS name.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Realignments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better align product oversight with how the business is managed:</w:t>
      </w:r>
    </w:p>
    <w:p>
      <w:pPr>
        <w:spacing w:after="0" w:line="117" w:lineRule="exact"/>
        <w:rPr>
          <w:sz w:val="20"/>
          <w:szCs w:val="20"/>
          <w:color w:val="auto"/>
        </w:rPr>
      </w:pPr>
    </w:p>
    <w:p>
      <w:pPr>
        <w:ind w:left="1020" w:right="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a product line was transferred from the RUCKUS (formerly NICS) segment to the Aurora (formerly ANS) segment.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2024, certain product lines were transferred from the CCS segment (which became a discontinued operation in the fourth quarter of 2025) to the Aurora (formerly ANS)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prior periods presented have been recast to reflect these organizational changes.</w:t>
      </w:r>
    </w:p>
    <w:p>
      <w:pPr>
        <w:spacing w:after="0" w:line="22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discussions in these consolidated financial statements relate solely to our continuing operations, unless otherwise noted. As a result, we are reporting financial performance based on the following remaining reportable segments: RUCKUS and Aurora. For further discussion of the discontinued operations related to the CCS segment, OWN segment, DAS business unit and Home business, see Note 4 in the Notes to Consolidated Financial Statements included elsewhere in this Annual Report on Form 10-K.</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revenues were $1.93 billion and our income from continuing operations was $324.3 million. For further discussion of our current and prior year financial results, see Part II, Item 7, “Management’s Discussion and Analysis of Financial Condition and Results of Operations” and the Consolidated Financial Statements included in Part II, Item 8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divestitures described above, we are now reporting financial performance based on the following remaining reportable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RUCKUS and Aurora. The distribution of net revenues among our reportable segments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2080" w:type="dxa"/>
            <w:vAlign w:val="bottom"/>
            <w:tcBorders>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57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RUCKUS</w:t>
            </w:r>
          </w:p>
        </w:tc>
        <w:tc>
          <w:tcPr>
            <w:tcW w:w="10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36.2%</w:t>
            </w:r>
          </w:p>
        </w:tc>
        <w:tc>
          <w:tcPr>
            <w:tcW w:w="22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22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Aurora</w:t>
            </w:r>
          </w:p>
        </w:tc>
        <w:tc>
          <w:tcPr>
            <w:tcW w:w="1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63.8%</w:t>
            </w: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60.5%</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r>
      <w:tr>
        <w:trPr>
          <w:trHeight w:val="20"/>
        </w:trPr>
        <w:tc>
          <w:tcPr>
            <w:tcW w:w="4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46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22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22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844"/>
        </w:trPr>
        <w:tc>
          <w:tcPr>
            <w:tcW w:w="4600" w:type="dxa"/>
            <w:vAlign w:val="bottom"/>
            <w:tcBorders>
              <w:top w:val="single" w:sz="8" w:color="CCECFF"/>
            </w:tcBorders>
          </w:tcPr>
          <w:p>
            <w:pPr>
              <w:spacing w:after="0"/>
              <w:rPr>
                <w:sz w:val="24"/>
                <w:szCs w:val="24"/>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top w:val="single" w:sz="8" w:color="auto"/>
            </w:tcBorders>
          </w:tcPr>
          <w:p>
            <w:pPr>
              <w:spacing w:after="0"/>
              <w:rPr>
                <w:sz w:val="24"/>
                <w:szCs w:val="24"/>
                <w:color w:val="auto"/>
              </w:rPr>
            </w:pPr>
          </w:p>
        </w:tc>
        <w:tc>
          <w:tcPr>
            <w:tcW w:w="460" w:type="dxa"/>
            <w:vAlign w:val="bottom"/>
            <w:tcBorders>
              <w:top w:val="single" w:sz="8" w:color="CCECFF"/>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60" w:type="dxa"/>
            <w:vAlign w:val="bottom"/>
            <w:tcBorders>
              <w:top w:val="single" w:sz="8" w:color="CCECFF"/>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-1070610</wp:posOffset>
            </wp:positionV>
            <wp:extent cx="111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-1053465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-1070610</wp:posOffset>
            </wp:positionV>
            <wp:extent cx="111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-1053465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-1070610</wp:posOffset>
            </wp:positionV>
            <wp:extent cx="111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-1053465</wp:posOffset>
            </wp:positionV>
            <wp:extent cx="111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RUCKUS (2025 Net Sales of $0.7 billion)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RUCKUS segment provides wireless networks for enterprises and service providers. Product offerings include indoor cellular solutions such as indoor and outdoor Wi-Fi and long-term evolution (LTE) access points, access and aggregation switches; an Internet of Things (IoT) suite, on-premises and cloud-based control and management systems; and software and software-as-a-service applications addressing security, location, reporting and analytics.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Aurora (2025 Net Sales of $1.2 billion)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Aurora segment’s product solutions include cable modem termination systems (CMTS), video infrastructure, public key infrastructure solutions, distribution and transmission equipment and cloud solutions that enable facility-based service providers to construct a state-of-the-art residential and metro distribution network.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participate in the large and growing global market for connectivity and essential communications infrastructure. This market is being driven by the growth in bandwidth demand associated with the continued demand of smartphones, tablets and machine-to-machine (M2M) communication as well as the proliferation of data centers, Big Data, cloud-based services, streaming media content and IoT. In addition, video distribution over the broadband IP network is transforming how content is managed and consumed. IP facilitates new forms of video such as Over-the-Top (OTT) and interactive television. We continue to see a mix of connectivity needs in homes, in offices and while on the move. We also continue to see higher downstream usage than upstream network usage. Additionally, the network has become more interactive, driving higher bandwidth and the need for lower latency.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several major trends that we expect to continue to drive network deployments and investment, including the following: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Evolution of Network Architecture and Technology</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pace of change in networking continues to increase as consumers and data-driven businesses utilize more bandwidth and cloud and mobile applications. Exponential growth in video and mobile data consumption is continuing to revolutionize how we connect to each other and changing the network architecture needed to support consumer demand. This trend requires better network coverage, greater broadband access, and increased capacity and data storage.</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customers are continuing to develop networks that are faster, more responsive, more efficient and more reliable. We believe the following key network trends will continue to impact the Company and the industry during 2026:</w:t>
      </w:r>
    </w:p>
    <w:p>
      <w:pPr>
        <w:spacing w:after="0" w:line="50" w:lineRule="exact"/>
        <w:rPr>
          <w:sz w:val="20"/>
          <w:szCs w:val="20"/>
          <w:color w:val="auto"/>
        </w:rPr>
      </w:pPr>
    </w:p>
    <w:p>
      <w:pPr>
        <w:ind w:left="760" w:right="220" w:hanging="378"/>
        <w:spacing w:after="0" w:line="26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Convergence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Operators are continuing to move toward converged or multi-use network architectures. Rather than building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wireline and wireless networks, operators are utilizing networks that combine voice, video and data communications into a single converged data network for wired and wireless services.</w:t>
      </w:r>
    </w:p>
    <w:p>
      <w:pPr>
        <w:spacing w:after="0" w:line="62" w:lineRule="exact"/>
        <w:rPr>
          <w:rFonts w:ascii="Times New Roman" w:cs="Times New Roman" w:eastAsia="Times New Roman" w:hAnsi="Times New Roman"/>
          <w:sz w:val="18"/>
          <w:szCs w:val="18"/>
          <w:color w:val="auto"/>
        </w:rPr>
      </w:pPr>
    </w:p>
    <w:p>
      <w:pPr>
        <w:ind w:left="760" w:right="360" w:hanging="378"/>
        <w:spacing w:after="0" w:line="26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Disruption by OTT TV: </w:t>
      </w:r>
      <w:r>
        <w:rPr>
          <w:rFonts w:ascii="Times New Roman" w:cs="Times New Roman" w:eastAsia="Times New Roman" w:hAnsi="Times New Roman"/>
          <w:sz w:val="18"/>
          <w:szCs w:val="18"/>
          <w:color w:val="auto"/>
        </w:rPr>
        <w:t>Although content consumption continues to increase, subscriptions to pay TV continue declining.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cable operators are continuing to invest in upgrades to their networks for broadband but continue to have mixed feelings about investments in their video and voice services. While past data trends have been defined by rapid growth in the downstream, more interactive experiences and IoT are driving the need for major network change in the upstream.</w:t>
      </w:r>
    </w:p>
    <w:p>
      <w:pPr>
        <w:spacing w:after="0" w:line="68" w:lineRule="exact"/>
        <w:rPr>
          <w:rFonts w:ascii="Times New Roman" w:cs="Times New Roman" w:eastAsia="Times New Roman" w:hAnsi="Times New Roman"/>
          <w:sz w:val="18"/>
          <w:szCs w:val="18"/>
          <w:color w:val="auto"/>
        </w:rPr>
      </w:pPr>
    </w:p>
    <w:p>
      <w:pPr>
        <w:ind w:left="760" w:hanging="378"/>
        <w:spacing w:after="0" w:line="275"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Virtualization, Centralization and Disaggregation: </w:t>
      </w:r>
      <w:r>
        <w:rPr>
          <w:rFonts w:ascii="Times New Roman" w:cs="Times New Roman" w:eastAsia="Times New Roman" w:hAnsi="Times New Roman"/>
          <w:sz w:val="17"/>
          <w:szCs w:val="17"/>
          <w:color w:val="auto"/>
        </w:rPr>
        <w:t>Operators are continuing to virtualize and centralize their networks to make them more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flexible and efficient. Wireless operators have deployed centralized radio access networks (CRAN) as a first step in the evolution to a virtualized radio access network. This enables servers and switches to replace some of the hardware-specific equipment that exists today and allows much of the processing to be performed on general purpose processors wherever and whenever it is needed throughout the network. Cable operators have also virtualized their networks by moving from a traditional converged cable access platform (CCAP) architecture to a distributed access architecture (DAA). This moves some of the processing from the head end to the node and virtualizes the rest on traditional switches and servers.</w:t>
      </w:r>
    </w:p>
    <w:p>
      <w:pPr>
        <w:spacing w:after="0" w:line="60" w:lineRule="exact"/>
        <w:rPr>
          <w:rFonts w:ascii="Times New Roman" w:cs="Times New Roman" w:eastAsia="Times New Roman" w:hAnsi="Times New Roman"/>
          <w:sz w:val="17"/>
          <w:szCs w:val="17"/>
          <w:color w:val="auto"/>
        </w:rPr>
      </w:pPr>
    </w:p>
    <w:p>
      <w:pPr>
        <w:ind w:left="760" w:right="20" w:hanging="378"/>
        <w:spacing w:after="0" w:line="259"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Low Latency Services: </w:t>
      </w:r>
      <w:r>
        <w:rPr>
          <w:rFonts w:ascii="Times New Roman" w:cs="Times New Roman" w:eastAsia="Times New Roman" w:hAnsi="Times New Roman"/>
          <w:sz w:val="18"/>
          <w:szCs w:val="18"/>
          <w:color w:val="auto"/>
        </w:rPr>
        <w:t>To support the increased demands of a growing game-playing subscriber base, all operators are continuing to seek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ways to reduce the latency and jitter of the gaming packet streams. Low latency Data Over Cable Service Interface Specification (DOCSIS) technologies are being added to CMTS and customer premises equipment (CPE) gear. Node-splits are also used to reduce congestion. Over time, we expect these low latency services to allow support of Web3.0 and the metaverse, as access networks are increasing and used in a more interactive way.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82" w:lineRule="exact"/>
        <w:rPr>
          <w:sz w:val="20"/>
          <w:szCs w:val="20"/>
          <w:color w:val="auto"/>
        </w:rPr>
      </w:pPr>
    </w:p>
    <w:p>
      <w:pPr>
        <w:ind w:left="760" w:right="20" w:hanging="378"/>
        <w:spacing w:after="0" w:line="26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Capacity Expansion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providers continue to be cognizant of the need to stay ahead of the traffic growth that occurs every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traffic growth results from increases in average subscriber consumption levels and in maximum service level agreement (SLA) levels. Cable providers are adding spectrum in both the upstream and downstream. Additionally, some operators are beginning their upgrade path to DOCSIS 4.0 in certain regions of their networks. New DOCSIS equipment is needed for this expansion.</w:t>
      </w:r>
    </w:p>
    <w:p>
      <w:pPr>
        <w:spacing w:after="0" w:line="68" w:lineRule="exact"/>
        <w:rPr>
          <w:rFonts w:ascii="Times New Roman" w:cs="Times New Roman" w:eastAsia="Times New Roman" w:hAnsi="Times New Roman"/>
          <w:sz w:val="18"/>
          <w:szCs w:val="18"/>
          <w:color w:val="auto"/>
        </w:rPr>
      </w:pPr>
    </w:p>
    <w:p>
      <w:pPr>
        <w:ind w:left="760" w:right="120" w:hanging="378"/>
        <w:spacing w:after="0" w:line="25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Government-Sponsored Broadband Improvements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government-sponsored programs aimed at improving the Broadband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connecting to rural and other under-served areas launched in the second half of 2022. The funds from these programs and initiatives to build more equitable access—in particular, in the United States (U.S.), the Broadband Equity, Access, and Deployment (BEAD) Program, American Rescue Plan Act (ARPA), Rural Digital Opportunity Fund (RDOF)—are expected to drive technology and device sales across the board. The U.S. initiatives aim to ensure that every person in the U.S. has access to reliable and affordable broadband by 2030. While we saw minimal investment under the BEAD Program in 2024, we expect more funds to be distributed in the second half of 2025.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Fiber Deep Deployments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Residential and business bandwidth consumption continues to grow. The proliferation of OTT video, multiscreen viewing, cloud services and social media are continuing to prompt operators to accelerate fiber deployment. Operators are increasing network capacity by installing fiber deeper into their networks. Although consumer devices are increasingly connected to the network via a wireless connection such as LTE or Wi-Fi, these wireless access points must have abundant optical backhaul capacity available to provide consumers the experience they expect. Operators around the globe are deploying fiber deep to build next generation networks. These networks use the capabilities of fiber to enable consumers access to content at higher speeds with improved network response time.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networks improve and deliver higher speed and greater reliability, many operators have chosen to provide both residential and business services over a common physical layer infrastructure, saving them time and money. In addition, with the deployments of metro cells, outdoor small cells and fixed wireless broadband to the home, these same service providers are utilizing this common physical layer infrastructure to provide connectivity to these wireless access points.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Ethernet passive optical networks (EPON) and XGS-PON are both being included in the plans of network operators, and we have developed optical line terminal (OLT) for both technologies.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to Wi-Fi 7</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Wi-Fi 7, the latest generation of tri-band (2.4/5/6GHz) Wi-Fi, is designed to deliver unparalleled performance. It aims to provide extremely high throughput, near-wired levels of latency and increased capacity, enabling immersive and content-rich wireless experiences in cutting-edge applications such as XR, gaming, 4K/8K streaming and real-time collaboration. Wi-Fi 7 is expected to deliver exceptional user experiences and empower an entirely new class of advanced connected devices and demanding applications through the most efficient use of spectrum.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Since 2021, we have been engaged in a transformation initiative designed to drive shareholder value through three pillars: profitable growth, operational efficiency and portfolio optimization. We continue to focus on driving operational efficiencies and other cost savings initiatives, as well as portfolio optimization, all of which enabled us to take advantage of the recovery in demand that we started to see beginning in late 2024 and continuing through 2025. We continue to analyze the impacts of the recently announced tariffs under the current U.S. administration; however, we believe we have a manageable plan in place to prepare for potential impacts. Our approach of focusing on matters in our control has driven improved results in 2025 and will remain our focus into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Profitable Growth</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Organic growth is fundamental to achieving the financial returns that investors expect from us. While acquisitions and inorganic growth can change the structure of a business and reset financial expectations resulting in short-term financial returns, the most reliable means for consistently producing long-term positive financial performance is strong organic growth. Our plan to achieve our growth opportunities are driven by five themes: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left="1020" w:right="5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more market and customer centric – work to truly understand the needs of our customers and applications for data and video networking solutions.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to service providers outside of North America – expand market share with service providers in the rest of the world.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enterprise sales coverage – enhance sales coverage in historically underpenetrated top metropolitan statistical areas and verticals in North America, as well as targeted country/vertical combinations around the world.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new products and scale software solutions – build and scale our differentiated products, software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capacity – expand capacity for products with high backlog, fast growth and long-term demand visibility.</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underpinning of our growth opportunities is also optimizing pricing across our products and solutions. We are revamping our pricing processes, policies, tools and governance structure to simplify and create more ownership and accountability so that we can better react to changes in the market and maintain acceptable margins.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Efficiency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pursuing strategic initiatives aimed at optimizing our utilization of resources by improving direct procurement processes, increasing transparency and control over indirect procurement spend, driving operational improvements to lower costs and streamlining and optimizing our period overhead cost structure. Our management team has a strong track record of improving operational efficiency and successfully executing on formalized annual profit improvement plans, cost-savings initiatives and working capital improvements to drive future profitability and cash flow.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Optimization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utilize a general management model in our segments. This enables us to manage our portfolio more granularly, assign responsibilities and build a culture of accountability and ownership. We continuously review our portfolio and look for ways to better manage and optimize our product offerings. We also regularly review our product offerings, business lines and segments and holistically assess opportunities to deliver the most value to stakeholders.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step in optimizing our portfolio, we have proven our commitment in determining the ideal strategic opportunities for the CCS segment, OWN segment, DAS business unit, OneCell business and Home business. As discussed above, we believe the divestitures of the CCS segment subsequent to fiscal year end in January 2026, the OneCell business in May 2025, the OWN segment and DAS business unit in January 2025 and the Home business in January 2024 were the optimal opportunities for their future success.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Additionally, we completed the Casa Transaction in June 2024 which has strengthened our Aurora (formerly ANS) segment’s position by enhancing the segment’s virtual cable modem termination systems and passive optical network product offerings.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already positioned as a leader in our current segments and will work to defend our leadership in the more mature parts of these markets, while also shifting resources towards our targeted growth choices within them. With our transformation initiatives, we are striving to achieve the following:</w:t>
      </w:r>
    </w:p>
    <w:p>
      <w:pPr>
        <w:spacing w:after="0" w:line="5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organic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well-positioned comprehensive portfolio of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Stimulate market leading innovation, delivering powerful software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world class operational efficiency and cost structures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Architect a simplified organization, with more accountability, responsibility and visibility</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 w:name="page8"/>
    <w:bookmarkEnd w:id="7"/>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transformation initiatives allow us to continue transforming our organization into one that has better operational efficiency, speed and resilience and one that can better service our existing customers, as well as new ones. As demand in our industry has recovered, we expect our transformation initiative to continue driving adjusted EBITDA expansion that will enable us to increase our cash flow and further invest in our growth.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customers include substantially all the leading global telecommunications operators, data center managers, cable television providers or MSOs and thousands of enterprise customers, including many Fortune 500 companies. Major customers and distributors include companies such as Comcast Corporation (Comcast); TD SYNNEX Corporation; Charter Communications, Inc.; WAV, LLC; Rogers Communication Inc.; Optimum Communications, Inc.; and Exclusive Networks USA, Inc. For the year ended December 31, 2025, we derived approximately 35% of our consolidated net sales from our top direct customer.</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Products from our RUCKUS segment are primarily sold through independent distributors or system integrators for large telecommunications operators and to customers in a broad range of enterprise vertical markets, including hospitality, education, smart cities, government, venues and service providers, indirectly through channel partners. We also sell directly to managed service providers (MSPs) and service providers that deploy broadband networks. In certain circumstances, we sell RUCKUS segment products directly to end customers, but it is a relatively small part of the overall business.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Products from our Aurora segment are primarily sold directly to wireline network service providers, such as telephone companies and cable television network providers, to be deployed into their service delivery networks. In some cases, we sell through specialized resellers and distributors who primarily provide logistics support, and in certain circumstances, post-sale service and support. Our customer service and engineering groups maintain close working relationships with these customers due to the significant amount of customization associated with some of these products. We sell these products to most of the wireline and satellite operators globally.</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generally have no minimum purchase commitments from any of our distributors, system integrators, channel partners, value-added resellers, wireless operators or OEM customers, and our contracts with these parties generally do not prohibit them from purchasing from our competitors or offering products or services that compete with ours. Although we maintain long-term relationships with these parties and have not historically lost key customers, we have experienced significant variability in the level of purchases by our key customers. Any significant reduction in sales to these customers, including as a result of the inability or unwillingness of these customers to continue purchasing our products, could materially and adversely affect our business, financial condition, results of operations and cash flows. See Part 1, Item 1A, “Risk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markets in which we participate are dynamic and highly competitive, requiring companies to react quickly to capitalize on opportunity. We retain skilled and experienced personnel and deploy substantial resources to meet the changing demands of the industry and to capitalize on change. The market for our products is also subject to rapid technological change.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encounter significant domestic and international competition across all segments of our business. Our competitors include large, diversified companies some of whom have substantially more assets and greater financial resources than we do. We also face competition from small to medium-sized companies and less diversified companies that have concentrated efforts in one or more areas of the markets we serve. Major competitors by segment include the following: RUCKUS segment – Cisco Systems, Inc., Extreme Networks, Inc., Hewlett Packard Enterprise Development LP, Huawei Technologies Co., Ltd., and Ubiquiti Inc.; and Aurora segment – ATX Networks Corp., Harmonic Inc., Technetix Group Limited, Teleste Oyj and Vecima Networks Inc.</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compete primarily on the basis of delivering solutions, product specifications, quality, price, customer service and delivery time. We believe that we differentiate ourselves in many of our markets based on our market leadership, global sales channels, intellectual property, strong reputation with our customer base, the scope of our product offering, the quality and performance of our solutions, and our service and technical support.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a global leader in connectivity and essential infrastructure solutions for communications, enterprise, service provider and entertainment networks. We operate through our Aurora and RUCKUS segments, and we believe we hold leading market positions in key areas of our business. In the cable television and video network equipment industry, Aurora is a longstanding market leader, offering products historically sold under the ARRIS brand, including infrastructure and access network solutions. Through RUCKUS, we provide purpose-driven networking solutions to customers across the enterprise, including hard radio frequency/high density environments such as stadiums, campuses, hospitality and multi-dwelling units.</w:t>
      </w:r>
    </w:p>
    <w:p>
      <w:pPr>
        <w:spacing w:after="0" w:line="183" w:lineRule="exact"/>
        <w:rPr>
          <w:sz w:val="20"/>
          <w:szCs w:val="20"/>
          <w:color w:val="auto"/>
        </w:rPr>
      </w:pPr>
    </w:p>
    <w:p>
      <w:pPr>
        <w:ind w:right="2820"/>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have been instrumental to our success and position us well for future growth and strong financial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Differentiated Solutions Supported by Ongoing Innovation and Significant Proprietary Intellectual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integrated solutions for building better networks are differentiated in the marketplace and are a significant global competitive advantage. We invested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$283.5 million in research and development (R&amp;D) during 2025 to advance product innovation and decrease total cost of deployment and ownership.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innovation, supported by proprietary intellectual property and technology know-how, has allowed us to build and sustain a competitive advantage.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Established Sales Channels and Customer Relationships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serve customers in over 70 countries and have become a trusted advisor to many of them through our industry expertise, quality products, leading technology and long-term relationships. These factors enable us to provide mission-critical connectivity solutions that our customers need to build and maintain high-performing communication networks. Our customers include substantially all the leading global telecommunications operators, data center managers, cable television providers or MSOs and thousands of enterprise customers, including many Fortune 500 companies. We are a key supplier within the wireless infrastructure market and enjoy established sales channels across all geographies and technologies. Our long-standing relationships with telecommunications operators enable us to work closely with them in providing highly customized solutions aligned with their technology roadmaps. We have a global sales force with sales representatives based in North America, Europe, Latin America, Asia and other regions, and an extensive global network of channel partners, including independent distributors, system integrators and value-added resellers. Our sales force has direct relationships with our customers and end users which generates demand for our products, with a significant portion of our sales fulfilled through channel partners. Our direct sales force and channel partner relationships give us extensive reach and distribution capabilities to customers globally. Given our understanding of their existing networks, when it comes to deploying networks at scale, these customers trust us and hold high regards for our ability to help them achieve their goals.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Scale and Quality</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global manufacturing and distribution footprint and worldwide sales force give us significant scale within our addressable markets. We believe our scale, stability and quality make us an attractive strategic partner to our large global customers, and we have been repeatedly recognized by key customers for these attributes.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combination of our dynamic manufacturing organization, our global network of third-party manufacturers and our distribution organization allows us to:</w:t>
      </w:r>
    </w:p>
    <w:p>
      <w:pPr>
        <w:spacing w:after="0" w:line="54"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 our capacity to meet market demand and expand our market position;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high-quality customer solutions;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high customer service levels due to proximity to the customer;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integrate acquisitions and capitalize on related synergies.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Distribution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maintain a balance of internal and external manufacturing providers to continue offering our customers a competitive combination of quality, cost and flexibility in meeting their needs. We develop, design, fabricate, manufacture and assemble many of our products and solutions in-house at our facility. We have strategically located our manufacturing and distribution facility to provide superior service levels to customers. We utilize a lower-cost geography for high labor content products.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9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addition, we utilize contract manufacturers located throughout the world for many of our product groups, including certain products in our Aurora segment and all of our RUCKUS products. There can be no guarantee that the Company will be able to extend or renew agreements with contract manufacturers on similar terms, or at all.</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global footprint allows us to mitigate macroeconomic headwinds in an everchanging environment. We continuously evaluate and adjust operations to improve service, lower cost and improve the return on our capital investments, and we expect to continue modifying our global operations to adapt to changing product demand and business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Components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products are manufactured or assembled from both standard components and parts that are unique to our specifications. Our internal manufacturing operation is largely process oriented and we use significant quantities of various raw materials, including aluminum, copper, steel and optical fiber, among others. Portions of the requirements for these materials are purchased under supply arrangements where some portion of the unit pricing may be indexed to commodity market prices for these metals. We may occasionally enter forward purchase commitments or otherwise secure availability for specific commodities to mitigate our exposure to price changes for a portion of our anticipated purchases. Certain of the raw materials utilized in our products may only be available from a few suppliers, and we may enter into longer term agreements to secure access to certain key inputs. We may, therefore, encounter significant price increases and/or availability issues for the materials we obtain from these suppliers as we have seen in recent years. These supply chain constraints have limited our ability to manufacture and deliver products to our customers in the past and could have similar impacts in the future.</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profitability has been and may continue to be materially affected by changes in the market price of our raw materials and components, most of which are linked to the commodity markets. Prices for aluminum, copper and silicon derived from oil and natural gas have fluctuated substantially during the past several years. We have adjusted our prices for certain products and may have to adjust prices again. Delays in implementing price increases, failure to achieve market acceptance of price increases, or price reductions in response to a rapid decline in raw material costs, could have a material adverse impact on the results of our operations.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some of our products are assembled from specialized components and subassemblies manufactured by third-party suppliers. We depend upon sole suppliers for certain of these components, including capacitors, memory devices and silicon chips. Our results of operations have been and may continue to be materially affected if these suppliers cannot provide these components in sufficient quantity and quality on a timely and cost-efficient basis. We believe that our supply contracts and our supplier contingency plans mitigate some of this risk. Our supply agreements include technology licensing and component purchase contracts, and several of our competitors have similar supply agreements for these components. There can be no guarantee that the Company will be able to extend or renew these supply agreements on similar terms, or at all. In addition, we license software for operating network and security systems or sub-systems and a variety of routing protocols from different suppliers.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We operate in an industry that is subject to rapid changes in technology, and our success is largely contingent upon anticipating and reacting to such changes. Accordingly, R&amp;D is important to preserve and expand our position as a market leader and to provide the most technologically advanced solutions in the marketplace. We invested $283.5 million in R&amp;D during 2025, and we expect to continue with certain investments in future years. We intend to focus our major R&amp;D activities on high-growth opportunities such as Wi-Fi 7 and 6GHz, cloud management systems, AI-driven network automation and converged operational/information technology solutions, CCAP, DAA, DOCSIS 4.0 and passive optical network (PON). We are also developing solutions that support the convergence of wired and wireless networks in connection with the rollout of 5G. Several of our professionals are leaders and active contributors in standards-setting organizations, which helps ensure that our products can be formulated to achieve broad market acceptance.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Seasonality</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At December 31, 2025 and 2024, we had an order backlog of $631.8 million and $609.2 million, respectively. Orders typically fluctuate from quarter to quarter based on customer demand and general business conditions. Our backlog includes only orders that are believed to be firm. Sometimes, unfilled orders may be canceled prior to shipment of goods, but cancellations historically have not been material. However, our current order backlog may not guarantee future demand. We expect a majority of our backlog as of December 31, 2025 to be recognized as revenue during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Due to the variability of shipments under large contracts, customers’ seasonal installation considerations and variations in product mix and in profitability of individual orders, we can experience significant fluctuations in quarterly sales and operating income. Our operating performance is typically the weakest during the first quarter, and this pattern is expected to continue in the future. It may be more meaningful to focus on our annual rather than interim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pursue an active policy of seeking intellectual property protection, including patents and registered trademarks, for new products and designs. For technology that is not owned by us, we have a program for obtaining appropriate licenses to help ensure that we have the necessary license coverage for our products. In addition, we have formed strategic relationships with leading technology companies to provide us with early access to technology that we believe will help keep us at the forefront of our industry.</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2025, we held over 2,700 patents and patent applications and over 590 registered trademarks and trademark applications worldwide. Over the next five years, approximately 228, or 12%, of our issued patents will expire, while at the same time we intend to seek patents protecting new innovations</w:t>
      </w:r>
      <w:r>
        <w:rPr>
          <w:rFonts w:ascii="Arial" w:cs="Arial" w:eastAsia="Arial" w:hAnsi="Arial"/>
          <w:sz w:val="19"/>
          <w:szCs w:val="19"/>
          <w:i w:val="1"/>
          <w:iCs w:val="1"/>
          <w:color w:val="auto"/>
        </w:rPr>
        <w:t>.</w:t>
      </w:r>
      <w:r>
        <w:rPr>
          <w:rFonts w:ascii="Times New Roman" w:cs="Times New Roman" w:eastAsia="Times New Roman" w:hAnsi="Times New Roman"/>
          <w:sz w:val="18"/>
          <w:szCs w:val="18"/>
          <w:color w:val="auto"/>
        </w:rPr>
        <w:t xml:space="preserve"> We consider our patents and trademarks to be valuable assets, and although no single patent is material to our overall operations, we believe the RUCKUS NETWORKS, AURORA NETWORKS and VISTANCE NETWORKS trade names and related trademarks are important assets to our business. We intend to rely on our intellectual property rights, including our proprietary knowledge, trade secrets and continuing technological innovation, to develop and maintain our competitive position. From time to time there are disputes with respect to the ownership of the technology used in our industry and accusations of patent infringements. We will continue to protect our key intellectual property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are subject to various domestic and international government regulations. For example, our international operations expose us to increased challenges in complying with anti-corruption laws and regulations of the U.S. government and various other international jurisdictions. We are also subject to governmental export and import regulations and sanctions programs that could subject us to liability or impair our ability to compete in international markets. In addition, because of the nature of information that may pass through or is stored on our solutions or networks, we and our end customers may be subject to complex and evolving U.S. and foreign laws and regulations regarding information privacy, data protection, cybersecurity and other matters. Further, we are subject to various federal, state, local and foreign environmental laws and regulations governing, among other things, substances used in our products, discharges to air and water, management of regulated materials, handling and disposal of solid and hazardous waste, and investigation and remediation of contaminated sites. These descriptions are not exhaustive, and these laws, regulations and rules frequently change and are increasing in number. See Part I, Item 1A, “Risk Factors” for additional discussion of our risks related to government laws and regulations.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that corporate responsibility and sustainability means making decisions that have a positive impact on our people, planet and bottom line. Our company-wide sustainability mission is to enable faster, smarter and more sustainable solutions while demonstrating the utmost respect for our human and natural resources. Innovative technology, intelligent engineering and energy efficient design help us to build more sustainable networks that make our customers more agile, while at the same time allowing us to preserve the natural ecosystems from which we source our raw materials.</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While we may provide technological solutions, it is our people who make the real difference in our communities. Their commitment to our customers, fellow employees and the communities in which they live and work drives them to provide creative solutions, services and practices that are safe and sustainable for our environment and future generations.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understand how important it is to consider the larger impact of our actions beyond the balance sheet. We are proud of our significant standing in one of the world’s most vital and dynamic industries. We are making great progress in delivering our sustainability actions while advancing the industry and creating a better and sustainable tomorrow. For the sake of our current and future generations, we will continue to grow as a sustainable, environmentally conscious business that benefits the whole planet.</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additional information, which is not incorporated by reference in this Annual Report on Form 10-K, see our Corporate Responsibility &amp; Sustainability pages on the our website: https://www.vistancenetworks.com/corporate-responsibility-and-sustainability/.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that human capital management, including attracting, developing and retaining a high-quality workforce, is critical to our long-term success. Our Board of Directors and its Committees provide oversight on a broad range of human capital management topics, including corporate culture, compensation and benefits, organizational development and succession planning, and employee health, safety and well-being, to name a few.</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employed approximately 4,500 people worldwide as of December 31, 2025, with approximately 22% classified as manufacturing employees. These manufacturing employees are primarily located in Mexico. Our U.S. workforce includes approximately 1,700 employees, comprised of mostly non-manufacturing employees. We are party to numerous works’ councils or similar statutory arrangements outside of the U.S. (none in the U.S.) and believe that relations with our employees are generally good.</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Protecting the safety, health, and well-being of our associates around the world is one of our top priorities. We strive to achieve an injury-free work environment. We believe that our inclusive culture is a competitive advantage that fuels innovation, enhances our ability to attract and retain top talent and strengthens our reputation. We are also committed to providing competitive rewards and the continued growth and development of our employees through a variety of global training and development opportunities that build and strengthen employees’ leadership and professional skills. Lastly, we aim to provide a positive employee experience and workplace environment that engages all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collaborate and innovate to create the world’s most advanced networks driven by our passionate employees who deliver on this vision every day.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Health, Safety and Well-being</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employees’ health, safety and well-being are a top priority. We are always seeking opportunities to protect the well-being of our employees, customers, suppliers, environment and communities.</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 commitment to business practices that are innovative, safe and sustainable is key to our success. To achieve this, we maintain a robust Environment, Health &amp; Safety (EHS) management system, set objectives and targets and measure them accordingly, provide necessary resources, and create a comprehensive well-being and benefits program that supports a culture of safety and health first. Our EHS management system was designed and implemented based on the requirements of the International Standards of ISO45001 and ISO14001.</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seek to inspire a culture of proactive and productive health management so employees make lifestyle decisions that lead to rewarding careers and healthy, balanced lives. To realize this goal, we provide tools, services and programs that help employees achieve and maintain optimal personal health (physical, emotional and financial). The results of our efforts make us stronger and pave a path for innovation, which drives business differentiation, talent engagement and retention.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strive to create an equitable and inclusive environment that draws upon the strength of our diverse workforce to deliver exceptional results for our investors and all key stakeholders. Our global workforce is comprised of individuals of many races, cultures, backgrounds, geographies and experiences. We focus on ensuring inclusion, belonging, equity and well-being in the workplace. We take pride in our culture and support the activities of our global Diversity and Inclusion Business Network (DIBN) that was established in 2020. This broad-based network is open to all employees and provides its members with opportunities to network, learn and lead, grow their careers, and support their communities. The results of our focused efforts make us stronger and pave a path for innovation, which drives business differentiation, talent engagement and retention.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compensate employees equitably, relative to experience and performance, regardless of gender, nationality or disability. Globally, we embrace a pay-for-performance compensation philosophy, conducting pay equity assessments to determine the results of our pay practices. Our compensation plans and programs strive to: attract and retain skilled, high-performing individuals; pay base salaries and provide benefits that are competitive in our industry and the local markets in each country where we operate; and provide short- and long-term incentives (when appropriate) that are tied to exceptional employee and Company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Education, Training and Development</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committed to developing the careers and capabilities of our current and future employees. We manage employees’ performance and goals throughout the year, providing both classroom and virtual training and development opportunities for both our manufacturing and non-manufacturing employees. We believe employees learn best through a combination of work experience, coaching, feedback, training and education.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augment in-person communications with technology to align and manage employees’ performance and goals throughout the year, providing continuous development opportunities through coaching and feedback. We also offer classroom training, virtual facilitated training, as well as an online learning platform that offers a wealth of work-related employee development content (e.g., for managerial, technical and personal development). We focus heavily on interacting with our employees how, when and where it matters most.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pride ourselves on creating a collaborative, engaged and enabled workforce. We define engagement as the strength of the emotional connection and discretionary effort employees put toward their work, their teams and the Company. We believe communication and feedback are integral to building engaged employees and driving a high-performance culture. In support of this, we periodically “take the pulse” of our organization through a global employee engagement survey, one of the ways our global workforce can voice their opinions and provide ongoing feedback. Among other things, the survey seeks to understand how employees experience our values in their day-to-day work in order to measure our cultural health. We also ask questions to determine if employees feel a strong sense of inclusion and belonging, as well as measure overall engagement. With this valuable feedback, we can identify strengths and potential areas for focused improvement. We continue to enhance employee engagement by leveraging technology, enabling managers, emphasizing communication, providing competitive rewards, offering flexible work approaches, encouraging career development opportunities and striving to become a destination for the marketplace's top talent.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reports filed or furnished pursuant to Sections 13(a) and 15(d) of the Securities Exchange Act of 1934, as amended, are available free of charge on the Securities and Exchange Commission's website at www.sec.gov and are also available on our website at www.vistancenetworks.com under Company — Investor Relations as soon as reasonably practicable after we electronically file such material with, or furnish it to, the Securities and Exchange Commission. The information posted to our website is not incorporated elsewhere in this Annual Report on Form 10-K.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i w:val="1"/>
          <w:iCs w:val="1"/>
          <w:color w:val="auto"/>
        </w:rPr>
        <w:t>The following is a cautionary discussion of risks, uncertainties and assumptions that we believe are significant to our business. In addition to the factors discussed elsewhere in this Annual Report on Form 10-K, the following are some of the important factors that, individually or in the aggregate, we believe could make our results differ materially from those described in any forward-looking statements. It is impossible to predict or identify all such factors and, as a result, you should not consider the following factors to be a complete discussion of risks, uncertainties and assumptions related to us or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3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The following is a summary of some of the risks, uncertainties and assumptions that could materially adversely affect our business, financial position, results of operations and cash flows. You should read this summary together with the more detailed description of each risk factor contained below.</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CCS segment that was completed subsequent to fiscal year end on January 9, 2026, we repaid and issued notices of full redemption of our then-existing indebtedness and redeemed all of the outstanding shares of the Series A Convertible Preferred Stock (Convertible Preferred Stock). Therefore, the indebtedness and Convertible Preferred Stock that were outstanding as of December 31, 2025 are no longer considered risks to the Company and are excluded from the risk factor summary and discussions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Risks</w:t>
      </w:r>
    </w:p>
    <w:p>
      <w:pPr>
        <w:spacing w:after="0" w:line="31" w:lineRule="exact"/>
        <w:rPr>
          <w:sz w:val="20"/>
          <w:szCs w:val="20"/>
          <w:color w:val="auto"/>
        </w:rPr>
      </w:pPr>
    </w:p>
    <w:p>
      <w:pPr>
        <w:ind w:left="1020" w:right="24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third-party capital spending for data, communication and entertainment equipment, and reductions in such capital spending could adversely affect our business.</w:t>
      </w: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business is derived from a limited number of key customers and channel partners.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competitive pressures with respect to all our major product groups.</w:t>
      </w:r>
    </w:p>
    <w:p>
      <w:pPr>
        <w:spacing w:after="0" w:line="9"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is highly dependent on the quality of our support services after the sale, and our inability to provide adequate support after the sale would have a material adverse effect on business.</w:t>
      </w:r>
    </w:p>
    <w:p>
      <w:pPr>
        <w:ind w:left="1020" w:right="320" w:hanging="503"/>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environment in which our customers operate and changes in or uncertainty about government funded programs may negatively impact our business.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40"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financing in the future.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recognize additional impairment charges related to goodwill, identified intangible assets, fixed assets and right of use assets.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Risks</w:t>
      </w:r>
    </w:p>
    <w:p>
      <w:pPr>
        <w:spacing w:after="0" w:line="31" w:lineRule="exact"/>
        <w:rPr>
          <w:sz w:val="20"/>
          <w:szCs w:val="20"/>
          <w:color w:val="auto"/>
        </w:rPr>
      </w:pPr>
    </w:p>
    <w:p>
      <w:pPr>
        <w:ind w:left="1020" w:right="22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certain raw materials and components linked to the commodity markets and utilize a limited number of key suppliers for logistics support of certain of these raw materials and components, subjecting us to cost volatility and supply shortages or delays that could limit our ability to manufacture products.</w:t>
      </w:r>
    </w:p>
    <w:p>
      <w:pPr>
        <w:spacing w:after="0" w:line="1"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integrated global manufacturing operations, including our contract manufacturers, suffer capacity constraints or production or shipping delays, we may have difficulty meeting customer demand</w:t>
      </w:r>
      <w:r>
        <w:rPr>
          <w:rFonts w:ascii="Times New Roman" w:cs="Times New Roman" w:eastAsia="Times New Roman" w:hAnsi="Times New Roman"/>
          <w:sz w:val="18"/>
          <w:szCs w:val="18"/>
          <w:color w:val="auto"/>
          <w:strike w:val="1"/>
        </w:rPr>
        <w:t>s</w:t>
      </w:r>
      <w:r>
        <w:rPr>
          <w:rFonts w:ascii="Times New Roman" w:cs="Times New Roman" w:eastAsia="Times New Roman" w:hAnsi="Times New Roman"/>
          <w:sz w:val="18"/>
          <w:szCs w:val="18"/>
          <w:color w:val="auto"/>
        </w:rPr>
        <w:t>.</w:t>
      </w:r>
    </w:p>
    <w:p>
      <w:pPr>
        <w:ind w:left="1020" w:hanging="503"/>
        <w:spacing w:after="0" w:line="207" w:lineRule="exact"/>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supply chain disruptions due to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events.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3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execution of our transformation plan is key to the long-term success of our business.</w:t>
      </w:r>
    </w:p>
    <w:p>
      <w:pPr>
        <w:spacing w:after="0" w:line="22" w:lineRule="exact"/>
        <w:rPr>
          <w:rFonts w:ascii="Times New Roman" w:cs="Times New Roman" w:eastAsia="Times New Roman" w:hAnsi="Times New Roman"/>
          <w:sz w:val="18"/>
          <w:szCs w:val="18"/>
          <w:color w:val="auto"/>
        </w:rPr>
      </w:pPr>
    </w:p>
    <w:p>
      <w:pPr>
        <w:ind w:left="1020" w:right="20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may be encountered in the realignment of manufacturing capacity and capabilities among our global manufacturing operations, including our contract manufacturers, that could adversely affect our ability to meet customer demand for our products.</w:t>
      </w:r>
    </w:p>
    <w:p>
      <w:pPr>
        <w:ind w:left="1020" w:right="28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discontinuance or divestiture of a business or product line is subject to various risks and uncertainties that could disrupt or adversely affect our business.</w:t>
      </w:r>
    </w:p>
    <w:p>
      <w:pPr>
        <w:ind w:left="1020" w:right="2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could rely, in part, on acquisitions to create growth. We may not fully realize anticipated benefits from past or future acquisitions or investments in other companies.</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undertake additional restructuring actions in the future.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Risks</w:t>
      </w:r>
    </w:p>
    <w:p>
      <w:pPr>
        <w:spacing w:after="0" w:line="40" w:lineRule="exact"/>
        <w:rPr>
          <w:sz w:val="20"/>
          <w:szCs w:val="20"/>
          <w:color w:val="auto"/>
        </w:rPr>
      </w:pPr>
    </w:p>
    <w:p>
      <w:pPr>
        <w:ind w:left="1020" w:right="6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anticipate and adapt to changes in technology and customer preferences and develop, implement and market innovative solutions.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stay current with product life cycle developments, our business may suffer.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left="1020" w:right="2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effectively interoperate with cellular networks and mobile devices, future sales of our products could be negatively affected.</w:t>
      </w:r>
    </w:p>
    <w:p>
      <w:pPr>
        <w:ind w:left="1020" w:right="20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or service offerings, including material purchased from our suppliers, have quality or performance issues, our business may suffer.</w:t>
      </w:r>
    </w:p>
    <w:p>
      <w:pPr>
        <w:ind w:left="1020" w:right="28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cloud computing infrastructure operated by third parties, and any disruption in these operations could adversely affect our business.</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effective management information systems.</w:t>
      </w:r>
    </w:p>
    <w:p>
      <w:pPr>
        <w:spacing w:after="0" w:line="9" w:lineRule="exact"/>
        <w:rPr>
          <w:rFonts w:ascii="Times New Roman" w:cs="Times New Roman" w:eastAsia="Times New Roman" w:hAnsi="Times New Roman"/>
          <w:sz w:val="18"/>
          <w:szCs w:val="18"/>
          <w:color w:val="auto"/>
        </w:rPr>
      </w:pPr>
    </w:p>
    <w:p>
      <w:pPr>
        <w:ind w:left="1020" w:right="44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including data security breaches, ransomware or computer viruses, could harm our business by exposing us to various liabilities, disrupting our delivery of products and services and damaging our reputation.</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may have an impact on our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Labor-Related Risks</w:t>
      </w:r>
    </w:p>
    <w:p>
      <w:pPr>
        <w:spacing w:after="0" w:line="121" w:lineRule="exact"/>
        <w:rPr>
          <w:sz w:val="20"/>
          <w:szCs w:val="20"/>
          <w:color w:val="auto"/>
        </w:rPr>
      </w:pPr>
    </w:p>
    <w:p>
      <w:pPr>
        <w:ind w:left="1020" w:right="1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develop and maintain a highly skilled and diverse workforce or effectively manage changes in our workforce can have an adverse effect on our business.</w:t>
      </w:r>
    </w:p>
    <w:p>
      <w:pPr>
        <w:ind w:left="1020" w:right="340" w:hanging="503"/>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labor, including strikes or work stoppages, could have a material adverse effect on our business, results of operations and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Risks</w:t>
      </w:r>
    </w:p>
    <w:p>
      <w:pPr>
        <w:spacing w:after="0" w:line="31"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economic, political, foreign exchange rate and other risks.</w:t>
      </w:r>
    </w:p>
    <w:p>
      <w:pPr>
        <w:spacing w:after="0" w:line="22" w:lineRule="exact"/>
        <w:rPr>
          <w:rFonts w:ascii="Times New Roman" w:cs="Times New Roman" w:eastAsia="Times New Roman" w:hAnsi="Times New Roman"/>
          <w:sz w:val="18"/>
          <w:szCs w:val="18"/>
          <w:color w:val="auto"/>
        </w:rPr>
      </w:pPr>
    </w:p>
    <w:p>
      <w:pPr>
        <w:ind w:left="1020" w:right="8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new tariffs or a global trade war could increase the cost of our products, which could adversely impact the competitiveness of our products.</w:t>
      </w:r>
    </w:p>
    <w:p>
      <w:pPr>
        <w:ind w:left="1020" w:right="80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increased challenges in complying with anti-corruption laws and regulations of the U.S. government and various other international jurisdictions.</w:t>
      </w:r>
    </w:p>
    <w:p>
      <w:pPr>
        <w:ind w:left="1020" w:right="160" w:hanging="503"/>
        <w:spacing w:after="0" w:line="26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and sanctions programs that could subject us to liability or impair our ability to compete in international markets.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Regulatory Risks</w:t>
      </w:r>
    </w:p>
    <w:p>
      <w:pPr>
        <w:spacing w:after="0" w:line="40" w:lineRule="exact"/>
        <w:rPr>
          <w:sz w:val="20"/>
          <w:szCs w:val="20"/>
          <w:color w:val="auto"/>
        </w:rPr>
      </w:pPr>
    </w:p>
    <w:p>
      <w:pPr>
        <w:ind w:left="1020" w:right="26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protecting our intellectual property and in defending against claims that we are infringing on the intellectual property of others, and any such actions may be costly.</w:t>
      </w:r>
    </w:p>
    <w:p>
      <w:pPr>
        <w:ind w:left="1020" w:hanging="503"/>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nature of information that may pass through or be stored on certain of our solutions or networks, we, our vendors and our end customers are subject to complex and evolving U.S. and foreign laws and regulations regarding information privacy, data protection, cybersecurity, and other related matters.</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current and future social and environmental laws, regulations, policies and provisions, customer and investor pressures, other efforts to mitigate climate change and potential environmental liabilities may have a material adverse impact on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3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public health crisis could materially adversely affect our business, financial condition, results of operations and cash flows.</w:t>
      </w:r>
    </w:p>
    <w:p>
      <w:pPr>
        <w:spacing w:after="0" w:line="22" w:lineRule="exact"/>
        <w:rPr>
          <w:rFonts w:ascii="Times New Roman" w:cs="Times New Roman" w:eastAsia="Times New Roman" w:hAnsi="Times New Roman"/>
          <w:sz w:val="18"/>
          <w:szCs w:val="18"/>
          <w:color w:val="auto"/>
        </w:rPr>
      </w:pPr>
    </w:p>
    <w:p>
      <w:pPr>
        <w:ind w:left="1020" w:right="460" w:hanging="503"/>
        <w:spacing w:after="0" w:line="26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regular dividends on our common stock and, consequently, the ability of investors to achieve a return on their investment in the ordinary course will depend on appreciation in the price of our common stock.</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5" w:name="page16"/>
    <w:bookmarkEnd w:id="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Risks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third-party capital spending for data, communication and entertainment equipment, and reductions in such capital spending could adversely affect our business.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performance is dependent on third parties’ capital spending for constructing, rebuilding, maintaining or upgrading data, communication and entertainment networks, which can be volatile and difficult to forecast. Capital spending in the communications industry is cyclical and can be curtailed or deferred on short notice. We experienced a decrease in customer capital spending in 2024, which negatively impacted our results of operations, and while we experienced an increase in customer demand in 2025, we may continue to experience significant fluctuations in sales and operating income due to the volatility in our industry. A variety of factors affect the timing and amount of capital spending in the communications industry, including:</w:t>
      </w:r>
    </w:p>
    <w:p>
      <w:pPr>
        <w:spacing w:after="0" w:line="7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increased costs due to rising inflation or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customer-specific financial conditions or budget allocation decisions;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including pricing pressures;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adoption of the global rollout of new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of new technologies and services offered, including solutions that have little or no impact on the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outdoor deployments;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rollout of government funding for certain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 or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pressure and regulation, including compliance with social and environmental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network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demand for video content and pay TV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of shipments under large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trends or uncertainties in these factors.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these factors, we may not be able to maintain or increase our sales in the future, and our business, financial condition, results of operations and cash flows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business is derived from a limited number of key customers and channel partners.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customer base includes direct customers, original equipment manufacturers (OEMs) and channel partners, which include distributors, system integrators, value-added resellers, MSPs, service providers and sales representatives. For the year ended December 31, 2025, we derived approximately 35% of our consolidated net sales from our top customer. The concentration of our net sales with these key customers subjects us to a variety of risks, including:</w:t>
      </w:r>
    </w:p>
    <w:p>
      <w:pPr>
        <w:spacing w:after="0" w:line="7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volumes that could result from the loss of one or more of our key customers;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customers with substantial purchasing power and leverage in negotiating contractual obligations as well as the operational structure of the relationship, resulting in potential reductions in profit;</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efficient operations that could result in higher costs from an inability to accurately forecast and plan for volatile spending patterns of key customers;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experienced by one or more of our key customers that could result in reduced purchases of our products and/or delays or difficulties in collecting accounts receivable balances;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by our key customers to purchase products from our competitors in order to diversify their supplier base and dual-source key products, resulting in reduced purchases of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inventory levels held by channel partners and OEMs, which may be unrelated to purchasing trends by end customers.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also exposed to similar risks to the extent that we have significant indirect sales to one or more end-users of our products, who may also be a direct customer.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material portion of our sales is derived through our channel partners, including distributors, systems integrators and value-added resellers. Our channel partners have experienced financial difficulties in the past that have adversely affected our collection of accounts receivable. Our exposure to credit risks of our channel partners may increase if our channel partners and their end customers are adversely affected by global or regional economic conditions. One or more of these channel partners could delay payments or default on credit extended to them, either of which could materially and adversely affect our business, financial condition, results of operations and cash flows.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generally have no minimum purchase commitments with any of our distributors, value-added resellers, operators, OEMs or other customers, and our contracts with these parties generally do not prohibit them from purchasing or offering products or services that compete with ours. We have historically experienced variability in the level of purchases by our key customers and expect that similar variability could affect future sales. Any significant reduction in sales to these customers, including as a result of the inability or unwillingness of these customers to continue purchasing our products, could materially and adversely affect our business, financial condition, results of operations, cash flows and stock price.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competitive pressures with respect to all our major product groups.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in our industry depends on a number of factors, including: innovative product and service solution offerings; the ability to adapt to changing markets and customer preferences; product and service quality; timing of the introduction of new products and services; speed of delivery; pricing; and customer service, including the total customer experience. In each of our major product groups, we compete with a substantial number of foreign and domestic companies, some of which have greater financial, technical, marketing and other resources or lower operating costs. They may also have broader product offerings and market focus. This gives many of these enterprises a competitive advantage to withstand any significant reduction in capital spending by customers in our markets over the long term. Further, our industry continues to consolidate, and the combination of any of our competitors could further increase these advantages and result in competitors with broader market presence.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Some competitors may be able to bundle their products and services together and may be capable of delivering more complete solutions that better meet customer preferences than we are able to provide, which may cause us to lose sales opportunities and revenue. Competitors’ actions, such as price reductions, acceptance of high-risk contractual terms or the introduction of new, innovative products and services, and the use of exclusively price-driven auctions by customers, have caused lost sales opportunities in the past and may cause us to lose sales opportunities in the future.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rapid technological changes occurring in the communications industry could also lead to the entry of new competitors against whom we may not be able to compete successfully. For example, as networks become more virtualized, the functionality of our products is at risk of being subsumed by competitors who utilize software to provide the same functions as our products. A related trend that could affect us is the emerging interest in distributed access architecture (DAA), which disaggregates some of the functions of the converged cable access platform (CCAP) and the access and transport platforms to enable deployment of these functions in ways that could reduce traditional operator capital expenditures in hybrid fiber-coaxial. We have developed and deployed a line of DAA products, but some operators may not be aligned on the specific implementations of DAA and we could lose market share to competitors. Service providers also have the goal of virtualizing CCAP management and control functions as they deploy DAA, and although we are developing a fully virtualized CCAP product, this could potentially enable new competitors to enter the market and reduce operator dependence on our products. As there is technology evolution or transformation within the industry, whether it be DOCSIS 4.0, PON or Wi-Fi technology, there is a risk that our market position would be weakened. If any of our competitors’ products or technologies were to become the industry standard, our business would be negatively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continued industry shift toward open standards may result in an increase in competition for our products that may adversely impact our future revenues and margins. In addition, many of our customers participate in “technology pools” and increasingly request that we donate a portion of our source code used by customers to these pools, which may impact our ability to recapture the R&amp;D investment made in developing such code. We believe that we will be increasingly required to work with third-party technology providers. As a result, we expect the shift to more open standards may require us to license software and other components indirectly to third parties via various open-source or royalty-free licenses. In some circumstances, our use of such open-source technology may include technology or protocols developed by standard-setting bodies, other industry forums or third-party companies. The terms of the open-source licenses granted by such parties, or the granting of royalty-free licenses, may limit our ability to commercialize products that utilize such technology, which could have a material adverse effect on our results of operations.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some instances, our customers themselves may also be our competition in other business areas. Some of our customers may develop their own software requiring support within our products and/or may design and develop products of their own that are produced to their own specifications directly by a contract manufacturer. Further, if we are unable to transform our business processes to support changing customer expectations and deliver a superior total customer experience, we may lose sales opportunities in the future. We are also facing significant and increased competition from original design manufacturers (ODMs) and contract manufacturers who are selling and attempting to sell their products directly to service providers.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continue to compete successfully with our existing competitors or with new competitors. If we are unable to compete in any of our markets at the same level as we have in the past or are forced to reduce the prices of our products in order to continue to be competitive, our business, financial condition, results of operations and cash flows could be materially and adversely affected.</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highly dependent on the quality of our support services after the sale, and our inability to provide adequate support after the sale would have a material adverse effect on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After our products are deployed, our channel partners and end customers depend on our support organization to resolve any issues relating to our products. A high level of support is important for the successful marketing and sale of our products. In many cases, our channel partners provide support directly to our end customers. We do not have complete control over the level or quality of support provided by our channel partners. These channel partners may also provide support for other third-party products, which may potentially distract resources from support for our products. If we and our channel partners do not effectively assist our end customers in deploying our products, quickly resolving post-deployment issues and provide effective ongoing support, it could adversely affect our ability to sell our products to existing end customers and could harm our reputation with potential end customers. In some cases, we guarantee a certain level of performance to our end customers, which could prove to be resource-intensive and expensive for us to fulfill if unforeseen technical problems arise.</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Many of our service providers and large enterprise end customers have more complex networks and require higher levels of support than our smaller end customers. In addition, given the extent of our international operations, our support organization faces challenges, including those associated with delivering support, training and documentation in languages other than English. Our failure to maintain high-quality support and services could have a material adverse effect on our business, financial condition, results of operations and cash flows.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regulatory environment in which our customers operate and changes in or uncertainty about government funded programs may negatively impact our business.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telecommunications and cable television industries are subject to significant and changing federal and state regulation, both in the U.S. and other countries. Many of our customers, such as internet service providers, are subject to various rules and regulations, and changes to such rules and regulations could adversely impact our customers’ decisions regarding capital spending. We, as well as some of our customers, also participate in and benefit from government funded programs that encourage the development of network infrastructures such as the Infrastructure Investment and Jobs Act (IIJA), Rural Digital Opportunity Fund (RDOF) and American Rescue Plan Act (ARPA). Changes in government programs in our industry or uncertainty regarding future changes could adversely impact our customers’ decisions regarding capital spending, which could decrease demand for our products and could materially and adversely affect our business, financial condition, results of operations, cash flows and stock price.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obtain financing in the future.</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currently believe that our existing cash and cash equivalents will be sufficient to meet our presently anticipated future cash needs for at least the next twelve months. However, we currently anticipate adding modest leverage to the business, although the form and amount of any such leverage has not yet been determined, and longer-term may be required to obtain additional financing to support our liquidity and capital-structure objectives. Any debt we incur in the future may have terms (including cash interest rate, financial covenants and covenants limiting our operating flexibility or ability to obtain additional financings) that are not favorable to us, and any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could have a material and adverse effect on our results of operations, cash flows, financial condition and liquidity.</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may experience volatility in cash flows between periods due to, among other reasons, variability in the timing of vendor payments and customer receipts. We may, from time to time, seek to obtain alternative sources of financing, by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recognize additional impairment charges related to goodwill, identified intangible assets, fixed assets and right of use assets.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substantial balances of goodwill and identified intangible assets. As of December 31, 2025, goodwill and identified intangible assets represented approximately 32% of our total assets (excluding assets held for sale). We are required to test goodwill for possible impairment on the same date each year and on an interim basis if there are indicators of a possible impairment. We have recognized substantial impairment charges related to goodwill, including $472.3 million in 2023. For the 2025 annual impairment test, we determined that the fair value of our reporting units exceeded the carrying value and that no impairment existed. In the future, if we are unable to improve our results of operations and cash flows, or other indicators of impairment exist, such as a sustained significant decline in our share price and market capitalization, we may incur material charges against earnings relating to our remaining goodwill.</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also required to evaluate identified intangible assets, fixed assets and right of use assets for impairment if there are indicators of a possible impairment. In the past, due to revisions in financial performance outlooks or deterioration in certain markets, we have recognized significant impairment charges on identified intangible assets and fixed assets. In the future, we may again determine that one or more of our long-lived assets is impaired and additional impairment charges may be recognized that could have a material adverse effect on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Risks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certain raw materials and components linked to the commodity markets and utilize a limited number of key suppliers for logistics support of certain of these raw materials and components, subjecting us to cost volatility and supply shortages or delays that could limit our ability to manufacture products.</w:t>
      </w:r>
    </w:p>
    <w:p>
      <w:pPr>
        <w:spacing w:after="0" w:line="6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dependent on certain raw materials and components linked to the commodity markets, and our profitability may be materially affected by changes in the market price. The principal raw materials and components we purchase are aluminum, copper, steel, optical fiber, capacitors, memory devices and silicon chips. Prices for aluminum, copper, steel, silicon and memory have experienced significant volatility in the past as a result of changes in the levels of global demand, supply disruptions, including port, transportation and distribution delays or interruptions, and other factors. As a result, in the past we saw significant increases in costs that negatively impacted our results of operations. We adjusted our prices for most of our products, but if we see significant increases in costs again, we may have to adjust prices in the future. Delays in implementing price increases or a failure to achieve market acceptance of price increases has in the past, and could in the future, have a material adverse impact on our results of operations. Conversely, in an environment of falling commodities prices, we may be unable to sell higher-cost inventory before implementing price decreases, which could have a material adverse impact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utilize a limited number of key suppliers for logistics support of certain of our raw material and component purchases, including certain semiconductors, memory devices and chip capacitors, polymers, copper rod, copper and aluminum tapes, fine aluminum wire, steel wire, optical fiber, circuit boards and other electronic components, subassemblies and modules. Certain of our suppliers are sole source suppliers, and a number of our agreements with suppliers are short-term in nature. Our reliance on sole or limited suppliers and our reliance on subcontractors involves several risks, including a potential inability to obtain an adequate supply of required materials, components and other products, and reduced control over pricing, quality, terms and conditions of purchase and timely delivery. Coming out of the COVID-19 pandemic, we saw shortages in supply of memory devices, capacitors and silicon chips that negatively impacted our ability to deliver on a timely basis and increased our product costs, which unfavorably impacted our results of operations, financial condition and cash flows and increased our risk of excess and obsolescence component inventory.</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key suppliers have experienced in the past, and could experience in the future, production, operational or financial difficulties, or there may be global shortages and pricing inflation of certain raw materials or components we use. Our inability to find sufficient sources of supply on reasonable terms could impact our ability to manufacture products in a cost-effective manner. We have adjusted our market prices for certain of our products as component prices have changed, but we may not be able to pass along all further cost increases to our customers, which could have a material adverse effect on our gross margin and results of operations, especially in a highly inflationary environment. Our ability to ship products on a timely basis has been and may continue to be unfavorably impacted, which could damage relationships with current and prospective customers and potentially have a material adverse effect on our business.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also source many of our components from international markets. Any change in the laws and policies of the U.S. or other countries affecting trade, including pursuant to policies of the current U.S. administration, is a risk to us. To the extent there are unfavorable changes imposed by the U.S. or other countries and/or retaliatory actions taken by trading partners, such as the addition of new tariffs or trade restrictions, we may experience material adverse impacts on earnings. For a more complete discussion of our risks related to tariffs and trade restrictions, see the risk factor, “Additional tariffs or a global trade war could increase the cost of our products, which could adversely impact the competitiveness of our products” under our “International Risk Factors” in this Item 1A. Risk Factors section.</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integrated global manufacturing operations, including our contract manufacturers, suffer capacity constraints or production or shipping delays, we may have difficulty meeting customer demands.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Disruption of our ability to produce at or distribute from our manufacturing or contract manufacturing facilities could adversely affect our ability to manufacture products in a cost-effective and timely manner. We experienced lost sales opportunities in the past due to lack of capacity to meet the demand for certain of our products. If we cannot ramp up capacity fast enough to meet customer demand in the future, we may experience lost sales opportunities, lose market share and experience customer relations problems, which could have a material adverse effect on our business, financial condition, results of operations and cash flows.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rely on unaffiliated contract manufacturers, both domestically and internationally, to produce certain products or key components of products. Our reliance on these contract manufacturers reduces our control over the manufacturing process and exposes us to risks, including reduced control over quality assurance, product supply and costs and timing. Any manufacturing disruption by our contract manufacturers could severely impair our ability to fulfill orders. Our reliance on outsourced manufacturers also increases the potential for infringement or misappropriation of our intellectual property.</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our internal manufacturing operations or contract manufacturers suffer delays or disruptions in production or other operations for any reason, including financial instability of the contract manufacturer, labor disturbances or shortages, fires, electrical outages, cybersecurity incidents, pandemics/epidemics, severe weather events, natural disasters, geopolitical instability, acts of violence or terrorism, shipping interruptions including port distribution delays or interruptions, increased manufacturing lead times, capacity constraints or quality control problems in their manufacturing operations, failure to meet our future requirements for timely delivery or some other catastrophic event, our ability to manufacture products at our manufacturing or contract manufacturer facilities and ship products to our customers in a cost-effective and timely manner could be impaired, which could have a material adverse effect on our business,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contract manufacturers typically fulfill our supply requirements on the basis of individual orders. In most cases, we do not have long-term contracts with our contract manufacturers that guarantee capacity, the continuation of particular pricing terms or the extension of credit limits. Accordingly, our contract manufacturers are not always obligated to continue to fulfill our supply requirements, which could result in supply shortages, and the prices we are charged for manufacturing services could be increased on short notice. If our manufacturers are unable or unwilling to continue manufacturing our products in required volumes, we will be required to identify one or more acceptable alternative manufacturers to satisfy our demand. There is no assurance that we would be able to identify suitable alternative manufacturing partners on a timely basis, on terms that are acceptable to us, or at all.</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Some of our manufacturing and contract manufacturing facilities rely on aging production equipment and information technology infrastructure, and if we fail or our contract manufacturers fail to properly maintain or update this equipment, it could affect our ability to manufacture or ship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supply chain disruptions due to climate-related events.</w:t>
      </w:r>
    </w:p>
    <w:p>
      <w:pPr>
        <w:spacing w:after="0" w:line="80" w:lineRule="exact"/>
        <w:rPr>
          <w:sz w:val="20"/>
          <w:szCs w:val="20"/>
          <w:color w:val="auto"/>
        </w:rPr>
      </w:pPr>
    </w:p>
    <w:p>
      <w:pPr>
        <w:spacing w:after="0" w:line="231" w:lineRule="exact"/>
        <w:rPr>
          <w:sz w:val="20"/>
          <w:szCs w:val="20"/>
          <w:color w:val="auto"/>
        </w:rPr>
      </w:pPr>
      <w:r>
        <w:rPr>
          <w:rFonts w:ascii="Times New Roman" w:cs="Times New Roman" w:eastAsia="Times New Roman" w:hAnsi="Times New Roman"/>
          <w:sz w:val="18"/>
          <w:szCs w:val="18"/>
          <w:color w:val="auto"/>
        </w:rPr>
        <w:t>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events, including increasingly frequent and severe extreme weather, may disrupt our upstream supply chain by delaying component deliveries, damaging supplier facilities and interrupting transportation routes. These disruptions can increase logistics and procurement costs, extend production lead times and reduce operational efficiency, particularly in climate vulnerable regions. Prolonged or repeated disruptions could limit our ability to meet customer demand, result in lost sales, and adversely affect our financial performance and competitive position.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execution of our transformation plan is key to the long-term success of our business.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Over the last several years, we have been executing under a business transformation initiative designed to drive stakeholder value. Our transformation initiative could result in changes to our business that may result in a number of risks and uncertainties, including the following: lost customers or reduced sales volumes if customers do not accept higher pricing, our new product offerings or if we discontinue or divest of product lines; higher one-time costs such as restructuring costs and transaction, transformation and integration costs; the loss of key management and other employees if we are not successful in getting employee buy-in for our transformation initiative; and additional supply chain disruptions or higher costs of supplies if we do not successfully execute our projects related to direct and indirect procurement. The implementation of our transformation initiative may take longer than anticipated, and once implemented, we may not realize, in full or in part, the anticipated benefits or such benefits may be realized more slowly than anticipated. Any failure to realize benefits could have a material adverse effect on our business, financial condition, results of operations, cash flows and stock price.</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Difficulties may be encountered in the realignment of manufacturing capacity and capabilities among our global manufacturing operations, including our contract manufacturers, that could adversely affect our ability to meet customer demand for our products.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periodically realign manufacturing capacity among our manufacturing facility and contract manufacturers in order to reduce costs by improving manufacturing efficiency and to strengthen our long-term competitive position. The implementation of these strategic initiatives may include significant shifts of production capacity among facilities and contract manufacturers. For example, in the past, we have transitioned manufacturing for certain products in response to newly enacted tariffs. In addition, in response to intermittent shutdowns of our facilities during the COVID-19 pandemic, we transitioned certain manufacturing to less impacted facilities. These changes are time-consuming and costly, and changes in our contract manufacturers or manufacturing locations may cause significant interruptions in supply if the manufacturers have difficulty manufacturing products to our specifications. There are significant risks inherent in the implementation of these initiatives, including our failure to ensure the following: adequate inventory on hand or production capacity to meet customer demand while capacity is being shifted among facilities; maintaining product quality as a result of shifting capacity; adequate raw material and other service providers to meet the needs at the new production locations; ability to successfully remove, transport and re-install equipment; and availability of adequate supervisory, production and support personnel to accommodate the shifted production. In the event manufacturing realignment initiatives are not successfully implemented, we could experience lost future sales and increased operating costs, as well as customer relations problems, any of which could have a material adverse effect on our business, financial condition, results of operations and cash flows.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discontinuance or divestiture of a business or product line is subject to various risks and uncertainties that could disrupt or adversely affect our business.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better optimize our portfolio of products, we have recently divested the CCS segment, the OWN segment and the DAS business unit, the OneCell business and the Home business, and we may in the future decide to separate, discontinue or divest of other businesses or product lines that we believe are not core to our business, or where we believe the separation, discontinuation or divestiture will be accretive to stakeholders. A plan to separate, discontinue or divest a business or product line is complex in nature and can be affected by unanticipated developments or changes, including changes in the macroeconomic, regulatory or political environment, changes in credit or equity markets or changes in other market conditions.</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we do choose to separate, discontinue or divest of a business or product line and successfully complete the separation plan, we cannot assure you or any of our stakeholders that we will achieve the expected benefits. Upon completion, we would also be a smaller, less diversified company and may be more vulnerable to changing market conditions. In addition, we will continue to incur certain ongoing costs, which will be shared across a smaller company and which may exceed our estimates.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Whether or not a separation plan is completed, our businesses may face risks and uncertainties, including, but not limited to: the diversion of senior management’s attention from ongoing business concerns; maintaining employee morale and retaining key management and other employees; retaining existing business and operational relationships, including with customers, suppliers and employees, and attracting new business and operational relationships; foreseen and unforeseen costs and expenses; and potential negative reactions from the financial markets if we fail to complete a separation plan as expected, within the anticipated time frame, or at all. Any of these factors could have a material adverse effect on our business, financial condition, results of operations, cash flows and stock price.</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could rely, in part, on acquisitions to create growth. We may not fully realize anticipated benefits from past or future acquisitions or investments in other companies.</w:t>
      </w:r>
    </w:p>
    <w:p>
      <w:pPr>
        <w:spacing w:after="0" w:line="5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business strategy could rely, in part, on acquisitions to create growth, such as our historical acquisitions of Casa in 2024, ARRIS International plc (ARRIS) in 2019. Future growth could be accomplished by acquiring existing businesses, products or technologies. We cannot guarantee that we will be able to identify suitable acquisition opportunities or obtain the necessary financing on acceptable terms to provide these future growth opportunities. We may spend time and money investigating and negotiating with potential acquisition or investment targets without completing the transaction, which may divert or waste resources.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acquisitions involve risks, such as the assumption of additional liabilities and expenses, issuance of debt, incurrence of transaction and integration costs, diversion of management’s attention from other business concerns, assumption of unknown contingent liabilities, unanticipated litigation costs and falling short of growth expectations. There are also significant challenges to integrating an acquired operation into our business, including, but not limited to, successfully managing the operations, manufacturing facilities and technology of the combined business; integrating the sales organizations; maintaining and increasing the customer base; retaining key employees, suppliers and distributors; integrating management information systems, including enterprise resource planning (ERP) systems; integrating inventory management and accounting activities; integrating R&amp;D activities; navigating markets in which we potentially have limited or no prior experience; integrating and implementing effective disclosure controls and procedures and internal controls over financial reporting; and the impact of goodwill or other impairment charges, amortization costs for acquired intangible assets and acquisition accounting treatment, including the loss of deferred revenue and increases in the fair values of inventory and other acquired assets, on our financial condition and results of operations. Furthermore, such acquisitions may be dilutive to our financial results. Although we typically expect to realize strategic, operational and financial benefits as a result of our past and future acquisitions and investments, we cannot predict or guarantee whether and to what extent anticipated cost savings, synergies and growth prospects will be achieved. For example, we have not fully achieved the expected growth prospects associated with the ARRIS acquisition and that has had adverse effects on our financial condition, results of operations, cash flows and stock price.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undertake additional restructuring actions in the future.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previously recognized restructuring charges in conjunction with the implementation of initiatives to reduce costs and improve the efficiency of our operations and to integrate acquisitions. For example, our transformation initiative actions to date have included the closure of a manufacturing facility, reduction in our real estate footprint, including the consolidation of distribution facilities, as well as workforce reductions. In prior years, we have also undertaken a number of initiatives to support the integration of acquisitions, such as the 2019 acquisition of the ARRIS business. These initiatives also included the closure of manufacturing facilities, consolidation of distribution centers and other real estate and various other workforce reductions. As a result of the continued efforts related to our transformation initiative, changes in business conditions and other developments, we may need to initiate additional restructuring actions that could result in workforce reductions and restructuring charges, which could adversely and materially affect our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anticipate and adapt to changes in technology and customer preferences and develop, implement and market innovative solutions.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Many of our markets are characterized by rapid advances in information processing and communications capabilities that require increased transmission speeds and density and greater bandwidth. These advances require significant investments in R&amp;D in order to improve the capabilities of our products and services and develop new offerings or solutions that will meet the needs and preferences of our customers. There can be no assurance that our investments in R&amp;D will yield marketable product or service innovations.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not be successful in our ongoing innovation efforts if, among other things, our products and services are not cost effective, brought to market in a timely manner, compliant with evolving industry standards, accepted in the market or recognized as meeting customer requirements. We could experience a material adverse effect on our business, financial condition, results of operations and cash flows if we are not successful in our ongoing innovation efforts.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our products become more complex and customer preferences continue to change, we may encounter difficulties in meeting such preferences, including performance, service and delivery expectations. Developing our products is expensive, complex and involves uncertainties. Each phase in the development of our products presents serious risks of failure, rework or delay, any one of which could impact the timing and cost-effective development of such product and could jeopardize end customer acceptance of the product. We have experienced in the past, and may in the future experience, design, manufacturing, marketing and other difficulties that could delay or prevent the development, introduction or marketing of new products and enhancements. Any such difficulties or delays could have a material adverse effect on our results of operations, financial condition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stay current with product life cycle developments, our business may suffer.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compete successfully, we must continue to innovate in anticipation of both our customers’ needs and developing industry trends, which require us to quickly design, develop, manufacture and sell new or enhanced products that provide increasingly higher levels of performance and reliability. If we do not have competitively priced, market-accepted products available to meet our customers’ planned roll-out of new technologies, we may miss a significant opportunity and our business, financial condition, results of operations and cash flows could be materially and adversely affected.</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introduction of new or enhanced products requires that we carefully manage the transition from older products to minimize disruption in customer ordering practices and ensure that new products can be timely delivered to meet our customers’ demand. If we are not able to support our customers in an effective and cost-efficient manner as they advance from older generation networks or as they expand the capacity of their networks, our business will suffer.</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Furthermore, there are several major trends that we expect to continue to impact the enterprise market and product life cycles, including the shift to 5G, enterprise shifts toward mobility indoors and adjustments of more access points and in-building cellular applications.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stay current with product life cycle developments, we have formed strategic relationships with leading technology companies to provide us with early access to technology that we believe will help keep us at the forefront of our industry. Our strategic alliances are generally based on business relationships that have not been the subject of written agreements expressly providing for the alliance to continue for a significant period of time, and the loss of any such strategic relationship could have a material adverse effect on our business and results of operations.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do not effectively interoperate with cellular networks and mobile devices, future sales of our products could be negatively affected.</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Many of our products are designed to interoperate with cellular networks and mobile devices using Wi-Fi technology. These networks and devices have varied and complex specifications. As a result, we must ensure that our products interoperate effectively with these existing and planned networks and devices. To meet these requirements, we must continue development and testing efforts that require significant capital and employee resources. We may not accomplish these development efforts quickly or cost-effectively, or at all. If our products do not interoperate effectively, orders for our products could be delayed or cancelled, which would harm our revenue, operating results and reputation, potentially resulting in the loss of existing and potential end customers. The failure of our products to interoperate effectively with cellular networks or mobile devices may result in significant warranty, support and repair costs, may divert the attention of our engineering personnel from our product development efforts and may cause significant customer relations problems. In addition, our end customers may require our products to comply with new and rapidly evolving security or other certifications and standards. If our products are late in achieving or fail to achieve compliance with these certifications and standards, or our competitors first achieve compliance with these certifications and standards, such end customers may not purchase our products, which would harm our business, operating results, financial condition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 or service offerings, including material purchased from our suppliers, have quality or performance issues, our business may suffer.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depends on delivering products and services of consistently high quality. Many of our solutions are highly complex, and testing procedures used by us and our customers are limited to evaluating them under likely and foreseeable failure scenarios. Many of our products include both hardware and software components. It is not unusual for software, especially in earlier versions, to contain bugs that can unexpectedly interfere with expected operations. For various reasons, once deployed, our products may fail to perform as expected. Performance issues could result from faulty design, defective raw materials or components purchased from suppliers, problems in manufacturing or installation errors. We have experienced such performance issues in the past and remain exposed to such performance issues in the future. In some cases, recall of some or all affected products, product redesigns or additional capital expenditures may be required to correct a defect; and depending on the number of products affected, the cost of fixing or replacing such products could have a material impact on our results of operations and cash flows. Our agreements with our contract manufacturers and component suppliers may not cover all costs related to defects.</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some cases, we are dependent on a sole supplier for components used in our products. Defects in sole-sourced components subject us to additional risk of being unable to quickly address any product issues or failures experienced by our customers as a result of the component defect and could delay our ability to deliver new products until the defective components are corrected or a new supplier is identified and qualified. This could increase our costs in resolving the product issue, result in decreased sales of the impacted product or damage our reputation with customers, any of which could negatively impact our results of operations.</w:t>
      </w:r>
    </w:p>
    <w:p>
      <w:pPr>
        <w:spacing w:after="0" w:line="18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Hardware or software defects could also permit unauthorized users to gain access to our customers’ networks and/or a consumer’s home network. In addition to potentially damaging our reputation with customers, such defects may also subject us to claims for damages under agreements with our customers and fines by regulatory authorities.</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offer warranties on most products, the terms and conditions of which depend upon the product subject to the warranty. In many cases, we also indemnify our customers against damages or losses that might arise from certain claims relating to our products and services. Future claims may have a material adverse effect on our business, financial condition, results of operations and cash flows. Any significant or systemic product or service failure could also result in lost future sales as a result of reputational damage.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products have been deployed in many different locations and user environments and are capable of providing services and connectivity to many different types of devices operating a variety of applications. The ability of our products to operate effectively can be negatively impacted by many different elements unrelated to our products. For example, a user’s experience may suffer from an incorrect setting in a Wi-Fi device. Although certain technical problems experienced by users may not be caused by our products, users often may perceive them to be the underlying cause of poor performance of the wireless network. This perception, even if incorrect, could harm our business and reputation. Similarly, a high-profile network failure may be caused by improper operation of the network or failure of a network component that we did not supply, but service providers may perceive that our products were implicated, which, even if incorrect, could harm our business,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cloud computing infrastructure operated by third parties and any disruption in these operations could adversely affect our business.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certain of our service offerings, in particular our Wi-Fi-related cloud services, we rely on third parties to provide cloud computing infrastructure that offers storage capabilities, data processing and other services. We currently operate our cloud-dependent services using Amazon Web Service (AWS), Google Cloud Platform (GCP) or Microsoft Azure (Azure). We cannot easily switch our AWS, GCE or Azure operations to another cloud provider. Any disruption of or interference with our use of these cloud services would impact our operations and our business could be adversely impacted.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Problems faced by our third-party cloud service providers with the telecommunications network providers with whom we or they contract or with the systems by which our telecommunications providers allocate capacity among their customers, including us, could adversely affect the experience of our end customers. If AWS, GCP or Azure are unable to keep up with our needs for capacity, this could have an adverse effect on our business. Any changes in third-party cloud services or any errors, defects, disruptions or other performance problems with our cloud-based applications, could adversely affect our reputation and may damage our end customers’ stored files or result in lengthy interruptions in our services. Interruptions in our services might adversely affect our reputation and operating results, cause us to issue refunds or service credits, subject us to potential liabilities or result in contract terminations.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effective management information systems.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rely on effective management information systems for critical business operations, to support strategic business decisions and to maintain a competitive edge in the marketplace. We rely on our ERP system to support critical business operations such as processing sales orders and invoicing, manufacturing, shipping, inventory control, purchasing and supply chain management, human resources and financial reporting. In connection with the sale of the CCS segment that occurred subsequent to year end on January 9, 2026, we have initiated a phased approach to prepare for the transition and future separation of our ERP system and other supporting systems. The first phase involving the upgrade of our ERP system has been successfully completed. Upgrades, integrations or separations of software or systems have risks and any future upgrades, integrations or separations could disrupt our operations, divert management’s attention and have an adverse effect on our capital resources, financial condition, results of operations or cash flows.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rely on management information systems to produce information for business decision-making and planning and to support digital platforms. Failure to maintain an adequate digital platform or to make additional investment in our digital platform to support e-commerce activities and improve our customer experience could have a material adverse impact on our business through lost sales opportunities.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Many of our systems rely on software and other products provided by third-parties. Any outages or downtime of such third-party software, including due to defective updates, could have a material adverse impact on our business operations and results of operations.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we are unable to maintain our management information systems, including our IT infrastructure, to support critical business operations, produce information for business decision-making activities and support digital customer experience activities, we could experience a material adverse impact on our business or an inability to timely and accurately report our financial results.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data security breaches, ransomware or malware, could harm our business by exposing us to various liabilities and lost revenue, disrupting our delivery of products and services and damaging our reputation.</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extensively on our information technology systems and those of third parties to operate our business and store proprietary information about our products and intellectual property. Additionally, we and others acting on our behalf receive, process, store and transmit confidential data, including “personally identifiable information,” with respect to employees, vendors, customers and others. As cybersecurity incidents evolve, particularly given the increased use of artificial intelligence by threat actors to perpetuate cyberattacks, information technology systems like ours are increasingly vulnerable. Despite the security controls we have put in place, our facilities, systems and procedures, and those of our third-party service providers, are still at risk of security breaches, acts of vandalism, malware, ransomware, software viruses, misplaced or lost data, programming and/or human errors, phishing attempts, brute force attacks, exploiting software vulnerabilities (including “zero-day attacks”), supply chain attacks or other similar events. In particular, unauthorized access to our computer systems or stored data could result in the theft or improper disclosure of proprietary, confidential, sensitive or personal information, the deletion or modification of records or interruptions in our operations. These cybersecurity risks increase when we transmit information from one location to another, including transmissions over the Internet or other electronic networks. Any future significant compromise or breach of our data security, whether external or internal, or misuse of employee, vendor, customer, or Company data, could result in significant costs, lost sales, fines (which fines may not be covered by the Company’s insurance policies), lawsuits or regulatory scrutiny, lost customers and damage to our reputation. The use of artificial intelligence (AI) and generative AI technologies, both internally and through third-party providers, may create new cybersecurity risks or exacerbate existing ones, including the risk of cybersecurity incidents, data breaches or unauthorized access to sensitive information. These risks may be difficult to anticipate or detect and could result in significant business, legal or reputational harm. We employ a variety of security controls and countermeasures designed to mitigate these risks, but we cannot guarantee that all attacks can be successfully thwarted by these measures as the sophistication of attacks increases. As cyber threats continue to evolve, we may be required to expend additional resources to mitigate new and emerging threats while continuing to enhance our information security capabilities or to investigate and remediate security vulnerabilities.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vulnerabilities in some of the hardware or software we develop and sell, including in our engineering or in their implementation by our customers, could result in unauthorized access to our customers’ and/or consumers’ networks. Such unauthorized access could result in third parties gaining access to the private and personal information and technology of our customers, such as home health information, home cameras or other personal information or technology. Any such events could result in theft of personal information, trade secrets and intellectual property; give rise to legal proceedings or regulatory scrutiny; cause us to incur increased costs for insurance premiums, security, remediation and regulatory compliance; subject us to civil and criminal penalties (which criminal penalties may not be covered by our insurance policies); expose us to liabilities to our customers, employees, vendors, governmental authorities or other third parties; allow others to unfairly compete with us; disrupt our delivery of products and services; expose the confidential information of our customers and others; and have a negative impact on our reputation, all of which could have a material adverse effect on our business, financial condition, results of operations, cash flows and stock price.</w:t>
      </w:r>
    </w:p>
    <w:p>
      <w:pPr>
        <w:spacing w:after="0" w:line="188" w:lineRule="exact"/>
        <w:rPr>
          <w:sz w:val="20"/>
          <w:szCs w:val="20"/>
          <w:color w:val="auto"/>
        </w:rPr>
      </w:pPr>
    </w:p>
    <w:p>
      <w:pPr>
        <w:ind w:right="1580"/>
        <w:spacing w:after="0" w:line="254" w:lineRule="auto"/>
        <w:rPr>
          <w:sz w:val="20"/>
          <w:szCs w:val="20"/>
          <w:color w:val="auto"/>
        </w:rPr>
      </w:pPr>
      <w:r>
        <w:rPr>
          <w:rFonts w:ascii="Times New Roman" w:cs="Times New Roman" w:eastAsia="Times New Roman" w:hAnsi="Times New Roman"/>
          <w:sz w:val="18"/>
          <w:szCs w:val="18"/>
          <w:color w:val="auto"/>
        </w:rPr>
        <w:t>Furthermore, certain of our third-party relationships are subject to our vendor management program and are governed by written contracts that contain requirements relating to information security. We impose requirements on our counterparties, including vendors and other third parties, to comply with applicable privacy and cybersecurity laws related to the use and security of sensitive or personal information. We cannot provide assurances that these contractual requirements will be followed or will be adequate to prevent the misuse of this data. We have designed our risk identification, assessment and management processes and procedures to account for cybersecurity risks associated with our use of third-party service providers. However, we do not control the actions of our associated third parties, and any disruptions in their services caused by cybersecurity attacks and/or security incidents could adversely affect our ability to service our customers or otherwise conduct our business and expose us to the consequences described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an impact on our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inherent climate change risks wherever business is conducted. The potential physical impacts of climate change on our operations are highly uncertain and would be particular to the geographic areas in which we operate. These may include changes in rainfall and storm patterns and intensities, water shortages, changing sea levels and changing temperatures. These impacts may adversely impact the cost, production levels and financial performance of our operations. Climate-related events, including the increasing frequency and intensity of extreme weather events and their impact on critical infrastructure in the regions in which we operate, have the potential to disrupt our business, our third-party suppliers, and/or the business of our customers and may cause us to experience higher attrition, losses and additional costs to maintain or resume operations.</w:t>
      </w:r>
    </w:p>
    <w:p>
      <w:pPr>
        <w:spacing w:after="0" w:line="147" w:lineRule="exact"/>
        <w:rPr>
          <w:sz w:val="20"/>
          <w:szCs w:val="20"/>
          <w:color w:val="auto"/>
        </w:rPr>
      </w:pPr>
    </w:p>
    <w:p>
      <w:pPr>
        <w:ind w:right="520"/>
        <w:spacing w:after="0" w:line="245" w:lineRule="exact"/>
        <w:rPr>
          <w:sz w:val="20"/>
          <w:szCs w:val="20"/>
          <w:color w:val="auto"/>
        </w:rPr>
      </w:pPr>
      <w:r>
        <w:rPr>
          <w:rFonts w:ascii="Times New Roman" w:cs="Times New Roman" w:eastAsia="Times New Roman" w:hAnsi="Times New Roman"/>
          <w:sz w:val="18"/>
          <w:szCs w:val="18"/>
          <w:color w:val="auto"/>
        </w:rPr>
        <w:t>We are subject to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transition risks. Changing customer preferences and market trends toward lower carbon, energy efficient, and more sustainable products may affect demand for our existing product portfolio. Customers may increasingly favor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ind w:right="40"/>
        <w:spacing w:after="0" w:line="236" w:lineRule="exact"/>
        <w:rPr>
          <w:sz w:val="20"/>
          <w:szCs w:val="20"/>
          <w:color w:val="auto"/>
        </w:rPr>
      </w:pPr>
      <w:r>
        <w:rPr>
          <w:rFonts w:ascii="Times New Roman" w:cs="Times New Roman" w:eastAsia="Times New Roman" w:hAnsi="Times New Roman"/>
          <w:sz w:val="18"/>
          <w:szCs w:val="18"/>
          <w:color w:val="auto"/>
        </w:rPr>
        <w:t>suppliers that support emissions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reduction,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efficiency, and sustainability objectives. If we are unable to adapt our products, services or technologies to align with these evolving expectations, we may experience reduced demand, loss of market share, or pricing pressure. Addressing these transition risks may require increased investments in research and development, product redesign, and operational initiatives, which could increase costs.</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align with the Sustainability Accounting Standards Board (SASB) standards, Global Reporting Initiative (GRI) standards and makes use of the Carbon Disclosure Project (CDP) platform, which is committed to aligning with the Task Force on Climate Related Financial Disclosures (TCFD) recommendations to accurately assess, take potential proactive action and report as appropriate. For additional information, which is not incorporated by reference in this Annual Report on Form 10-K, see our Sustainability report on our website: https://www.vistancenetworks.com/corporate-responsibility-and-sustainability/.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Labor-Related Risks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attract, develop and maintain a highly skilled and diverse workforce or effectively manage changes in our workforce can have an adverse effect on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requires that we attract, develop and maintain a highly skilled and diverse workforce. Our employees are highly sought after by our competitors and other companies and our continued ability to compete effectively depends on our ability to attract, retain, develop and motivate highly skilled personnel for all areas of our organization. Our ability to do so has been and may continue to be impacted by challenges in the labor market, which has experienced and may continue to experience wage inflation, labor shortages, increased employee turnover, changes in availability of our workforce and a shift toward remote work. Any unplanned turnover, sustained labor shortage or unsuccessful implementation of our succession plans to backfill current leadership positions, including the Chief Executive Officer, or failure to attract, develop and maintain a highly skilled and diverse workforce can deplete our institutional knowledge base, erode our competitive advantage or result in increased costs due to increased competition for employees, higher employee turnover or increased employee benefit costs, all of which could adversely affect our business, financial condition and results of operations.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labor, including strikes or work stoppages, could have a material adverse effect on our business, results of operations and financial condition.</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experienced and could continue to experience disruption in our manufacturing operations and supply chain, including labor shortages or changes in the availability of our or our business partners’ workforce, strikes or work stoppages (including by third parties involved in the manufacture, production and distribution of our products). Although none of our U.S. employees are represented by unions, a significant portion of our international employees are members of unions or subject to works councils or similar statutory arrangements. Strikes or work stoppages or other business interruptions have occurred and may occur in the future if we or the third parties that are involved in the manufacturing, production and distribution of our products are unable to renew or enter into new agreements on satisfactory terms. This can impair the manufacturing and distribution of our products, interrupt product supply, lead to a loss of sales, increase our costs or otherwise affect our ability to fully implement future operational changes to enhance our efficiency or to adapt to changing business needs or strategy, all of which can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economic, political, foreign exchange rate and other risks.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international sales and an international manufacturing operation. Our major international manufacturing facility is located in Mexico, and our international sales are primarily in Canada, Mexico, and throughout the Europe, Middle East and Africa region and Asia Pacific region. For the year ended December 31, 2025, international sales represented 28.5% of our consolidated net sales. In general, our international sales have lower gross profit percentages than our domestic sales. To the extent international sales increase as a percentage of our net sales, our overall gross profit percentages may decline.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international sales and manufacturing operation are subject to the risks inherent in operating abroad, including, but not limited to, coordinating communications among and managing international operations; currency exchange rate fluctuations; economic and political destabilization; restrictive actions by foreign governments; price inflation; volatile interest rates; wage inflation; nationalization of businesses and expropriation of assets; the laws and policies of the U.S. and other countries affecting trade and tariffs, including additional tariffs implemented or proposed by the new administration (and counter tariffs from other countries that may be implemented in response): anti-bribery, foreign investment and loans; foreign tax laws, including the ability to recover amounts paid as value-added and similar taxes; potential restrictions on the repatriation of cash; reduced protection of intellectual property; longer customer payment cycles; compliance with local laws and regulations, including the imposition of new data privacy and climate change regulations; volatile geopolitical turmoil, including popular uprisings, regional conflicts, terrorism, and war; shipping interruptions, including shortages of containers or port congestion; major public health or safety concerns, such as pandemics and infectious diseases; natural or man-made disasters; inflexible labor contracts or labor laws in the event of business downturns; and economic boycott for doing business in certain countries. Although we maintain insurance coverage for certain types of losses, such insurance coverage may be insufficient to cover all losses that may arise.</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portion of our products sold in the U.S. are manufactured outside the U.S. To the extent there are changes in U.S. trade policies, which have been implemented and/or proposed by the new administration, such as significant increases in tariffs or duties for goods brought into the U.S., our competitive position may be adversely impacted and the resulting effect on our earnings could be material. For a more complete discussion of our risks related to trade policies, see the risk factor, “Additional tariffs or a global trade war could increase the cost of our products, which could adversely impact the competitiveness of our products” under “International Risks” in this Item 1A, Risk Factors section.</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Risks related to fluctuations in foreign currency rates has impacted in the past and could continue to impact our sales, financial condition, results of operations and cash flows. Our foreign currency risk exposure is mainly concentrated in Chinese yuan, European Union (E.U.) euro, British pound sterling, Mexican peso, Japanese yen, Canadian dollar, Australian dollar, Brazilian real, South African rand, Indian rupee and Czech koruna. We manage our foreign currency rate risks through regular operating and financing activities and use derivative financial instruments such as foreign exchange forward contracts. There can be no assurance that our risk management strategies will be effective or that the counterparties to our derivative contracts will be able to perform. In addition, foreign currency rates in many of the countries in which we operate have at times been extremely volatile and unpredictable. We may choose not to hedge or determine we are unable to effectively hedge the risks associated with this volatility. In such cases, we may experience declines in sales and adverse impacts on earnings and such changes could be material.</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or new tariffs or a global trade war could increase the cost of our products, which could adversely impact the competitiveness of our products.</w:t>
      </w:r>
    </w:p>
    <w:p>
      <w:pPr>
        <w:spacing w:after="0" w:line="5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There is uncertainty about the future relationship between the U.S. and various other countries, most significantly Mexico, with respect to trade policies and tariffs. The current U.S. administration has implemented and/or proposed substantial changes to U.S. foreign trade policy with respect to other countries, including imposing greater restrictions on international trade and significant increases in tariffs on goods imported into the U.S, but there remains uncertainty surrounding when all such changes may be implemented and the magnitude and duration of their impacts.</w:t>
      </w:r>
    </w:p>
    <w:p>
      <w:pPr>
        <w:spacing w:after="0" w:line="18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This uncertainty about the future relationship between the U.S. and certain of its trading partners may reduce trade between the U.S. and other nations, including countries in which we currently operate, or result in a global economic slowdown with long-term changes to global trade. Changes in policy or continued uncertainty could depress economic activity and restrict our access to suppliers or customers. The tariffs implemented on our products (or on materials, parts or components we use to manufacture our products) by past U.S. administrations increased the cost of our products manufactured in the U.S. and imported into the U.S. If additional tariffs or trade restrictions are implemented on our products (or on materials, parts or components we use to manufacture our products) by the U.S. or other countries, the cost of our products manufactured in Mexico and imported into the U.S. or other countries could increase further. We expect to continue to pass along some of these costs to our customers, but the increased cost could adversely affect the demand for products. We have been successful in the past in shifting the manufacturing locations for some of the impacted products, but this takes time and results in additional one-time costs and these alternative locations may have higher ongoing manufacturing costs. These cost increases could adversely affect the demand for our products and/or reduce margins, which could have a material adverse effect on our business and our earnings. Any or all of these factors could negatively affect demand for our products and our business, financial condition, results of operations and cash flows, and such effects could be material.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increased challenges in complying with anti-corruption laws and regulations of the U.S. government and various other international jurisdictions.</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required to comply with the anti-corruption laws and regulations of the U.S. government and various other international jurisdictions, such as the U.S. Foreign Corrupt Practices Act and the U.K. Bribery Act, and our failure to comply with these laws and regulations may expose us to significant liabilities. These laws and regulations may apply to companies, individual directors, officers, employees and agents, and may restrict our operations, trade practices, investment decisions and partnering activities. Violations of these legal requirements are punishable by significant criminal fines and imprisonment, civil penalties, disgorgement of profits, injunctions, debarment from government contracts and other remedial measures. We have established policies, procedures and internal controls designed to assist us and our personnel in complying with applicable U.S. and international anti-corruption laws and regulations. However, our employees, subcontractors or channel partners could take actions that violate these requirements. In addition, some of the international jurisdictions in which we operate have elevated levels of corruption. As a result, we are exposed to an increased risk of violating anti-corruption laws. Violation of anti-corruption laws could adversely affect our reputation, business, financial condition, results of operations and cash flows, and such effects could be material.</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sanctions programs that could subject us to liability or impair our ability to compete in international markets.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of our products, including purchased components of such products, are subject to export controls and may be exported only with the required export license or through an export license exemption. In addition, we are required to comply with certain U.S. and foreign import and customs rules, sanctions and embargos such as the U.S. enacted Uyghur Forced Labor Prevention Act (UFLPA) that became effective in 2022. Although we believe the risk of a UFLPA enforcement action against the Company is low at this time, we will continue to monitor the ongoing potential impact as the Customs and Border Protection guidance will continue to evolve. If we were to fail to comply with applicable export licensing, customs regulations, economic sanctions and other laws, we could be subject to substantial civil and criminal penalties, including fines, the incarceration of responsible employees and managers and the possible loss of export or import privileges. In addition, if our distributors fail to obtain appropriate import, export or re-export licenses or permits, we may also be adversely affected through reputational harm and penalties. Obtaining the necessary export license for a particular sale may be time-consuming and may result in a delay or loss of sales opportunities.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export control laws and economic sanctions prohibit the shipment of certain products to embargoed or sanctioned countries, governments and persons. While we train our employees to comply with these regulations and have systems in place designed to prevent compliance failures, we cannot assure you that a violation will not occur, whether knowingly or inadvertently. Any such shipment could have negative consequences, including government investigations, penalties, fines, civil and criminal sanctions and reputational harm.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change in export or import regulations, economic sanctions or related legislation, shift in the enforcement or scope of existing regulations or change in the countries, governments, persons or technologies targeted by such regulations could result in our decreased ability to export, import or sell our products to existing or potential customers, particularly those with international operations. Any limitation on our ability to export, import or sell our products could adversely affect our business, financial condition, results of operations and cash flows, and such effects could be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Regulatory Risks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protecting our intellectual property and in defending against claims that we are infringing on the intellectual property of others, and any such actions may be costly.</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encounter difficulties and significant costs in protecting our intellectual property rights or obtaining rights to additional intellectual property to permit us to continue or expand our business. Other companies, including some of our largest competitors, hold intellectual property rights in our industry, and the intellectual property rights of others could inhibit our ability to introduce new products unless we secure necessary licenses on commercially reasonable terms.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past, we have initiated litigation in order to enforce patents issued or licensed to us or to determine the scope and/or validity of a third-party’s patent or other proprietary rights, and we may initiate similar litigation in the future. We also have been and may in the future be subject to lawsuits by third parties seeking to enforce their own intellectual property rights, including against certain of the products or intellectual property that we have acquired through acquisitions. Any such litigation, regardless of outcome, could be costly and could subject us to significant liabilities or require us to cease using proprietary third-party technology. In addition, the payment of any damages or any necessary licensing fees or indemnification costs associated with a patent infringement claim could be material and could also materially adversely affect our cash flows and operating results. Such litigation can also be a significant distraction to management.</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certain markets, we may be required to address counterfeit versions of our products. We may incur significant costs in pursuing the originators of such counterfeit products and, if we are unsuccessful in eliminating them from the market, we may experience a reduction in the value of our products, harm to our reputation and/or a reduction in our net sales.</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of the nature of information that may pass through or be stored on certain of our solutions or networks, we, our vendors and our end customers are subject to complex and evolving U.S. and foreign laws and regulations regarding information privacy, data protection, cybersecurity and other related matters.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Globally, there has been an increase in laws and regulatory action concerning privacy-related matters. Generally, these laws create rights for individuals in their personal data as well as impose obligations on businesses regarding the handling of such personal data, including data of employees, consumers and business contacts. Several U.S. states are considering or have adopted legislation requiring companies to disclose the collection of personal data, protect the security of personal information that they hold or respond to individuals’ rights regarding their personal data. For example, the California Consumer Privacy Act (CCPA), which went into effect on January 1, 2020, subjects us to stricter obligations, greater fines and more private causes of action related to data security. There are now approximately 20 states that have enacted comprehensive data privacy laws. Many jurisdictions have also enacted or are enacting laws requiring companies to notify regulators or individuals of data security incidents involving certain types of personal data, including the rule issued by the U.S. Securities and Exchange Commission in the U.S. that requires public disclosure of material security incidents. These mandatory disclosures regarding security incidents often lead to widespread negative publicity. Any security incident, whether actual or perceived, could harm our reputation, erode customer confidence in the effectiveness of our data security measures, lead to lost revenue and/or increased expenses, negatively impact our ability to attract or retain customers, or subject us to third-party lawsuits, regulatory fines or other action or liability, which may not be covered by our insurance policies, and which could materially and adversely affect our business and operating results.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Foreign data protection, privacy and other laws and regulations can be more restrictive than those in the U.S. For example, the E.U.’s General Data Protection Regulation (GDPR) has required changes to products and service offerings, internal and external software systems, including our websites, and changes to many company processes and policies, as well as additional legal considerations for personal data transfers out of the E.U. Additionally, these rulings require companies like ours to assess their personal data transfers from the E.U. to determine whether the protections in the U.S. or any country without an adequacy determination meet E.U. standards in the context of the specific transfer. A European data protection authority could disagree with our assessment of such transfers, resulting in penalties or required changes in how we transfer data within our company.</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These U.S. federal and state and foreign laws and regulations, which often can be enforced by private parties or government entities, are constantly evolving. In addition, the application and interpretation of these laws and regulations are often uncertain, may be interpreted and applied inconsistently from jurisdiction to jurisdiction and may be contradictory with each other. For example, a government entity in one jurisdiction may demand the transfer of information forbidden from transfer by a government entity in another jurisdiction. If our actions were determined to be in violation of any of these disparate laws and regulations, in addition to the possibility of fines, we could be ordered to change our data practices, which could have an adverse effect on our business and results of operations and financial condition. There is also a risk that we, directly or as the result of a third-party service provider we use, could be found to have failed to comply with the laws or regulations applicable in a jurisdiction regarding the collection, handling, transfer, disposal or consent to the use of personal data, which could subject us to fines or other sanctions, as well as adverse reputational impact.</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Some states and countries are considering or have introduced laws and regulations requiring minimum or particular security controls be incorporated into devices that connect to the internet (so called “Internet of Things Security laws”). Where products we manufacture are considered in scope for some of these laws and regulations, compliance obligations or customer contracts may necessitate modification of existing product features and specifications or make inventory obsolete. Inconsistencies in these laws can introduce complexity into our design, manufacturing and inventory management processes.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Compliance with these existing and proposed laws and regulations can be costly and require significant management time and attention, and failure to comply can result in negative publicity and subject us to inquiries or investigations, claims or other remedies, including fines or demands that we modify or cease existing business practices. Customers may demand or request additional functionality in our products or services that they believe are necessary or appropriate to comply with such laws and regulations, which can cause us to incur significant additional costs and can delay or impede the development of new solutions. In addition, there is a risk that failures in systems designed to protect private, personal or proprietary data held by us or our customers using our solutions will allow such data to be disclosed to or seen by others, resulting in application of regulatory penalties, enforcement actions, remediation obligations, private litigation by parties whose data was improperly disclosed or claims from our customers for costs or damages they incur. There can be no assurance that the limitations of liability in our contracts would be enforceable or adequate or would otherwise protect us from any such liabilities or damages with respect to any particular claim. Our existing general liability insurance coverage and coverage for errors and omissions may not continue to be available on acceptable terms or may not be available in sufficient amounts to cover one or more large claims, or our insurers may deny coverage as to any future claim. The successful assertion of one or more large claims against us that exceeds available insurance coverage, or changes in our insurance policies, including premium increases or the imposition of large deductible or co-insurance requirements, could have a material adverse effect on our business, financial condition, results of operations and cash flow.</w:t>
      </w:r>
    </w:p>
    <w:p>
      <w:pPr>
        <w:spacing w:after="0" w:line="18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current and future social and environmental laws, regulations, policies and provisions, customer and investor pressures, other efforts to mitigate climate change and potential environmental liabilities may have a material adverse impact on our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environmental laws and regulations governing, among other things, discharges to air and water, management of regulated materials, energy consumption, handling and disposal of solid and hazardous waste and investigation and remediation of contaminated sites. We are also subject to laws and regulations regarding the types of substances allowable in certain of our products and the handling of our products at the end of their useful life. Because of the nature of our business, we have incurred and will continue to incur costs relating to compliance with or liability under these environmental laws and regulations, and these costs could be material. In addition, there is an increasing focus on corporate social and environmental responsibility in our industry, in which new laws and regulations, new or different interpretations of existing laws and regulations, expansion of existing legal requirements related to our products, the discovery of previously unknown contamination or the imposition of new remediation or discharge requirements could require us to incur costs or could become the basis for new or increased liabilities that could have a material adverse effect on our financial condition.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environmental laws impose strict and, in some circumstances, joint and several liability on current or former owners or operators of a contaminated property, as well as companies that generated, disposed of or arranged for the disposal of hazardous substances at a contaminated property, for the costs of investigation and remediation of such property. Our present and past facilities have been in operation for many years and over that time, in the course of those operations, hazardous substances and wastes have been used, generated and occasionally disposed of at such facilities, and we have disposed of waste products either directly or through third parties at numerous disposal sites. Consequently, it has been necessary to undertake investigation and remediation projects at certain sites and we have been, and may in the future be, held responsible for a portion of the investigation and clean-up costs at these sites and our share of those costs may be material.</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Efforts to regulate emissions of greenhouse gases (GHGs), such as carbon dioxide, are continuing to evolve in the U.S. and other countries where we operate, and this could increase the cost of raw materials, production processes and transportation of our products. If we are unable to comply with such regulations or sufficiently increase prices or otherwise reduce costs to offset the increased costs of compliance, GHG regulation could have a material adverse effect on our business, financial condition, results of operations and cash flow.</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number of governments or governmental bodies have also introduced or are contemplating regulatory changes in response to various climate change interest groups and the potential impact of climate change, such as the proposed reporting regulations issued by the Securities and Exchange Commission in the U.S. and final regulations issued in California and the E.U. Increased regulation regarding climate change could impose significant costs on us and our suppliers, including costs related to increased energy requirements, capital equipment, environmental monitoring and reporting, and other costs to comply with such regulations. Any adopted future climate change regulations could also negatively impact our ability to compete with companies situated in areas not subject to such limitations.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Additionally, some of our customers have adopted, or may adopt, procurement policies that include social and environmental responsibility provisions or requirements with which their suppliers should comply. An increasing number of investors are also pushing companies to disclose corporate social and environmental policies, practices and metrics. If we are unable to comply with such policies or meet the requirements of our customers and investors, it may impact the demand for our products, negatively impact our stock price or expose us to potential litigation.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the political significance around and uncertainty about how to best mitigate climate change, we cannot predict how legislation, regulation or customer and investor expectations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public health crisis could materially adversely affect our business, financial condition, results of operations and cash flows.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Pandemics have had and could have in the future, material and adverse effects on our ability to successfully operate and on our financial condition, results of operations and cash flows due to the following factors, among others:</w:t>
      </w:r>
    </w:p>
    <w:p>
      <w:pPr>
        <w:spacing w:after="0" w:line="54" w:lineRule="exact"/>
        <w:rPr>
          <w:sz w:val="20"/>
          <w:szCs w:val="20"/>
          <w:color w:val="auto"/>
        </w:rPr>
      </w:pPr>
    </w:p>
    <w:p>
      <w:pPr>
        <w:ind w:left="1020" w:right="3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concerns that may lead to a complete or partial closure of, or other operational issues at, our manufacturing facility or those of our contract manufacturers;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economic activity may severely impact our customers’ financial condition and liquidity and may lead to decreased demand for our products and services or impact the timing of on-going or planned projects;</w:t>
      </w:r>
    </w:p>
    <w:p>
      <w:pPr>
        <w:spacing w:after="0" w:line="53"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or address existing and anticipated liabilities on a timely basis;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our ability to operate in affected areas or delays in the supply of products or services to us from vendors that are needed for our efficient operations could adversely affect our operations;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outbreaks among our personnel, particularly if a significant number of them are impacted, could result in a deterioration in our ability to ensure business continuity during a disruption;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remote working arrangements may increase our vulnerability to cybersecurity incidents, including breaches of information systems security, which could damage our reputation, disrupt operations and expose us to claims from customers, suppliers, employees and others.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extent to which any future public health crisis impacts our operations and those of our customers and suppliers will depend on the scope, severity, duration and spread of the health crisis, the actions taken to contain it or mitigate its impact, and the direct and indirect economic effects of the crisis and containment measures, among others, all of which are uncertain and cannot be predicted with confidence.</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regular dividends on our common stock and, consequently, the ability of investors to achieve a return on their investment in the ordinary course will depend on appreciation in the price of our common stock.</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sale of our CCS business, we announced our intent to pay a one-time special dividend of no less than $10 to stockholders, which we currently expect to pay in the first half of 2026. However, we do not intend to declare and pay any other dividends, including any regular dividends, on our common stock for the foreseeable future. The payment of future dividends will be at the discretion of our Board. We currently intend to invest our future earnings, if any, to fund our growth. The success of an investment in our common stock will largely depend upon future appreciation in value, and there can be no guarantee that our common stock will appreciate in value.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Like many large, global companies, we rely heavily on digital technology to conduct operations and engage with our customers and business partners. As our engagements become more complex and interdependent, threats from security incidents like ransomware and data incidents may increase. To mitigate the threat to our business, we take a comprehensive approach to cybersecurity risk management and make securing our data and the data customers and other stakeholders entrust to us a top priority. Our Board of Directors (Board), through our Audit Committee, and our management team are actively involved in the oversight of our Enterprise Risk Management (ERM) program, of which cybersecurity represents an important component. As described in more detail below, we have established policies, standards, processes and practices for assessing, identifying and managing material risks from cybersecurity threats. We have made investments in resources to implement and maintain security measures to meet regulatory requirements and stakeholder expectations, and we intend to continue to make investments to maintain the security of our data and cybersecurity infrastructure. There can be no guarantee that our policies and procedures will be properly followed in every instance or that those policies and procedures will be effective. We believe that risks from prior cybersecurity threats, including as a result of previous cybersecurity incidents, have not materially affected our business to date. We can provide no assurance that there will not be incidents in the future or that any such incidents will not materially affect us, including our business strategy, results of operations or financial condition. For additional information regarding the risks associated with cybersecurity incidents, see Item 1A. “Risk Factors.”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is responsible for overseeing the risks associated with cybersecurity threats. The Audit Committee is responsible for oversight of cybersecurity and is actively engaged with our Chief Information Officer (CIO) and Chief Information Security Officer (CISO) at least quarterly, in addition to ad-hoc discussions, and our periodic cyber crisis tabletop exercises with participation from the Audit Committee and management. Our CIO and CISO also present on cybersecurity to our full Board at least annually. The commitment extends through our executive leadership team (ELT), who engage continually to review our cybersecurity strategy, planning and execution.</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Cybersecurity risk is part of our cross-functional ERM program because of the potential for negative impacts of an incident across our business. At least annually we conduct a cybersecurity risk assessment, bringing together threat intelligence, internal assessment of our control posture and third-party opinions. The risk assessment informs our Board and management team and drives the next year’s security strategy and initiatives.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implemented a cybersecurity program that is dedicated to protecting our business processes, technology assets and sensitive information entrusted to us by our customers, suppliers, employees and other stakeholders. Drawing on the National Institute of Standards and Technology (NIST) Cybersecurity Framework (CSF) and Center for Internet Security (CIS) 18 Critical Security Controls, our security program seeks to identify high-value enterprise assets and business processes and manage the cybersecurity threats facing them with layered controls. We practice a “Defense in Depth” methodology, meaning that valuable assets or business processes are generally protected with more than one layered control.</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cybersecurity program is led by our CIO and our CISO. Our CIO has served in various roles in information technology and information security for over twenty years. Our CISO has over twenty years of technology and security experience and has spent more than fifteen years leading cybersecurity functions. He is also a Certified Information Systems Security Professional (CISSP).</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CISO leads an in-house information security team responsible for cybersecurity risk and threat evaluation; the writing of relevant policies, control standards, and technical requirements; and the oversight and operation of security controls. The information security team monitors for potential incidents via a global team operating 24 x 7 x 365 in a “follow the sun” model. We also engage outside experts where a third-party opinion or subject matter expertise provides specific value, such as with penetration testing. We use industry-leading security tools, regularly update our technology roadmaps, conduct tabletop exercises and mandate cybersecurity awareness and training for all employees.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not only focus on cybersecurity threats directly facing us but also those that might affect us through one of the many third parties we do business with, including suppliers and customers. Our procurement and information security teams have a shared process to review the cybersecurity risk of many third parties we do business with, including assessments relevant to cybersecurity risk during onboarding, requiring certain contractual information security requirements and controls, and investigating third-party cybersecurity incidents as appropriate.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ind w:right="600"/>
        <w:spacing w:after="0" w:line="266" w:lineRule="auto"/>
        <w:rPr>
          <w:sz w:val="20"/>
          <w:szCs w:val="20"/>
          <w:color w:val="auto"/>
        </w:rPr>
      </w:pPr>
      <w:r>
        <w:rPr>
          <w:rFonts w:ascii="Times New Roman" w:cs="Times New Roman" w:eastAsia="Times New Roman" w:hAnsi="Times New Roman"/>
          <w:sz w:val="18"/>
          <w:szCs w:val="18"/>
          <w:color w:val="auto"/>
        </w:rPr>
        <w:t>In the event of a significant cybersecurity incident, we have a detailed Cybersecurity Incident Response Plan (CIRP) in place for informing key stakeholders, ensuring events are properly escalated and for contacting authorities. Our incident response plan is regularly validated and assessed to consider the types of decisions that would need to be made in the event of a cybersecurity incident.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2025, our headquarters is located in Richardson, Texas. Excluding the properties related to our discontinued operations, we operate primarily in various owned and leased offices, most of which also include a R&amp;D laboratory, and are located in the U.S., Ireland, Mexico, China, India and Taiwan. In addition, we maintain two designated R&amp;D facilities located in Mexico and China. We also operate in a leased manufacturing facility located in Mexico which consists of approximately 128,000 square feet, as well as a warehouse located in Ireland, both of which are related to our Aurora segment. We believe that our facilities are suitable and adequate for our business and is being appropriately utilized for its intended purposes. Our factory and machinery and equipment are generally in good operating condition, are reasonably maintained and in regular use. We consider the present level of fixed assets along with planned capital expenditures to be suitable and adequate for operations in the current business environment.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party to certain intellectual property claims and also periodically receive notices asserting that our products infringe on another party’s patents and other intellectual property rights. These claims and assertions, whether against us directly or against our customers, could require us to pay damages or royalties, stop offering the relevant products and/or cease other activities. We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our estimates. From time to time, we may also be involved as a plaintiff involving intellectual property claims. Gain contingencies, if any, are recognized when they are realized.</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also either a plaintiff or a defendant in certain other pending legal matters in the normal course of business. Management believes none of these pending legal matters will have a material adverse effect on our business or financial condition upon final disposition.</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we are subject to various federal, state, local and foreign laws and regulations governing the use, discharge, disposal and remediation of hazardous materials. Compliance with current laws and regulations has not had, and is not expected to have, a materially adverse effect on our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CCS segment that was completed subsequent to fiscal year end on January 9, 2026, our common stock continues to trade on the Nasdaq Global Select Market, but effective as of January 14, 2026, it trades under the ticker symbol “VISN.” For further discussion of the sale of the CCS segment, see Note 19 in the Notes to Consolidated Financial Statements included elsewhere in this Annual Report on Form 10-K. As of February 12, 2026, all of our outstanding shares of common stock are held by one stockholder of record, Cede &amp; Co., as nominee for the Depository Trust Company. Many brokers, banks and other institutions hold shares of common stock as nominees for beneficial owners that deposit these shares of common stock in participant accounts at the Depository Trust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purchase activity for the three months ended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Value of Shares that</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8"/>
                <w:szCs w:val="8"/>
                <w:color w:val="auto"/>
              </w:rPr>
            </w:pPr>
          </w:p>
        </w:tc>
        <w:tc>
          <w:tcPr>
            <w:tcW w:w="1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300" w:type="dxa"/>
            <w:vAlign w:val="bottom"/>
          </w:tcPr>
          <w:p>
            <w:pPr>
              <w:spacing w:after="0"/>
              <w:rPr>
                <w:sz w:val="8"/>
                <w:szCs w:val="8"/>
                <w:color w:val="auto"/>
              </w:rPr>
            </w:pPr>
          </w:p>
        </w:tc>
        <w:tc>
          <w:tcPr>
            <w:tcW w:w="230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56"/>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4"/>
                <w:szCs w:val="4"/>
                <w:color w:val="auto"/>
              </w:rPr>
            </w:pPr>
          </w:p>
        </w:tc>
        <w:tc>
          <w:tcPr>
            <w:tcW w:w="1280" w:type="dxa"/>
            <w:vAlign w:val="bottom"/>
            <w:vMerge w:val="restart"/>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21"/>
                <w:szCs w:val="21"/>
                <w:b w:val="1"/>
                <w:bCs w:val="1"/>
                <w:color w:val="auto"/>
                <w:w w:val="98"/>
                <w:vertAlign w:val="superscript"/>
              </w:rPr>
              <w:t>(1)</w:t>
            </w:r>
          </w:p>
        </w:tc>
        <w:tc>
          <w:tcPr>
            <w:tcW w:w="3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shd w:val="clear" w:color="auto" w:fill="CCECFF"/>
          </w:tcPr>
          <w:p>
            <w:pPr>
              <w:spacing w:after="0"/>
              <w:rPr>
                <w:sz w:val="18"/>
                <w:szCs w:val="18"/>
                <w:color w:val="auto"/>
              </w:rPr>
            </w:pPr>
          </w:p>
        </w:tc>
        <w:tc>
          <w:tcPr>
            <w:tcW w:w="1960" w:type="dxa"/>
            <w:vAlign w:val="bottom"/>
            <w:shd w:val="clear" w:color="auto" w:fill="CCECFF"/>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C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tcPr>
          <w:p>
            <w:pPr>
              <w:spacing w:after="0"/>
              <w:rPr>
                <w:sz w:val="18"/>
                <w:szCs w:val="18"/>
                <w:color w:val="auto"/>
              </w:rPr>
            </w:pPr>
          </w:p>
        </w:tc>
        <w:tc>
          <w:tcPr>
            <w:tcW w:w="19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20" w:type="dxa"/>
            <w:vAlign w:val="bottom"/>
            <w:tcBorders>
              <w:bottom w:val="single" w:sz="8" w:color="CCECFF"/>
            </w:tcBorders>
            <w:shd w:val="clear" w:color="auto" w:fill="CCECFF"/>
          </w:tcPr>
          <w:p>
            <w:pPr>
              <w:spacing w:after="0"/>
              <w:rPr>
                <w:sz w:val="18"/>
                <w:szCs w:val="18"/>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1,116,956</w:t>
            </w:r>
          </w:p>
        </w:tc>
        <w:tc>
          <w:tcPr>
            <w:tcW w:w="4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40" w:type="dxa"/>
            <w:vAlign w:val="bottom"/>
            <w:tcBorders>
              <w:bottom w:val="single" w:sz="8" w:color="CCECFF"/>
            </w:tcBorders>
            <w:shd w:val="clear" w:color="auto" w:fill="CCECFF"/>
          </w:tcPr>
          <w:p>
            <w:pPr>
              <w:spacing w:after="0"/>
              <w:rPr>
                <w:sz w:val="18"/>
                <w:szCs w:val="18"/>
                <w:color w:val="auto"/>
              </w:rPr>
            </w:pPr>
          </w:p>
        </w:tc>
        <w:tc>
          <w:tcPr>
            <w:tcW w:w="1960" w:type="dxa"/>
            <w:vAlign w:val="bottom"/>
            <w:tcBorders>
              <w:bottom w:val="single" w:sz="8" w:color="auto"/>
            </w:tcBorders>
            <w:shd w:val="clear" w:color="auto" w:fill="CCECFF"/>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CFF"/>
            </w:tcBorders>
            <w:gridSpan w:val="2"/>
            <w:shd w:val="clear" w:color="auto" w:fill="CCEC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1,124,678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40" w:type="dxa"/>
            <w:vAlign w:val="bottom"/>
          </w:tcPr>
          <w:p>
            <w:pPr>
              <w:spacing w:after="0"/>
              <w:rPr>
                <w:sz w:val="18"/>
                <w:szCs w:val="18"/>
                <w:color w:val="auto"/>
              </w:rPr>
            </w:pPr>
          </w:p>
        </w:tc>
        <w:tc>
          <w:tcPr>
            <w:tcW w:w="196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-170815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300" w:right="220" w:hanging="292"/>
        <w:spacing w:after="0" w:line="281"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purchased were withheld to satisfy the withholding tax obligations related to restricted stock units and performance share units that vested during the period.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The following graph compares cumulative total return on $100 invested on December 31, 2020 in each of our Common Stock, the Standard &amp; Poor’s 500 Stock Index (S&amp;P 500 Index) and the Standard &amp; Poor’s 1500 Communications Equipment Index (S&amp;P 1500 Communications Equipment). The return of the Standard &amp; Poor’s indices is calculated assuming reinvestment of dividends. We have not paid any dividends on our common stock over this period.</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announced our intent to pay a one-time special dividend of no less than $10 per share to stockholders, which we currently expect to pay in the first half of 2026. However, we do not intend to declare and pay any other dividends, including any regular dividends, on our common stock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60960</wp:posOffset>
            </wp:positionV>
            <wp:extent cx="5168900" cy="254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6890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4"/>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Company / Index</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240" w:type="dxa"/>
            <w:vAlign w:val="bottom"/>
          </w:tcPr>
          <w:p>
            <w:pPr>
              <w:spacing w:after="0"/>
              <w:rPr>
                <w:sz w:val="17"/>
                <w:szCs w:val="17"/>
                <w:color w:val="auto"/>
              </w:rPr>
            </w:pPr>
          </w:p>
        </w:tc>
        <w:tc>
          <w:tcPr>
            <w:tcW w:w="10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00" w:type="dxa"/>
            <w:vAlign w:val="bottom"/>
          </w:tcPr>
          <w:p>
            <w:pPr>
              <w:spacing w:after="0"/>
              <w:rPr>
                <w:sz w:val="17"/>
                <w:szCs w:val="17"/>
                <w:color w:val="auto"/>
              </w:rPr>
            </w:pPr>
          </w:p>
        </w:tc>
      </w:tr>
      <w:tr>
        <w:trPr>
          <w:trHeight w:val="216"/>
        </w:trPr>
        <w:tc>
          <w:tcPr>
            <w:tcW w:w="39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Vistance Networks, Inc.</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2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00" w:type="dxa"/>
            <w:vAlign w:val="bottom"/>
            <w:shd w:val="clear" w:color="auto" w:fill="CCEC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00" w:type="dxa"/>
            <w:vAlign w:val="bottom"/>
          </w:tcPr>
          <w:p>
            <w:pPr>
              <w:spacing w:after="0"/>
              <w:rPr>
                <w:sz w:val="18"/>
                <w:szCs w:val="18"/>
                <w:color w:val="auto"/>
              </w:rPr>
            </w:pPr>
          </w:p>
        </w:tc>
      </w:tr>
      <w:tr>
        <w:trPr>
          <w:trHeight w:val="198"/>
        </w:trPr>
        <w:tc>
          <w:tcPr>
            <w:tcW w:w="3940" w:type="dxa"/>
            <w:vAlign w:val="bottom"/>
            <w:gridSpan w:val="2"/>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S&amp;P 1500 Communications</w:t>
            </w:r>
          </w:p>
        </w:tc>
        <w:tc>
          <w:tcPr>
            <w:tcW w:w="10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34"/>
        </w:trPr>
        <w:tc>
          <w:tcPr>
            <w:tcW w:w="394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Equipment Index</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220" w:type="dxa"/>
            <w:vAlign w:val="bottom"/>
            <w:shd w:val="clear" w:color="auto" w:fill="CCECFF"/>
          </w:tcPr>
          <w:p>
            <w:pPr>
              <w:spacing w:after="0"/>
              <w:rPr>
                <w:sz w:val="20"/>
                <w:szCs w:val="20"/>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157.66</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shd w:val="clear" w:color="auto" w:fill="CCECFF"/>
          </w:tcPr>
          <w:p>
            <w:pPr>
              <w:spacing w:after="0"/>
              <w:rPr>
                <w:sz w:val="20"/>
                <w:szCs w:val="20"/>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is for the year ended December 31, 2025 compared with the year ended December 31, 2024. This comparison should be read in conjunction with our consolidated financial statements and related notes appearing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included in Part I, Item 1A or in other parts of this Annual Report on Form 10-K. For a discussion and analysis of our financial condition and results of operations for the year ended December 31, 2024 compared to December 31, 2023, see Part II, Item 7, “Management’s Discussion and Analysis of Financial Condition and Results of Operations” included in the 2024 Annual Report on Form 10-K, filed with the Securities and Exchange Commission on February 26,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Since 2021, we have been engaged in a transformation initiative designed to drive shareholder value through three pillars: profitable growth, operational efficiency and portfolio optimization. We continue to focus on driving operational efficiencies and other cost savings initiatives, as well as portfolio optimization, all of which enabled us to take advantage of the recovery in demand that we started to see beginning in late 2024 and continuing through 2025. We continue to analyze the impacts of the recently announced tariffs under the current U.S. administration; however, we believe we have a manageable plan in place to prepare for potential impacts. Our approach of focusing on matters in our control has driven improved results in 2025 and will remain our focus into 2026. As a result, we incurred $19.7 million, $36.7 million and $29.4 million of net restructuring costs and $29.9 million, $63.4 million and $27.1 million of transaction, transformation and integration costs during the years ended December 31, 2025, 2024 and 2023, respectively, primarily related to our transformation initiative. We expect to continue to incur such costs during 2026 as we continue executing on our transformation initiative, and the resulting charges and cash requirements could be material.</w:t>
      </w:r>
    </w:p>
    <w:p>
      <w:pPr>
        <w:spacing w:after="0" w:line="188"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During the years ended December 31, 2023, 2024 and 2025, we executed several strategic transactions that are further described in Note 3 and Note 4 in the Notes to Consolidated Financial Statements included elsewhere in this Annual Report on Form 10-K. These transactions included the acquisition of certain assets of Casa Systems, Inc. (Casa), as well as multiple divestitures, including the Home business, the Outdoor Wireless Networks (OWN) segment, the Distributed Antenna Systems (DAS) business unit, the OneCell business, and the Connectivity and Cable Solutions (CCS) segment. Several of these divestitures met the criteria for discontinued operations under Accounting Standard Codification (ASC) 205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and "held for sale" classification under ASC 360-10,</w:t>
      </w:r>
      <w:r>
        <w:rPr>
          <w:rFonts w:ascii="Times New Roman" w:cs="Times New Roman" w:eastAsia="Times New Roman" w:hAnsi="Times New Roman"/>
          <w:sz w:val="18"/>
          <w:szCs w:val="18"/>
          <w:i w:val="1"/>
          <w:iCs w:val="1"/>
          <w:color w:val="auto"/>
        </w:rPr>
        <w:t xml:space="preserve"> Impairment and Disposal of Long Lived Assets. </w:t>
      </w:r>
      <w:r>
        <w:rPr>
          <w:rFonts w:ascii="Times New Roman" w:cs="Times New Roman" w:eastAsia="Times New Roman" w:hAnsi="Times New Roman"/>
          <w:sz w:val="18"/>
          <w:szCs w:val="18"/>
          <w:color w:val="auto"/>
        </w:rPr>
        <w:t>Detailed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gain or loss recognition, held for sale measurements, and the related balance sheet, statement of operations, and statement of cash flow impacts are included within those notes.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Renaming</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Effective April 1, 2025, following the divestiture of the DAS business unit, we renamed our Networking, Intelligent Cellular &amp; Security Solutions (NICS) segment to RUCKUS. The name change did not impact our operating or reportable segment structure, chief operating decision maker (CODM) reporting, or historical segment results. Historical activities occurring prior to the effective date are referenced under the former NICS name.</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divestiture of the CCS segment, and effective upon the closing of that transaction on January 9, 2026, we renamed our Access Network Solutions (ANS) segment to Aurora Networks (Aurora). The name change did not alter our operating or reportable segments, the information reviewed by the CODM, or previously reported segment results. Historical activities occurring prior to the effective date are referenced under the former ANS name.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Realignments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better align product oversight with how the business is managed:</w:t>
      </w:r>
    </w:p>
    <w:p>
      <w:pPr>
        <w:spacing w:after="0" w:line="117"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a product line was transferred from the RUCKUS (formerly NICS) segment to the Aurora (formerly ANS) segment.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2024, certain product lines were transferred from the CCS segment (which became a discontinued operation in the fourth quarter of 2025) to the Aurora (formerly ANS)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prior periods presented have been recast to reflect these organizational changes.</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Unless otherwise noted, the following discussions relate solely to our continuing operations. As a result, we are reporting financial performance based on the following remaining reportable segments: RUCKUS and Aurora. For further discussion of the discontinued operations related to our CCS segment, OWN segment, DAS business unit and Home business, see Note 4 in the Notes to Consolidated Financial Statements included elsewhere in the Annual Report on Form 10-K.</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continuing operations results include general corporate costs that were previously allocated to the CCS segment, OWN segment and DAS business unit. These indirect costs, reflected on the corporate and other line item within our segment information below, are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our transition service agreement with Amphenol Corporation (Amphenol TSA). The corporate and other costs related to the CCS segment will be reallocated to our remaining segments beginning in the first quarter of 2026.</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below we refer to certain supplementary Core financial measures, which reflect the results of the RUCKUS and Aurora segments, in the aggregate, and exclude general corporate costs that were previously allocated to the CCS segment, OWN segment and DAS business unit, since these costs were not directly attributable to the discontinued operations. The Core results represent the business results as currently managed and reported by the Company. Future results and the composition of any business divested in the future may vary and differ materially from the presentation of the Core financial measures. See the “Segment Results” section below for the aggregation of our Core financial measures.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ind w:left="44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year ended December 31, 2025 with the year ended December 31, 2024</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7"/>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2"/>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84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84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74"/>
              </w:rPr>
              <w:t>(dollars</w:t>
            </w:r>
          </w:p>
        </w:tc>
        <w:tc>
          <w:tcPr>
            <w:tcW w:w="920" w:type="dxa"/>
            <w:vAlign w:val="bottom"/>
            <w:gridSpan w:val="2"/>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73"/>
              </w:rPr>
              <w:t>except</w:t>
            </w:r>
          </w:p>
        </w:tc>
        <w:tc>
          <w:tcPr>
            <w:tcW w:w="14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per share amounts)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32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3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03"/>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2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Core operating income (loss) </w:t>
            </w:r>
            <w:r>
              <w:rPr>
                <w:rFonts w:ascii="Times New Roman" w:cs="Times New Roman" w:eastAsia="Times New Roman" w:hAnsi="Times New Roman"/>
                <w:sz w:val="24"/>
                <w:szCs w:val="24"/>
                <w:color w:val="auto"/>
                <w:vertAlign w:val="superscript"/>
              </w:rPr>
              <w:t>(1)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8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Non-GAAP adjusted EBITDA </w:t>
            </w:r>
            <w:r>
              <w:rPr>
                <w:rFonts w:ascii="Times New Roman" w:cs="Times New Roman" w:eastAsia="Times New Roman" w:hAnsi="Times New Roman"/>
                <w:sz w:val="24"/>
                <w:szCs w:val="24"/>
                <w:color w:val="auto"/>
                <w:vertAlign w:val="superscript"/>
              </w:rPr>
              <w:t>(2)</w:t>
            </w: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6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03"/>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2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earnings (loss) from continuing</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per share</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41" w:lineRule="exact"/>
        <w:rPr>
          <w:sz w:val="20"/>
          <w:szCs w:val="20"/>
          <w:color w:val="auto"/>
        </w:rPr>
      </w:pPr>
    </w:p>
    <w:p>
      <w:pPr>
        <w:ind w:left="520" w:right="40" w:hanging="512"/>
        <w:spacing w:after="0" w:line="256" w:lineRule="auto"/>
        <w:tabs>
          <w:tab w:leader="none" w:pos="5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Core financial measures reflect the results of the RUCKUS and Aurora segments, in the aggregate, and exclude general corporate costs that were previously allocated to the CCS segment, OWN segment and DAS business unit, since these costs were not directly attributable to these discontinued operations. Beginning in the first quarter of 2025, these costs related to the OWN segment and DAS business unit have been reallocated to our remaining segments. These costs related to the CCS segment will be reallocated to our remaining segments beginning in the first quarter of 2026. See “Segment Results” section below for the aggregation of our Core financial measures.</w:t>
      </w:r>
    </w:p>
    <w:p>
      <w:pPr>
        <w:spacing w:after="0" w:line="23"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“Reconciliation of Non-GAAP Measures” in this Management’s Discussion and Analysis of Financial Condition and Results of Operations, below.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8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r>
      <w:tr>
        <w:trPr>
          <w:trHeight w:val="142"/>
        </w:trPr>
        <w:tc>
          <w:tcPr>
            <w:tcW w:w="2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2"/>
                <w:szCs w:val="12"/>
                <w:color w:val="auto"/>
              </w:rPr>
            </w:pPr>
          </w:p>
        </w:tc>
        <w:tc>
          <w:tcPr>
            <w:tcW w:w="15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r>
      <w:tr>
        <w:trPr>
          <w:trHeight w:val="142"/>
        </w:trPr>
        <w:tc>
          <w:tcPr>
            <w:tcW w:w="2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3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gridSpan w:val="2"/>
            <w:shd w:val="clear" w:color="auto" w:fill="CCEC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1020" w:type="dxa"/>
            <w:vAlign w:val="bottom"/>
            <w:gridSpan w:val="2"/>
            <w:shd w:val="clear" w:color="auto" w:fill="CCEC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78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060" w:type="dxa"/>
            <w:vAlign w:val="bottom"/>
            <w:gridSpan w:val="3"/>
            <w:shd w:val="clear" w:color="auto" w:fill="CCECFF"/>
          </w:tcPr>
          <w:p>
            <w:pPr>
              <w:ind w:left="156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Domestic</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8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w w:val="95"/>
              </w:rPr>
              <w:t>49.7</w:t>
            </w:r>
          </w:p>
        </w:tc>
        <w:tc>
          <w:tcPr>
            <w:tcW w:w="180" w:type="dxa"/>
            <w:vAlign w:val="bottom"/>
          </w:tcPr>
          <w:p>
            <w:pPr>
              <w:spacing w:after="0"/>
              <w:rPr>
                <w:sz w:val="18"/>
                <w:szCs w:val="18"/>
                <w:color w:val="auto"/>
              </w:rPr>
            </w:pPr>
          </w:p>
        </w:tc>
      </w:tr>
      <w:tr>
        <w:trPr>
          <w:trHeight w:val="216"/>
        </w:trPr>
        <w:tc>
          <w:tcPr>
            <w:tcW w:w="23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International</w:t>
            </w:r>
          </w:p>
        </w:tc>
        <w:tc>
          <w:tcPr>
            <w:tcW w:w="132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380" w:type="dxa"/>
            <w:vAlign w:val="bottom"/>
            <w:shd w:val="clear" w:color="auto" w:fill="CCECFF"/>
          </w:tcPr>
          <w:p>
            <w:pPr>
              <w:spacing w:after="0"/>
              <w:rPr>
                <w:sz w:val="18"/>
                <w:szCs w:val="18"/>
                <w:color w:val="auto"/>
              </w:rPr>
            </w:pPr>
          </w:p>
        </w:tc>
        <w:tc>
          <w:tcPr>
            <w:tcW w:w="64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80" w:type="dxa"/>
            <w:vAlign w:val="bottom"/>
            <w:gridSpan w:val="2"/>
            <w:shd w:val="clear" w:color="auto" w:fill="CCECFF"/>
          </w:tcPr>
          <w:p>
            <w:pPr>
              <w:ind w:left="1560"/>
              <w:spacing w:after="0"/>
              <w:rPr>
                <w:sz w:val="20"/>
                <w:szCs w:val="20"/>
                <w:color w:val="auto"/>
              </w:rPr>
            </w:pPr>
            <w:r>
              <w:rPr>
                <w:rFonts w:ascii="Times New Roman" w:cs="Times New Roman" w:eastAsia="Times New Roman" w:hAnsi="Times New Roman"/>
                <w:sz w:val="18"/>
                <w:szCs w:val="18"/>
                <w:color w:val="auto"/>
                <w:w w:val="95"/>
              </w:rPr>
              <w:t>19.7</w:t>
            </w:r>
          </w:p>
        </w:tc>
        <w:tc>
          <w:tcPr>
            <w:tcW w:w="180" w:type="dxa"/>
            <w:vAlign w:val="bottom"/>
            <w:shd w:val="clear" w:color="auto" w:fill="CCECFF"/>
          </w:tcPr>
          <w:p>
            <w:pPr>
              <w:spacing w:after="0"/>
              <w:rPr>
                <w:sz w:val="18"/>
                <w:szCs w:val="18"/>
                <w:color w:val="auto"/>
              </w:rPr>
            </w:pPr>
          </w:p>
        </w:tc>
      </w:tr>
    </w:tbl>
    <w:p>
      <w:pPr>
        <w:spacing w:after="0" w:line="30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sales in 2025 increased $549.0 million, or 39.7%, compared to the prior year primarily driven by increased sales volumes, partially offset by lower pricing and unfavorable product mix. The increase was driven by higher net sales in the Aurora segment of $396.9 million and the RUCKUS segment of $152.6 million. For further details by segment, see “Segment Results” below.</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a regional perspective in 2025, net sales increased in the U.S. by $458.2 million, the Europe, Middle East and Africa (EMEA) region by $64.8 million, the Asia Pacific (APAC) region by $30.0 million and Canada by $5.5 million, partially offset by a decrease in the Caribbean and Latin American (CALA) region by $9.5 million. Net sales to customers located outside of the U.S. comprised 28.5% of total net sales for 2025 compared to 33.3% for 2024. Foreign exchange rate changes did not have a material impact on our net sales during 2025. For additional information on regional sales by segment, see discussion of Segment Results below and Note 17 in the Notes to Consolidated Financial Statements included elsewhere in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TSA income, SG&amp;A expense and R&amp;D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140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CECFF"/>
          </w:tcPr>
          <w:p>
            <w:pPr>
              <w:jc w:val="right"/>
              <w:ind w:right="72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400" w:type="dxa"/>
            <w:vAlign w:val="bottom"/>
            <w:shd w:val="clear" w:color="auto" w:fill="CCECFF"/>
          </w:tcPr>
          <w:p>
            <w:pPr>
              <w:spacing w:after="0"/>
              <w:rPr>
                <w:sz w:val="18"/>
                <w:szCs w:val="18"/>
                <w:color w:val="auto"/>
              </w:rPr>
            </w:pPr>
          </w:p>
        </w:tc>
        <w:tc>
          <w:tcPr>
            <w:tcW w:w="860" w:type="dxa"/>
            <w:vAlign w:val="bottom"/>
            <w:shd w:val="clear" w:color="auto" w:fill="CCECFF"/>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8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percent of sales</w:t>
            </w:r>
          </w:p>
        </w:tc>
        <w:tc>
          <w:tcPr>
            <w:tcW w:w="8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w:t>
            </w:r>
          </w:p>
        </w:tc>
        <w:tc>
          <w:tcPr>
            <w:tcW w:w="860" w:type="dxa"/>
            <w:vAlign w:val="bottom"/>
          </w:tcPr>
          <w:p>
            <w:pPr>
              <w:spacing w:after="0"/>
              <w:rPr>
                <w:sz w:val="18"/>
                <w:szCs w:val="18"/>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43.8%</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TSA income</w:t>
            </w:r>
          </w:p>
        </w:tc>
        <w:tc>
          <w:tcPr>
            <w:tcW w:w="880" w:type="dxa"/>
            <w:vAlign w:val="bottom"/>
            <w:shd w:val="clear" w:color="auto" w:fill="CCECFF"/>
          </w:tcPr>
          <w:p>
            <w:pPr>
              <w:spacing w:after="0"/>
              <w:rPr>
                <w:sz w:val="18"/>
                <w:szCs w:val="18"/>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0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shd w:val="clear" w:color="auto" w:fill="CCECFF"/>
          </w:tcPr>
          <w:p>
            <w:pPr>
              <w:spacing w:after="0"/>
              <w:rPr>
                <w:sz w:val="18"/>
                <w:szCs w:val="18"/>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percent of sales</w:t>
            </w:r>
          </w:p>
        </w:tc>
        <w:tc>
          <w:tcPr>
            <w:tcW w:w="8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Pr>
          <w:p>
            <w:pPr>
              <w:spacing w:after="0"/>
              <w:rPr>
                <w:sz w:val="18"/>
                <w:szCs w:val="18"/>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880" w:type="dxa"/>
            <w:vAlign w:val="bottom"/>
            <w:shd w:val="clear" w:color="auto" w:fill="CCECFF"/>
          </w:tcPr>
          <w:p>
            <w:pPr>
              <w:spacing w:after="0"/>
              <w:rPr>
                <w:sz w:val="18"/>
                <w:szCs w:val="18"/>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40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CFF"/>
          </w:tcPr>
          <w:p>
            <w:pPr>
              <w:spacing w:after="0"/>
              <w:rPr>
                <w:sz w:val="18"/>
                <w:szCs w:val="18"/>
                <w:color w:val="auto"/>
              </w:rPr>
            </w:pPr>
          </w:p>
        </w:tc>
      </w:tr>
      <w:tr>
        <w:trPr>
          <w:trHeight w:val="216"/>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percent of sales</w:t>
            </w:r>
          </w:p>
        </w:tc>
        <w:tc>
          <w:tcPr>
            <w:tcW w:w="8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860" w:type="dxa"/>
            <w:vAlign w:val="bottom"/>
          </w:tcPr>
          <w:p>
            <w:pPr>
              <w:spacing w:after="0"/>
              <w:rPr>
                <w:sz w:val="18"/>
                <w:szCs w:val="18"/>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34.1%</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R&amp;D expense</w:t>
            </w:r>
          </w:p>
        </w:tc>
        <w:tc>
          <w:tcPr>
            <w:tcW w:w="880" w:type="dxa"/>
            <w:vAlign w:val="bottom"/>
            <w:shd w:val="clear" w:color="auto" w:fill="CCECFF"/>
          </w:tcPr>
          <w:p>
            <w:pPr>
              <w:spacing w:after="0"/>
              <w:rPr>
                <w:sz w:val="18"/>
                <w:szCs w:val="18"/>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40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38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CFF"/>
          </w:tcPr>
          <w:p>
            <w:pPr>
              <w:spacing w:after="0"/>
              <w:rPr>
                <w:sz w:val="18"/>
                <w:szCs w:val="18"/>
                <w:color w:val="auto"/>
              </w:rPr>
            </w:pPr>
          </w:p>
        </w:tc>
      </w:tr>
      <w:tr>
        <w:trPr>
          <w:trHeight w:val="234"/>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a percent of sales</w:t>
            </w:r>
          </w:p>
        </w:tc>
        <w:tc>
          <w:tcPr>
            <w:tcW w:w="8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860" w:type="dxa"/>
            <w:vAlign w:val="bottom"/>
          </w:tcPr>
          <w:p>
            <w:pPr>
              <w:spacing w:after="0"/>
              <w:rPr>
                <w:sz w:val="20"/>
                <w:szCs w:val="20"/>
                <w:color w:val="auto"/>
              </w:rPr>
            </w:pP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17.9%</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(net sales less cost of sales)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Gross profit increased in 2025 compared to the prior year primarily due to higher net sales volumes, partially offset by lower pricing, unfavorable product mix and higher input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 agreement income (TSA)</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TSA income is related to the Amphenol TSA executed in conjunction with the closing of the transactions to divest of the OWN segment and DAS business unit and the OneCell business, as well as the TSA we entered into with Vantiva in conjunction with the closing of the transaction to divest of the Home business. Under the TSAs, we provide and receive certain post-closing support on a transitional basis. As of the year ended December 31, 2024, the majority of the Vantiva TSA services had ceased. For additional information related to the TSAs, see Note 4 in the Notes to Consolidated Financial Statements included elsewhere in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For 2025, selling, general and administrative (SG&amp;A) expense increased by $25.4 million compared to 2024, primarily due to higher variable incentive compensation expense of $42.0 million and higher realization of cost savings in the prior year related to our transformation initiative, partially offset by lower transaction, transformation and integration costs of $33.5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for 2025 increased by $36.0 million due to higher spending within both the RUCKUS and Aurora segments, but decreased as a percentage of sales, compared to the prior year. R&amp;D activities generally involve ensuring that our products are capable of meeting the evolving technological needs of our customers, bringing new products to market and modifying existing products to better serve our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purchased intangible assets, Restructuring costs, net and Other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3300" w:type="dxa"/>
            <w:vAlign w:val="bottom"/>
            <w:tcBorders>
              <w:bottom w:val="single" w:sz="8" w:color="auto"/>
            </w:tcBorders>
            <w:gridSpan w:val="5"/>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98"/>
        </w:trPr>
        <w:tc>
          <w:tcPr>
            <w:tcW w:w="454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purchased</w:t>
            </w:r>
          </w:p>
        </w:tc>
        <w:tc>
          <w:tcPr>
            <w:tcW w:w="92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3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r>
      <w:tr>
        <w:trPr>
          <w:trHeight w:val="234"/>
        </w:trPr>
        <w:tc>
          <w:tcPr>
            <w:tcW w:w="45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920" w:type="dxa"/>
            <w:vAlign w:val="bottom"/>
            <w:shd w:val="clear" w:color="auto" w:fill="CCEC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7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6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(26.7)</w:t>
            </w:r>
          </w:p>
        </w:tc>
        <w:tc>
          <w:tcPr>
            <w:tcW w:w="1520" w:type="dxa"/>
            <w:vAlign w:val="bottom"/>
            <w:gridSpan w:val="2"/>
            <w:shd w:val="clear" w:color="auto" w:fill="CCECFF"/>
          </w:tcPr>
          <w:p>
            <w:pPr>
              <w:ind w:left="9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w:t>
            </w:r>
          </w:p>
        </w:tc>
        <w:tc>
          <w:tcPr>
            <w:tcW w:w="15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CFF"/>
          </w:tcPr>
          <w:p>
            <w:pPr>
              <w:spacing w:after="0"/>
              <w:rPr>
                <w:sz w:val="18"/>
                <w:szCs w:val="18"/>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CFF"/>
          </w:tcPr>
          <w:p>
            <w:pPr>
              <w:spacing w:after="0"/>
              <w:rPr>
                <w:sz w:val="18"/>
                <w:szCs w:val="18"/>
                <w:color w:val="auto"/>
              </w:rPr>
            </w:pPr>
          </w:p>
        </w:tc>
        <w:tc>
          <w:tcPr>
            <w:tcW w:w="1520" w:type="dxa"/>
            <w:vAlign w:val="bottom"/>
            <w:gridSpan w:val="2"/>
            <w:shd w:val="clear" w:color="auto" w:fill="CCECFF"/>
          </w:tcPr>
          <w:p>
            <w:pPr>
              <w:ind w:left="98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amortization of purchased intangible assets was lower in 2025 compared to the prior year because certain of our intangible assets became fully amortized.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 net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net restructuring costs recorded in 2025 were primarily related to our transformation initiative. For the year ended December 31, 2025, our net restructuring costs were $19.7 million and we paid $9.5 million to settle restructuring liabilities. We expect to make cash payments of $4.6 million in 2026 and $0.3 million during 2027 to settle our transformation restructuring actions. Additional restructuring actions related to our transformation initiative are expected to be identified, and the resulting charges and cash requirements could be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change in other represents the pretax loss of $4.8 million on the sale of our OneCell business to Amphenol, which was completed in May 2025. For additional information related to the disposal of our OneCell business, see Note 4 in the Notes to Consolidated Financial Statements included elsewhere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(dollars</w:t>
            </w:r>
          </w:p>
        </w:tc>
        <w:tc>
          <w:tcPr>
            <w:tcW w:w="26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2180" w:type="dxa"/>
            <w:vAlign w:val="bottom"/>
            <w:gridSpan w:val="2"/>
            <w:shd w:val="clear" w:color="auto" w:fill="CCEC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920" w:type="dxa"/>
            <w:vAlign w:val="bottom"/>
            <w:shd w:val="clear" w:color="auto" w:fill="CCECFF"/>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gridSpan w:val="2"/>
            <w:shd w:val="clear" w:color="auto" w:fill="CCEC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880" w:type="dxa"/>
            <w:vAlign w:val="bottom"/>
            <w:gridSpan w:val="2"/>
            <w:shd w:val="clear" w:color="auto" w:fill="CCECFF"/>
          </w:tcPr>
          <w:p>
            <w:pPr>
              <w:ind w:left="118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8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in 2025 compared to 2024 was primarily driven by certain unhedged currencies.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income (expense), net in 2025 compared to 2024 was not significant.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Interest income and Income taxes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2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14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2"/>
                <w:szCs w:val="12"/>
                <w:color w:val="auto"/>
              </w:rPr>
            </w:pP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w:t>
            </w:r>
          </w:p>
        </w:tc>
        <w:tc>
          <w:tcPr>
            <w:tcW w:w="480" w:type="dxa"/>
            <w:vAlign w:val="bottom"/>
          </w:tcPr>
          <w:p>
            <w:pPr>
              <w:spacing w:after="0"/>
              <w:rPr>
                <w:sz w:val="12"/>
                <w:szCs w:val="12"/>
                <w:color w:val="auto"/>
              </w:rPr>
            </w:pPr>
          </w:p>
        </w:tc>
        <w:tc>
          <w:tcPr>
            <w:tcW w:w="1140" w:type="dxa"/>
            <w:vAlign w:val="bottom"/>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2"/>
                <w:szCs w:val="12"/>
                <w:color w:val="auto"/>
              </w:rPr>
            </w:pPr>
          </w:p>
        </w:tc>
        <w:tc>
          <w:tcPr>
            <w:tcW w:w="1880" w:type="dxa"/>
            <w:vAlign w:val="bottom"/>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80" w:type="dxa"/>
            <w:vAlign w:val="bottom"/>
            <w:vMerge w:val="continue"/>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1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gridSpan w:val="2"/>
            <w:shd w:val="clear" w:color="auto" w:fill="CCEC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60" w:type="dxa"/>
            <w:vAlign w:val="bottom"/>
            <w:gridSpan w:val="2"/>
            <w:shd w:val="clear" w:color="auto" w:fill="CCEC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6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0" w:lineRule="exact"/>
        <w:rPr>
          <w:sz w:val="20"/>
          <w:szCs w:val="20"/>
          <w:color w:val="auto"/>
        </w:rPr>
      </w:pPr>
    </w:p>
    <w:p>
      <w:pPr>
        <w:ind w:right="140"/>
        <w:spacing w:after="0" w:line="245" w:lineRule="exact"/>
        <w:rPr>
          <w:sz w:val="20"/>
          <w:szCs w:val="20"/>
          <w:color w:val="auto"/>
        </w:rPr>
      </w:pPr>
      <w:r>
        <w:rPr>
          <w:rFonts w:ascii="Times New Roman" w:cs="Times New Roman" w:eastAsia="Times New Roman" w:hAnsi="Times New Roman"/>
          <w:sz w:val="18"/>
          <w:szCs w:val="18"/>
          <w:color w:val="auto"/>
        </w:rPr>
        <w:t>In connection with the sale of the CCS segment that was completed subsequent to the fiscal year end on January 9, 2026, we repaid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debt at closing, and all interest expense was reported within discontinued operations. However, we expect to incur interest expense in the future.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interest income in 2025 compared to 2024 was not significant.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makes permanent key elements of the Tax Cuts and Jobs Act, including 100% bonus depreciation, domestic research cost expensing and expansions to the business interest expense limitation. The effects of OBBBA are reflected in the consolidated financial statements for the year ended December 31, 2025.</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2025, we recognized an income tax benefit of $269.4 million on pretax income of $54.9 million. For the year ended December 31, 2025, our income taxes were less than the statutory rate of 21% due to $259.8 million of tax benefit from the release of a valuation allowance as well as the tax benefit associated with federal tax credits. Offsetting these benefits for the year ended December 31, 2025, were non-deductible employee compensation expense of $25.6 million and the unfavorable impacts of U.S. anti-deferral provisions. See Note 13 in the Notes to Consolidated Financial Statements included elsewhere in this Annual Report on Form 10-K for more discussion of our income taxes.</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2024, we recognized an income tax benefit of $66.9 million on a pretax loss of $272.9 million. Our tax benefit was more than the statutory rate of 21.0% in 2024 primarily due to tax benefits related to federal tax credits. Our tax benefit was also impacted unfavorably by the U.S. anti-deferral provisions.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7"/>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920" w:type="dxa"/>
            <w:vAlign w:val="bottom"/>
            <w:tcBorders>
              <w:top w:val="single" w:sz="8" w:color="auto"/>
            </w:tcBorders>
            <w:gridSpan w:val="2"/>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 by segment:</w:t>
            </w:r>
          </w:p>
        </w:tc>
        <w:tc>
          <w:tcPr>
            <w:tcW w:w="7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RUCKUS </w:t>
            </w:r>
            <w:r>
              <w:rPr>
                <w:rFonts w:ascii="Times New Roman" w:cs="Times New Roman" w:eastAsia="Times New Roman" w:hAnsi="Times New Roman"/>
                <w:sz w:val="24"/>
                <w:szCs w:val="24"/>
                <w:color w:val="auto"/>
                <w:vertAlign w:val="superscript"/>
              </w:rPr>
              <w:t>(1)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Aurora</w:t>
            </w:r>
          </w:p>
        </w:tc>
        <w:tc>
          <w:tcPr>
            <w:tcW w:w="7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3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2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CFF"/>
          </w:tcPr>
          <w:p>
            <w:pPr>
              <w:spacing w:after="0"/>
              <w:rPr>
                <w:sz w:val="21"/>
                <w:szCs w:val="21"/>
                <w:color w:val="auto"/>
              </w:rPr>
            </w:pP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2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380" w:type="dxa"/>
            <w:vAlign w:val="bottom"/>
            <w:tcBorders>
              <w:top w:val="single" w:sz="8" w:color="CCECFF"/>
            </w:tcBorders>
          </w:tcPr>
          <w:p>
            <w:pPr>
              <w:spacing w:after="0"/>
              <w:rPr>
                <w:sz w:val="17"/>
                <w:szCs w:val="17"/>
                <w:color w:val="auto"/>
              </w:rPr>
            </w:pPr>
          </w:p>
        </w:tc>
        <w:tc>
          <w:tcPr>
            <w:tcW w:w="700" w:type="dxa"/>
            <w:vAlign w:val="bottom"/>
            <w:tcBorders>
              <w:top w:val="single" w:sz="8" w:color="CCEC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800" w:type="dxa"/>
            <w:vAlign w:val="bottom"/>
            <w:tcBorders>
              <w:top w:val="single" w:sz="8" w:color="CCECFF"/>
            </w:tcBorders>
          </w:tcPr>
          <w:p>
            <w:pPr>
              <w:spacing w:after="0"/>
              <w:rPr>
                <w:sz w:val="17"/>
                <w:szCs w:val="17"/>
                <w:color w:val="auto"/>
              </w:rPr>
            </w:pPr>
          </w:p>
        </w:tc>
        <w:tc>
          <w:tcPr>
            <w:tcW w:w="340" w:type="dxa"/>
            <w:vAlign w:val="bottom"/>
            <w:tcBorders>
              <w:top w:val="single" w:sz="8" w:color="CCECFF"/>
            </w:tcBorders>
          </w:tcPr>
          <w:p>
            <w:pPr>
              <w:spacing w:after="0"/>
              <w:rPr>
                <w:sz w:val="17"/>
                <w:szCs w:val="17"/>
                <w:color w:val="auto"/>
              </w:rPr>
            </w:pPr>
          </w:p>
        </w:tc>
        <w:tc>
          <w:tcPr>
            <w:tcW w:w="80" w:type="dxa"/>
            <w:vAlign w:val="bottom"/>
            <w:tcBorders>
              <w:top w:val="single" w:sz="8" w:color="CCEC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80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240" w:type="dxa"/>
            <w:vAlign w:val="bottom"/>
            <w:tcBorders>
              <w:top w:val="single" w:sz="8" w:color="CCECFF"/>
            </w:tcBorders>
          </w:tcPr>
          <w:p>
            <w:pPr>
              <w:spacing w:after="0"/>
              <w:rPr>
                <w:sz w:val="17"/>
                <w:szCs w:val="17"/>
                <w:color w:val="auto"/>
              </w:rPr>
            </w:pPr>
          </w:p>
        </w:tc>
        <w:tc>
          <w:tcPr>
            <w:tcW w:w="80" w:type="dxa"/>
            <w:vAlign w:val="bottom"/>
            <w:tcBorders>
              <w:top w:val="single" w:sz="8" w:color="CCEC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CFF"/>
            </w:tcBorders>
          </w:tcPr>
          <w:p>
            <w:pPr>
              <w:spacing w:after="0"/>
              <w:rPr>
                <w:sz w:val="17"/>
                <w:szCs w:val="17"/>
                <w:color w:val="auto"/>
              </w:rPr>
            </w:pPr>
          </w:p>
        </w:tc>
        <w:tc>
          <w:tcPr>
            <w:tcW w:w="940" w:type="dxa"/>
            <w:vAlign w:val="bottom"/>
            <w:tcBorders>
              <w:top w:val="single" w:sz="8" w:color="CCECFF"/>
            </w:tcBorders>
          </w:tcPr>
          <w:p>
            <w:pPr>
              <w:spacing w:after="0"/>
              <w:rPr>
                <w:sz w:val="17"/>
                <w:szCs w:val="17"/>
                <w:color w:val="auto"/>
              </w:rPr>
            </w:pPr>
          </w:p>
        </w:tc>
        <w:tc>
          <w:tcPr>
            <w:tcW w:w="80" w:type="dxa"/>
            <w:vAlign w:val="bottom"/>
            <w:tcBorders>
              <w:top w:val="single" w:sz="8" w:color="CCECFF"/>
            </w:tcBorders>
          </w:tcPr>
          <w:p>
            <w:pPr>
              <w:spacing w:after="0"/>
              <w:rPr>
                <w:sz w:val="17"/>
                <w:szCs w:val="17"/>
                <w:color w:val="auto"/>
              </w:rPr>
            </w:pPr>
          </w:p>
        </w:tc>
        <w:tc>
          <w:tcPr>
            <w:tcW w:w="32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 by segment:</w:t>
            </w:r>
          </w:p>
        </w:tc>
        <w:tc>
          <w:tcPr>
            <w:tcW w:w="7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RUCKUS </w:t>
            </w:r>
            <w:r>
              <w:rPr>
                <w:rFonts w:ascii="Times New Roman" w:cs="Times New Roman" w:eastAsia="Times New Roman" w:hAnsi="Times New Roman"/>
                <w:sz w:val="24"/>
                <w:szCs w:val="24"/>
                <w:color w:val="auto"/>
                <w:vertAlign w:val="superscript"/>
              </w:rPr>
              <w:t>(1)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Aurora</w:t>
            </w:r>
          </w:p>
        </w:tc>
        <w:tc>
          <w:tcPr>
            <w:tcW w:w="7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Core operating income (loss) </w:t>
            </w:r>
            <w:r>
              <w:rPr>
                <w:rFonts w:ascii="Times New Roman" w:cs="Times New Roman" w:eastAsia="Times New Roman" w:hAnsi="Times New Roman"/>
                <w:sz w:val="24"/>
                <w:szCs w:val="24"/>
                <w:color w:val="auto"/>
                <w:vertAlign w:val="superscript"/>
              </w:rPr>
              <w:t>(3)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CFF"/>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7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CFF"/>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RUCKUS </w:t>
            </w:r>
            <w:r>
              <w:rPr>
                <w:rFonts w:ascii="Times New Roman" w:cs="Times New Roman" w:eastAsia="Times New Roman" w:hAnsi="Times New Roman"/>
                <w:sz w:val="24"/>
                <w:szCs w:val="24"/>
                <w:color w:val="auto"/>
                <w:vertAlign w:val="superscript"/>
              </w:rPr>
              <w:t>(1) (4)</w:t>
            </w: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8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Aurora </w:t>
            </w:r>
            <w:r>
              <w:rPr>
                <w:rFonts w:ascii="Times New Roman" w:cs="Times New Roman" w:eastAsia="Times New Roman" w:hAnsi="Times New Roman"/>
                <w:sz w:val="24"/>
                <w:szCs w:val="24"/>
                <w:color w:val="auto"/>
                <w:vertAlign w:val="superscript"/>
              </w:rPr>
              <w:t>(4)</w:t>
            </w: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C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(3) (4)</w:t>
            </w:r>
          </w:p>
        </w:tc>
        <w:tc>
          <w:tcPr>
            <w:tcW w:w="7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80" w:type="dxa"/>
            <w:vAlign w:val="bottom"/>
            <w:shd w:val="clear" w:color="auto" w:fill="CCECFF"/>
          </w:tcPr>
          <w:p>
            <w:pPr>
              <w:spacing w:after="0" w:line="171" w:lineRule="exact"/>
              <w:rPr>
                <w:sz w:val="20"/>
                <w:szCs w:val="20"/>
                <w:color w:val="auto"/>
              </w:rPr>
            </w:pPr>
            <w:r>
              <w:rPr>
                <w:rFonts w:ascii="Times New Roman" w:cs="Times New Roman" w:eastAsia="Times New Roman" w:hAnsi="Times New Roman"/>
                <w:sz w:val="18"/>
                <w:szCs w:val="18"/>
                <w:color w:val="auto"/>
              </w:rPr>
              <w:t>Non-GAAP consolidated adjusted</w:t>
            </w:r>
          </w:p>
        </w:tc>
        <w:tc>
          <w:tcPr>
            <w:tcW w:w="82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0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0" w:type="dxa"/>
            <w:vAlign w:val="bottom"/>
            <w:gridSpan w:val="2"/>
            <w:vMerge w:val="restart"/>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267.</w:t>
            </w:r>
            <w:r>
              <w:rPr>
                <w:rFonts w:ascii="Times New Roman" w:cs="Times New Roman" w:eastAsia="Times New Roman" w:hAnsi="Times New Roman"/>
                <w:sz w:val="18"/>
                <w:szCs w:val="18"/>
                <w:u w:val="single" w:color="auto"/>
                <w:color w:val="auto"/>
              </w:rPr>
              <w:t>5</w:t>
            </w: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CFF"/>
          </w:tcPr>
          <w:p>
            <w:pPr>
              <w:ind w:left="140"/>
              <w:spacing w:after="0" w:line="214"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4"/>
                <w:szCs w:val="24"/>
                <w:color w:val="auto"/>
                <w:vertAlign w:val="superscript"/>
              </w:rPr>
              <w:t>(4)</w:t>
            </w:r>
          </w:p>
        </w:tc>
        <w:tc>
          <w:tcPr>
            <w:tcW w:w="820" w:type="dxa"/>
            <w:vAlign w:val="bottom"/>
            <w:gridSpan w:val="2"/>
            <w:vMerge w:val="continue"/>
            <w:shd w:val="clear" w:color="auto" w:fill="CCECFF"/>
          </w:tcPr>
          <w:p>
            <w:pPr>
              <w:spacing w:after="0"/>
              <w:rPr>
                <w:sz w:val="20"/>
                <w:szCs w:val="20"/>
                <w:color w:val="auto"/>
              </w:rPr>
            </w:pPr>
          </w:p>
        </w:tc>
        <w:tc>
          <w:tcPr>
            <w:tcW w:w="740" w:type="dxa"/>
            <w:vAlign w:val="bottom"/>
            <w:vMerge w:val="continue"/>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continue"/>
            <w:shd w:val="clear" w:color="auto" w:fill="CCECFF"/>
          </w:tcPr>
          <w:p>
            <w:pPr>
              <w:spacing w:after="0"/>
              <w:rPr>
                <w:sz w:val="20"/>
                <w:szCs w:val="20"/>
                <w:color w:val="auto"/>
              </w:rPr>
            </w:pPr>
          </w:p>
        </w:tc>
        <w:tc>
          <w:tcPr>
            <w:tcW w:w="760" w:type="dxa"/>
            <w:vAlign w:val="bottom"/>
            <w:vMerge w:val="continue"/>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CFF"/>
          </w:tcPr>
          <w:p>
            <w:pPr>
              <w:spacing w:after="0"/>
              <w:rPr>
                <w:sz w:val="20"/>
                <w:szCs w:val="20"/>
                <w:color w:val="auto"/>
              </w:rPr>
            </w:pP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gridSpan w:val="2"/>
            <w:vMerge w:val="continue"/>
            <w:shd w:val="clear" w:color="auto" w:fill="CCECFF"/>
          </w:tcPr>
          <w:p>
            <w:pPr>
              <w:spacing w:after="0"/>
              <w:rPr>
                <w:sz w:val="20"/>
                <w:szCs w:val="20"/>
                <w:color w:val="auto"/>
              </w:rPr>
            </w:pPr>
          </w:p>
        </w:tc>
        <w:tc>
          <w:tcPr>
            <w:tcW w:w="660" w:type="dxa"/>
            <w:vAlign w:val="bottom"/>
            <w:vMerge w:val="continue"/>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80" w:type="dxa"/>
            <w:vAlign w:val="bottom"/>
            <w:shd w:val="clear" w:color="auto" w:fill="CCECFF"/>
          </w:tcPr>
          <w:p>
            <w:pPr>
              <w:spacing w:after="0"/>
              <w:rPr>
                <w:sz w:val="20"/>
                <w:szCs w:val="20"/>
                <w:color w:val="auto"/>
              </w:rPr>
            </w:pPr>
          </w:p>
        </w:tc>
        <w:tc>
          <w:tcPr>
            <w:tcW w:w="32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Borders>
              <w:top w:val="single" w:sz="8" w:color="CCECFF"/>
            </w:tcBorders>
            <w:shd w:val="clear" w:color="auto" w:fill="CCECFF"/>
          </w:tcPr>
          <w:p>
            <w:pPr>
              <w:spacing w:after="0" w:line="20" w:lineRule="exact"/>
              <w:rPr>
                <w:sz w:val="1"/>
                <w:szCs w:val="1"/>
                <w:color w:val="auto"/>
              </w:rPr>
            </w:pPr>
          </w:p>
        </w:tc>
        <w:tc>
          <w:tcPr>
            <w:tcW w:w="7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-2142490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-2125345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-2142490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-2125345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-2142490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-2125345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-1568450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-1568450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-1568450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-1285240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-1285240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-1285240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35"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activity of the OneCell business for periods prior to its disposition.</w:t>
      </w:r>
    </w:p>
    <w:p>
      <w:pPr>
        <w:spacing w:after="0" w:line="61" w:lineRule="exact"/>
        <w:rPr>
          <w:rFonts w:ascii="Times New Roman" w:cs="Times New Roman" w:eastAsia="Times New Roman" w:hAnsi="Times New Roman"/>
          <w:sz w:val="17"/>
          <w:szCs w:val="17"/>
          <w:color w:val="auto"/>
        </w:rPr>
      </w:pPr>
    </w:p>
    <w:p>
      <w:pPr>
        <w:ind w:left="540" w:right="160" w:hanging="532"/>
        <w:spacing w:after="0" w:line="256" w:lineRule="auto"/>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line item above primarily reflects general corporate costs that were previously allocated to the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the Amphenol TSA. The corporate and other costs related to the CCS segment will be reallocated to our remaining segments beginning in the first quarter of 2026.</w:t>
      </w:r>
    </w:p>
    <w:p>
      <w:pPr>
        <w:spacing w:after="0" w:line="23" w:lineRule="exact"/>
        <w:rPr>
          <w:rFonts w:ascii="Times New Roman" w:cs="Times New Roman" w:eastAsia="Times New Roman" w:hAnsi="Times New Roman"/>
          <w:sz w:val="17"/>
          <w:szCs w:val="17"/>
          <w:color w:val="auto"/>
        </w:rPr>
      </w:pPr>
    </w:p>
    <w:p>
      <w:pPr>
        <w:ind w:left="540" w:right="20" w:hanging="532"/>
        <w:spacing w:after="0" w:line="281" w:lineRule="auto"/>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Core financial measures reflect the results of the RUCKUS and Aurora segments, in the aggregate, and exclude general corporate costs that were previously allocated to the CCS segment, OWN segment and DAS business unit, since these costs were not directly attributable to these discontinued operations.</w:t>
      </w:r>
    </w:p>
    <w:p>
      <w:pPr>
        <w:spacing w:after="0" w:line="1" w:lineRule="exact"/>
        <w:rPr>
          <w:rFonts w:ascii="Times New Roman" w:cs="Times New Roman" w:eastAsia="Times New Roman" w:hAnsi="Times New Roman"/>
          <w:sz w:val="17"/>
          <w:szCs w:val="17"/>
          <w:color w:val="auto"/>
        </w:rPr>
      </w:pPr>
    </w:p>
    <w:p>
      <w:pPr>
        <w:ind w:left="540" w:hanging="532"/>
        <w:spacing w:after="0"/>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“Reconciliation of Non-GAAP Measures” within this Management’s Discussion and Analysis of Financial Condition and Results of Operations.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RUCKUS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the RUCKUS segment increased in 2025 compared to the prior year primarily due to higher sales volumes and pricing. From a regional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perspective in 2025, net sales increased in the U.S. by $91.1 million, the EMEA region by $37.5 million, the APAC region by $19.3 million, Canada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million and the CALA region by $0.5 million compared to the prior year. Foreign exchange rate changes did not have a material impact on RUCKUS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sales during 2025.</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2025, RUCKUS segment operating income and adjusted EBITDA increased compared to the prior year primarily due to higher sales volumes and pricing, partially offset by higher SG&amp;A, R&amp;D and input costs. In 2025, RUCKUS segment operating income was unfavorably impacted by the pretax loss of $4.8 million on the sale of our OneCell business which is not reflected in adjusted EBITDA. See “Reconciliation of Segment Adjusted EBITDA” within this Management’s Discussion and Analysis of Financial Condition and Results of Operations,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Aurora</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sales for our Aurora segment increased in 2025 compared to the prior year primarily due to higher sales volume from an increase in demand. From a regional perspective in 2025, net sales increased in the U.S. by $367.1 million, the EMEA region by $27.8 million, the APAC region by $10.7 million and Canada by $1.3 million, but decreased in the CALA region by $10.0 million. Foreign exchange rate changes did not have a material impact on Aurora segment net sales during 2025.</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For 2025, ANS segment operating income and adjusted EBITDA increased compared to the prior year primarily due to higher sales volumes, partially offset by higher SG&amp;A, R&amp;D and input costs and unfavorable product mix. For 2025, ANS segment operating income was favorably impacted by reductions in amortization expense of $21.7 million, restructuring costs of $21.7 million and transaction, transformation and integration costs of $13.8 million. Amortization expense, restructuring costs and transaction, transformation and integration costs and are not reflected in adjusted EBITDA. Also see “Reconciliation of Segment Adjusted EBITDA” within this Management’s Discussion and Analysis of Financial Condition and Results of Operations,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key measures of our liquidity and capital resources: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1040" w:type="dxa"/>
            <w:vAlign w:val="bottom"/>
            <w:shd w:val="clear" w:color="auto" w:fill="CCECFF"/>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2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1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Working capital, net of assets and liabilities held for</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14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sale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and excluding cash and cash equivalents</w:t>
            </w: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(158.5)</w:t>
            </w:r>
          </w:p>
        </w:tc>
        <w:tc>
          <w:tcPr>
            <w:tcW w:w="12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Availability under Revolving Credit Facility </w:t>
            </w:r>
            <w:r>
              <w:rPr>
                <w:rFonts w:ascii="Times New Roman" w:cs="Times New Roman" w:eastAsia="Times New Roman" w:hAnsi="Times New Roman"/>
                <w:sz w:val="24"/>
                <w:szCs w:val="24"/>
                <w:color w:val="auto"/>
                <w:vertAlign w:val="superscript"/>
              </w:rPr>
              <w:t>(3)</w:t>
            </w:r>
          </w:p>
        </w:tc>
        <w:tc>
          <w:tcPr>
            <w:tcW w:w="104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4"/>
                <w:szCs w:val="24"/>
                <w:color w:val="auto"/>
                <w:vertAlign w:val="superscript"/>
              </w:rPr>
              <w:t>(3)</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9,238.4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(1,978.2)</w:t>
            </w:r>
          </w:p>
        </w:tc>
        <w:tc>
          <w:tcPr>
            <w:tcW w:w="12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capitalization </w:t>
            </w:r>
            <w:r>
              <w:rPr>
                <w:rFonts w:ascii="Times New Roman" w:cs="Times New Roman" w:eastAsia="Times New Roman" w:hAnsi="Times New Roman"/>
                <w:sz w:val="24"/>
                <w:szCs w:val="24"/>
                <w:color w:val="auto"/>
                <w:vertAlign w:val="superscript"/>
              </w:rPr>
              <w:t>(4)</w:t>
            </w:r>
          </w:p>
        </w:tc>
        <w:tc>
          <w:tcPr>
            <w:tcW w:w="104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7,534.8</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6"/>
              </w:rPr>
              <w:t>7,009.6</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2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as a percentage of total capitalization</w:t>
            </w:r>
          </w:p>
        </w:tc>
        <w:tc>
          <w:tcPr>
            <w:tcW w:w="10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131.8%</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cash and cash equivalents in assets held for sale of $168.4 million and $259.2 million as of December 31, 2025 and 2024, respectively.</w:t>
      </w:r>
    </w:p>
    <w:p>
      <w:pPr>
        <w:spacing w:after="0" w:line="61" w:lineRule="exact"/>
        <w:rPr>
          <w:rFonts w:ascii="Times New Roman" w:cs="Times New Roman" w:eastAsia="Times New Roman" w:hAnsi="Times New Roman"/>
          <w:sz w:val="17"/>
          <w:szCs w:val="17"/>
          <w:color w:val="auto"/>
        </w:rPr>
      </w:pPr>
    </w:p>
    <w:p>
      <w:pPr>
        <w:ind w:left="520" w:right="240" w:hanging="512"/>
        <w:spacing w:after="0" w:line="281"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is net of assets and liabilities held for sale and consists of current assets of $1,471.7 million less current liabilities of $711.6 million as of December 31, 2025 and current assets of $1,148.7 million less current liabilities of $580.4 million as of December 31, 2024.</w:t>
      </w:r>
    </w:p>
    <w:p>
      <w:pPr>
        <w:spacing w:after="0" w:line="4" w:lineRule="exact"/>
        <w:rPr>
          <w:rFonts w:ascii="Times New Roman" w:cs="Times New Roman" w:eastAsia="Times New Roman" w:hAnsi="Times New Roman"/>
          <w:sz w:val="17"/>
          <w:szCs w:val="17"/>
          <w:color w:val="auto"/>
        </w:rPr>
      </w:pPr>
    </w:p>
    <w:p>
      <w:pPr>
        <w:ind w:left="520" w:right="8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the CCS segment that was completed subsequent to fiscal year end on January 9, 2026, on the closing date, we repaid in full all outstanding indebtedness using a portion of the proceeds from the transaction and terminated all outstanding commitments under each of our Revolving Credit Agreement dated as of April 4, 2019.</w:t>
      </w:r>
    </w:p>
    <w:p>
      <w:pPr>
        <w:spacing w:after="0" w:line="1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includes long-term debt, including the current portion, Convertible Preferred Stock and stockholders’ deficit.</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on a short-term basis are cash and cash equivalents and cash flows provided by operations. On a long-term basis, our potential sources of liquidity also include raising capital through the issuance of equity and/or debt.</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primary uses of liquidity include working capital requirements, capital expenditures, business separation transaction costs, transformation costs, restructuring costs, litigation settlements, income tax payments and other contractual obligations. In connection with the sale of the CCS segment that was completed subsequent to fiscal year end on January 9, 2026, we repaid and issued notices of full redemption of our then-existing indebtedness and redeemed all of the outstanding shares of the Convertible Preferred Stock. Therefore, the uses of liquidity related to the indebtedness and Convertible Preferred Stock that were outstanding as of December 31, 2025, are no longer relevant.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currently believe that our existing cash, cash equivalents and cash flows from operations will be sufficient to meet our presently anticipated future cash needs. However, we may be required to obtain financing in the future to address our liquidity needs, and, subject to market conditions, we may from time to time seek to amend, refinance, restructure, exchange or repurchase our outstanding indebtedness and/or raise equity or other financing. Any debt we incur in the future may have terms (including cash interest rate, financial covenants and covenants limiting our operating flexibility or ability to obtain financings) that are not favorable to us, and any such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or any future amendment, refinancing, restructuring, exchange or repurchases could have a material and adverse effect on our results of operations, cash flows, financial condition and liquidity.</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experience volatility in cash flows between periods due to, among other reasons, variability in the timing of vendor payments and customer receipts. We may, from time to time, seek to obtain alternative sources of financing, by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senior notes and senior secured credit facilities that existed as of December 31, 2025, contained certain limitations and covenants based on financial measures similar to non-GAAP adjusted EBITDA as presented in the “Reconciliation of Non-GAAP Measures” section below, but also giving pro forma effect to certain events, including acquisitions, synergies and savings from cost reduction initiatives such as facility closures and headcount reductions. For the year ended December 31, 2025, our non-GAAP pro forma adjusted EBITDA, as measured pursuant to the indentures governing our notes, was $300.8 million, which included annualized savings expected from cost reduction initiatives of $8.8 million so that the impact of cost reduction initiatives is fully reflected in the twelve-month period used in the calculation of the ratios. We believe we were in compliance with the covenants under our then-existing note indentures and senior secured credit facilities at December 31, 2025.</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by $259.5 million during 2025 as described under the Cash Flow Overview section below. As of December 31, 2025, approximately 8% of our cash and cash equivalents were held outside the U.S.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Working capital, net of assets and liabilities held for sale and excluding cash and cash equivalents, decreased during 2025 compared to the prior year primarily due to an increase in accounts payable and other accrued liabilities, as well as a reduction in inventory, partially offset by higher accounts receivable due to increased net sales in 2025. During 2025, we sold accounts receivable under customer-sponsored supplier financing agreements. This had an impact of approximately $12 million on working capital, excluding cash and cash equivalents, as of December 31, 2025. Under these agreements, we are able to sell accounts receivable to a bank, and we retain no interest in and have no servicing responsibilities for the accounts receivable sold. The net increase in total capitalization during 2025 reflected the net income for the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Overview</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Accordingly, the following cash flow overview includes the results of continuing and discontinued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6"/>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generated by operating activities</w:t>
            </w:r>
          </w:p>
        </w:tc>
        <w:tc>
          <w:tcPr>
            <w:tcW w:w="14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4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c>
          <w:tcPr>
            <w:tcW w:w="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shd w:val="clear" w:color="auto" w:fill="CCECFF"/>
          </w:tcPr>
          <w:p>
            <w:pPr>
              <w:spacing w:after="0"/>
              <w:rPr>
                <w:sz w:val="18"/>
                <w:szCs w:val="18"/>
                <w:color w:val="auto"/>
              </w:rPr>
            </w:pP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2,038.8</w:t>
            </w:r>
          </w:p>
        </w:tc>
        <w:tc>
          <w:tcPr>
            <w:tcW w:w="24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(2,053.6)</w:t>
            </w:r>
          </w:p>
        </w:tc>
        <w:tc>
          <w:tcPr>
            <w:tcW w:w="240" w:type="dxa"/>
            <w:vAlign w:val="bottom"/>
            <w:shd w:val="clear" w:color="auto" w:fill="CCECFF"/>
          </w:tcPr>
          <w:p>
            <w:pPr>
              <w:spacing w:after="0"/>
              <w:rPr>
                <w:sz w:val="18"/>
                <w:szCs w:val="18"/>
                <w:color w:val="auto"/>
              </w:rPr>
            </w:pPr>
          </w:p>
        </w:tc>
        <w:tc>
          <w:tcPr>
            <w:tcW w:w="1000" w:type="dxa"/>
            <w:vAlign w:val="bottom"/>
            <w:gridSpan w:val="3"/>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(83.0)</w:t>
            </w:r>
          </w:p>
        </w:tc>
        <w:tc>
          <w:tcPr>
            <w:tcW w:w="1380" w:type="dxa"/>
            <w:vAlign w:val="bottom"/>
            <w:gridSpan w:val="6"/>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(1,970.6)</w:t>
            </w:r>
          </w:p>
        </w:tc>
        <w:tc>
          <w:tcPr>
            <w:tcW w:w="108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2,374.2%</w:t>
            </w: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9"/>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gridSpan w:val="2"/>
            <w:shd w:val="clear" w:color="auto" w:fill="CCEC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80" w:type="dxa"/>
            <w:vAlign w:val="bottom"/>
            <w:shd w:val="clear" w:color="auto" w:fill="CCECFF"/>
          </w:tcPr>
          <w:p>
            <w:pPr>
              <w:spacing w:after="0"/>
              <w:rPr>
                <w:sz w:val="18"/>
                <w:szCs w:val="18"/>
                <w:color w:val="auto"/>
              </w:rPr>
            </w:pPr>
          </w:p>
        </w:tc>
        <w:tc>
          <w:tcPr>
            <w:tcW w:w="3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18"/>
                <w:szCs w:val="18"/>
                <w:color w:val="auto"/>
              </w:rPr>
            </w:pPr>
          </w:p>
        </w:tc>
        <w:tc>
          <w:tcPr>
            <w:tcW w:w="108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16"/>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generated by operating activities: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Asset impairments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8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16"/>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8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8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CFF"/>
            </w:tcBorders>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7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CCECFF"/>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70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by operating activities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2025, the increase in net cash generated by operating activities compared to the prior year was primarily driven by improved operating performance and lower cash interest paid, partially offset by additional investment in working capital and higher cash taxes paid in the current year compared to the prior year. For information on significant non-cash operating activities related to our discontinued operations, see Note 4 in the Notes to Consolidated Financial Statements included elsewhere in this Annual Report on Form 10-K.</w:t>
      </w:r>
    </w:p>
    <w:p>
      <w:pPr>
        <w:sectPr>
          <w:pgSz w:w="11900" w:h="16838" w:orient="portrait"/>
          <w:cols w:equalWidth="0" w:num="1">
            <w:col w:w="11240"/>
          </w:cols>
          <w:pgMar w:left="320" w:top="1440" w:right="339" w:bottom="1440" w:gutter="0" w:footer="0" w:header="0"/>
        </w:sect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Net proceeds from divestitures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Acquisition of 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24"/>
        </w:trPr>
        <w:tc>
          <w:tcPr>
            <w:tcW w:w="30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50"/>
              <w:spacing w:after="0" w:line="124"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(70.3)</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 w:type="dxa"/>
            <w:vAlign w:val="bottom"/>
          </w:tcPr>
          <w:p>
            <w:pPr>
              <w:spacing w:after="0"/>
              <w:rPr>
                <w:sz w:val="18"/>
                <w:szCs w:val="18"/>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4"/>
        </w:trPr>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20"/>
                <w:szCs w:val="20"/>
                <w:color w:val="auto"/>
              </w:rPr>
            </w:pPr>
          </w:p>
        </w:tc>
      </w:tr>
      <w:tr>
        <w:trPr>
          <w:trHeight w:val="20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440"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2025, the increase in net cash generated by investing activities compared to the prior year was primarily driven by net proceeds of $2,034.5 million related to the sale of the OWN segment and DAS business unit to Amphenol, net proceeds of $7.4 million related to the sale of the OneCell business and cash paid in the prior period of $45.1 million related to the Casa Transaction. These favorable impacts were partially offset by unfavorable impacts due to increased capital expenditures of $45.0 million compared to the prior year and proceeds received in the prior year of $13.0 million on the sale of certain nonfinancial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Long-term debt repaid</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(2,049.0)</w:t>
            </w:r>
          </w:p>
        </w:tc>
        <w:tc>
          <w:tcPr>
            <w:tcW w:w="500" w:type="dxa"/>
            <w:vAlign w:val="bottom"/>
            <w:gridSpan w:val="2"/>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(4,338.6)</w:t>
            </w: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proceeds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Cash paid for debt discount</w:t>
            </w:r>
          </w:p>
        </w:tc>
        <w:tc>
          <w:tcPr>
            <w:tcW w:w="30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Pr>
          <w:p>
            <w:pPr>
              <w:spacing w:after="0"/>
              <w:rPr>
                <w:sz w:val="18"/>
                <w:szCs w:val="18"/>
                <w:color w:val="auto"/>
              </w:rPr>
            </w:pP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1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Dividends paid on Series A convertible preferred stock</w:t>
            </w:r>
          </w:p>
        </w:tc>
        <w:tc>
          <w:tcPr>
            <w:tcW w:w="30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300" w:type="dxa"/>
            <w:vAlign w:val="bottom"/>
          </w:tcPr>
          <w:p>
            <w:pPr>
              <w:spacing w:after="0"/>
              <w:rPr>
                <w:sz w:val="18"/>
                <w:szCs w:val="18"/>
                <w:color w:val="auto"/>
              </w:rPr>
            </w:pP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81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00" w:type="dxa"/>
            <w:vAlign w:val="bottom"/>
            <w:vMerge w:val="restart"/>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(2,053.6)</w:t>
            </w:r>
          </w:p>
        </w:tc>
        <w:tc>
          <w:tcPr>
            <w:tcW w:w="100" w:type="dxa"/>
            <w:vAlign w:val="bottom"/>
            <w:vMerge w:val="continue"/>
            <w:shd w:val="clear" w:color="auto" w:fill="CCECFF"/>
          </w:tcPr>
          <w:p>
            <w:pPr>
              <w:spacing w:after="0"/>
              <w:rPr>
                <w:sz w:val="19"/>
                <w:szCs w:val="19"/>
                <w:color w:val="auto"/>
              </w:rPr>
            </w:pPr>
          </w:p>
        </w:tc>
        <w:tc>
          <w:tcPr>
            <w:tcW w:w="400" w:type="dxa"/>
            <w:vAlign w:val="bottom"/>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2025, we repurchased $299.0 million in aggregate principal amount of our 4.75% senior secured notes due September 1, 2029 and repurchased in full the $1,500.0 million outstanding principal amount of our 6.00% senior secured notes due March 1, 2026. In connection with the debt transactions, we paid $5.7 million of debt issuance costs. We also borrowed $50.0 million and repaid $250.0 million of outstanding borrowings under our asset-based revolving credit facility (Revolving Credit Facility).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we completed certain refinancing transactions including the issuance of $1,000 million in aggregate principal amount of our 9.50% senior secured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due December 15, 2031 and entry into the senior secured term loan facility due December 2029 with an initial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$3,150.0 million. We used the net proceeds, together with cash on hand and $200.0 million of borrowings under our Revolving Credit Facility, to refinance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$3,064.0 million of our then-existing senior secured term loan facility due April 2026 (2026 Term Loan) and redeem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$1,274.6 million in outstanding aggregate principal amount of our 6.00% senior notes due 2025. In connection with the refinancing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we paid approximately $59.4 million of original issuance discount and $33.1 million of debt issuance costs. We also paid the quarterly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amortization payments totaling $24.0 million on our 2026 Term Loan.</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2025, employees surrendered shares of our common stock to satisfy their tax withholding requirements on vested restricted stock units (RSUs) and performance share units (PSUs), which reduced cash flows by $31.3 million compared to $1.9 million in the prior year.</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2025, we paid $17.6 million of cash dividends and $51.3 million of dividends in additional shares due under the Convertible Preferred Stock. In 2024, we paid $65.2 million of dividends in additional shares due under the Convertible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believe these financial measures are commonly used by investors to evaluate our performance and that of our competitors. However, our use of the term “non-GAAP adjusted EBITDA” may vary from that of others in our industry. This financial measure should not be considered as an alternative to operating income (loss), net income (loss) or any other performance measures derived in accordance with U.S. GAAP as measures of operating performance, operating cash flows or liquidity.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there were no financial maintenance covenants under the terms of our senior notes that existed as of December 31, 2025, there were certain limitations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6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40" w:type="dxa"/>
            <w:vAlign w:val="bottom"/>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80" w:type="dxa"/>
            <w:vAlign w:val="bottom"/>
            <w:shd w:val="clear" w:color="auto" w:fill="CCECFF"/>
          </w:tcPr>
          <w:p>
            <w:pPr>
              <w:spacing w:after="0"/>
              <w:rPr>
                <w:sz w:val="18"/>
                <w:szCs w:val="18"/>
                <w:color w:val="auto"/>
              </w:rPr>
            </w:pPr>
          </w:p>
        </w:tc>
        <w:tc>
          <w:tcPr>
            <w:tcW w:w="38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(206.0)</w:t>
            </w:r>
          </w:p>
        </w:tc>
        <w:tc>
          <w:tcPr>
            <w:tcW w:w="300" w:type="dxa"/>
            <w:vAlign w:val="bottom"/>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(652.8)</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(66.9)</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8"/>
                <w:szCs w:val="18"/>
                <w:color w:val="auto"/>
              </w:rPr>
            </w:pPr>
          </w:p>
        </w:tc>
      </w:tr>
      <w:tr>
        <w:trPr>
          <w:trHeight w:val="216"/>
        </w:trPr>
        <w:tc>
          <w:tcPr>
            <w:tcW w:w="6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6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(291.7)</w:t>
            </w:r>
          </w:p>
        </w:tc>
        <w:tc>
          <w:tcPr>
            <w:tcW w:w="300" w:type="dxa"/>
            <w:vAlign w:val="bottom"/>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(659.6)</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shd w:val="clear" w:color="auto" w:fill="CCEC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r>
      <w:tr>
        <w:trPr>
          <w:trHeight w:val="216"/>
        </w:trPr>
        <w:tc>
          <w:tcPr>
            <w:tcW w:w="66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C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tcPr>
          <w:p>
            <w:pPr>
              <w:spacing w:after="0"/>
              <w:rPr>
                <w:sz w:val="18"/>
                <w:szCs w:val="18"/>
                <w:color w:val="auto"/>
              </w:rPr>
            </w:pPr>
          </w:p>
        </w:tc>
      </w:tr>
      <w:tr>
        <w:trPr>
          <w:trHeight w:val="216"/>
        </w:trPr>
        <w:tc>
          <w:tcPr>
            <w:tcW w:w="6680" w:type="dxa"/>
            <w:vAlign w:val="bottom"/>
            <w:shd w:val="clear" w:color="auto" w:fill="CCECFF"/>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Transaction, transformation and integration costs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CFF"/>
          </w:tcPr>
          <w:p>
            <w:pPr>
              <w:spacing w:after="0"/>
              <w:rPr>
                <w:sz w:val="18"/>
                <w:szCs w:val="18"/>
                <w:color w:val="auto"/>
              </w:rPr>
            </w:pPr>
          </w:p>
        </w:tc>
      </w:tr>
      <w:tr>
        <w:trPr>
          <w:trHeight w:val="216"/>
        </w:trPr>
        <w:tc>
          <w:tcPr>
            <w:tcW w:w="66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Acquisition accounting adjustments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r>
      <w:tr>
        <w:trPr>
          <w:trHeight w:val="216"/>
        </w:trPr>
        <w:tc>
          <w:tcPr>
            <w:tcW w:w="66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24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680" w:type="dxa"/>
            <w:vAlign w:val="bottom"/>
            <w:shd w:val="clear" w:color="auto" w:fill="CCECFF"/>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Cyber incident costs </w:t>
            </w:r>
            <w:r>
              <w:rPr>
                <w:rFonts w:ascii="Times New Roman" w:cs="Times New Roman" w:eastAsia="Times New Roman" w:hAnsi="Times New Roman"/>
                <w:sz w:val="24"/>
                <w:szCs w:val="24"/>
                <w:color w:val="auto"/>
                <w:vertAlign w:val="superscript"/>
              </w:rPr>
              <w:t>(3)</w:t>
            </w:r>
          </w:p>
        </w:tc>
        <w:tc>
          <w:tcPr>
            <w:tcW w:w="24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C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8"/>
                <w:szCs w:val="18"/>
                <w:color w:val="auto"/>
              </w:rPr>
            </w:pPr>
          </w:p>
        </w:tc>
      </w:tr>
      <w:tr>
        <w:trPr>
          <w:trHeight w:val="216"/>
        </w:trPr>
        <w:tc>
          <w:tcPr>
            <w:tcW w:w="6680" w:type="dxa"/>
            <w:vAlign w:val="bottom"/>
            <w:tcBorders>
              <w:bottom w:val="single" w:sz="8" w:color="CCECFF"/>
            </w:tcBorders>
            <w:shd w:val="clear" w:color="auto" w:fill="CCECFF"/>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0"/>
                <w:szCs w:val="20"/>
                <w:color w:val="auto"/>
                <w:vertAlign w:val="superscript"/>
              </w:rPr>
              <w:t>(4)</w:t>
            </w:r>
          </w:p>
        </w:tc>
        <w:tc>
          <w:tcPr>
            <w:tcW w:w="2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8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2024 and 2023, primarily reflects transaction costs related to our transformation initiative that began in 2021.</w:t>
      </w:r>
    </w:p>
    <w:p>
      <w:pPr>
        <w:spacing w:after="0" w:line="64"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reflects ARRIS International plc acquisition accounting adjustments related to reducing deferred revenue to its estimated fair value.</w:t>
      </w:r>
    </w:p>
    <w:p>
      <w:pPr>
        <w:spacing w:after="0" w:line="71" w:lineRule="exact"/>
        <w:rPr>
          <w:rFonts w:ascii="Times New Roman" w:cs="Times New Roman" w:eastAsia="Times New Roman" w:hAnsi="Times New Roman"/>
          <w:sz w:val="17"/>
          <w:szCs w:val="17"/>
          <w:color w:val="auto"/>
        </w:rPr>
      </w:pPr>
    </w:p>
    <w:p>
      <w:pPr>
        <w:ind w:left="520" w:right="240" w:hanging="512"/>
        <w:spacing w:after="0" w:line="281" w:lineRule="auto"/>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primarily reflects costs of the identification, investigation, defense, recovery and litigation efforts related to a cyber incident that occurred in late March of 2023.</w:t>
      </w:r>
    </w:p>
    <w:p>
      <w:pPr>
        <w:spacing w:after="0" w:line="4"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reflects a pretax loss of $4.8 million related to the sale of our OneCell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Segment Adjusted EBITDA</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Segment adjusted EBITDA is provided as a performance measure in Note 17 in the Notes to Consolidated Financial Statements included elsewhere in this Annual Report on Form 10-K. Below we reconcile segment adjusted EBITDA for each segment individually to operating income (loss) for that segment to supplement the reconciliation of the total segment adjusted EBITDA to consolidated operating income (loss) in that footnote.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corporate and other line item as presented in Note 17 in the Notes to Consolidated Financial Statements included elsewhere in this Annual Report, primarily reflects general corporate costs that were previously allocated to the CCS segment, OWN segment, DAS business unit and Home segment. These indirect costs are classified as continuing operations since these costs were not directly attributable to these discontinued operations. Beginning in the first quarter of 2024, the corporate and other costs related to the Home segment have been reallocated to our remaining segments and partially offset by income from the Vantiva TSA; those costs related to the OWN segment and DAS business unit have been reallocated to our remaining segments beginning in the first quarter of 2025 and partially offset by income from the Amphenol TSA; and those costs related to the CCS segment will be reallocated to our remaining segments beginning in the first quarter of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RUCKUS </w:t>
      </w:r>
      <w:r>
        <w:rPr>
          <w:rFonts w:ascii="Times New Roman" w:cs="Times New Roman" w:eastAsia="Times New Roman" w:hAnsi="Times New Roman"/>
          <w:sz w:val="24"/>
          <w:szCs w:val="24"/>
          <w:b w:val="1"/>
          <w:bCs w:val="1"/>
          <w:i w:val="1"/>
          <w:iCs w:val="1"/>
          <w:color w:val="auto"/>
          <w:vertAlign w:val="superscript"/>
        </w:rPr>
        <w:t>(1)</w:t>
      </w:r>
    </w:p>
    <w:tbl>
      <w:tblPr>
        <w:tblLayout w:type="fixed"/>
        <w:tblInd w:w="0" w:type="dxa"/>
        <w:tblCellMar>
          <w:top w:w="0" w:type="dxa"/>
          <w:left w:w="0" w:type="dxa"/>
          <w:bottom w:w="0" w:type="dxa"/>
          <w:right w:w="0" w:type="dxa"/>
        </w:tblCellMar>
      </w:tblPr>
      <w:tr>
        <w:trPr>
          <w:trHeight w:val="155"/>
        </w:trPr>
        <w:tc>
          <w:tcPr>
            <w:tcW w:w="6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right"/>
              <w:ind w:right="19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r>
      <w:tr>
        <w:trPr>
          <w:trHeight w:val="216"/>
        </w:trPr>
        <w:tc>
          <w:tcPr>
            <w:tcW w:w="6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r>
      <w:tr>
        <w:trPr>
          <w:trHeight w:val="216"/>
        </w:trPr>
        <w:tc>
          <w:tcPr>
            <w:tcW w:w="6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shd w:val="clear" w:color="auto" w:fill="CFF0FC"/>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Cyber incident costs</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r>
      <w:tr>
        <w:trPr>
          <w:trHeight w:val="216"/>
        </w:trPr>
        <w:tc>
          <w:tcPr>
            <w:tcW w:w="6840" w:type="dxa"/>
            <w:vAlign w:val="bottom"/>
            <w:tcBorders>
              <w:bottom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activity of the OneCell business for periods prior to its disposition.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Aurora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5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(477.1)</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tcPr>
          <w:p>
            <w:pPr>
              <w:spacing w:after="0"/>
              <w:rPr>
                <w:sz w:val="18"/>
                <w:szCs w:val="18"/>
                <w:color w:val="auto"/>
              </w:rPr>
            </w:pPr>
          </w:p>
        </w:tc>
      </w:tr>
      <w:tr>
        <w:trPr>
          <w:trHeight w:val="216"/>
        </w:trPr>
        <w:tc>
          <w:tcPr>
            <w:tcW w:w="6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180" w:type="dxa"/>
            <w:vAlign w:val="bottom"/>
            <w:shd w:val="clear" w:color="auto" w:fill="CFF0FC"/>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r>
      <w:tr>
        <w:trPr>
          <w:trHeight w:val="216"/>
        </w:trPr>
        <w:tc>
          <w:tcPr>
            <w:tcW w:w="684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Cyber incident costs</w:t>
            </w:r>
          </w:p>
        </w:tc>
        <w:tc>
          <w:tcPr>
            <w:tcW w:w="1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CFF"/>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r>
      <w:tr>
        <w:trPr>
          <w:trHeight w:val="229"/>
        </w:trPr>
        <w:tc>
          <w:tcPr>
            <w:tcW w:w="68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5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80" w:type="dxa"/>
            <w:vAlign w:val="bottom"/>
            <w:shd w:val="clear" w:color="auto" w:fill="CCECFF"/>
          </w:tcPr>
          <w:p>
            <w:pPr>
              <w:spacing w:after="0"/>
              <w:rPr>
                <w:sz w:val="19"/>
                <w:szCs w:val="19"/>
                <w:color w:val="auto"/>
              </w:rPr>
            </w:pP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shd w:val="clear" w:color="auto" w:fill="CCECFF"/>
          </w:tcPr>
          <w:p>
            <w:pPr>
              <w:spacing w:after="0"/>
              <w:rPr>
                <w:sz w:val="19"/>
                <w:szCs w:val="19"/>
                <w:color w:val="auto"/>
              </w:rPr>
            </w:pPr>
          </w:p>
        </w:tc>
      </w:tr>
      <w:tr>
        <w:trPr>
          <w:trHeight w:val="20"/>
        </w:trPr>
        <w:tc>
          <w:tcPr>
            <w:tcW w:w="68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Components may not sum to total due to rounding.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generally accepted accounting principles (GAAP) in the United States (U.S.). The preparation of these financial statements requires management to make estimates and assumptions that affect the amounts reported in the financial statements and accompanying notes. These estimates and their underlying assumptions form the basis for making judgments about the carrying values of assets and liabilities that are not readily apparent from other objective sources. Management bases its estimates on historical experience and on assumptions that are believed to be reasonable under the circumstances and revises its estimates, as appropriate, when changes in events or circumstances indicate that revisions may be necessary.</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critical accounting policies and estimates reflected in our financial statements are based on management’s knowledge of and experience with past and current events and on management’s assumptions about future events. While we have generally not experienced significant deviations from our critical estimates in the past, it is reasonably possible that these estimates may ultimately differ materially from actual results. See Note 2 in the Notes to Consolidated Financial Statements included elsewhere in this Annual Report on Form 10-K for a description of all our significant accounting policies.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Reviews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Reviews of Goodwill</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test goodwill at the reporting unit level for impairment annually as of October 1 and on an interim basis when events occur or circumstances exist that indicate the carrying value may no longer be recoverable.</w:t>
      </w:r>
    </w:p>
    <w:p>
      <w:pPr>
        <w:spacing w:after="0" w:line="162" w:lineRule="exact"/>
        <w:rPr>
          <w:sz w:val="20"/>
          <w:szCs w:val="20"/>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We may first elect to perform a qualitative evaluation to determine whether it is more likely than not that the fair value of a reporting unit is less than its carrying amount. The qualitative assessment considers, among other factors, macroeconomic conditions, industry and market considerations, cost factors, overall financial performance, changes in management or strategy, and other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events. If, based on the qualitative assessment, we determine that it is more likely than not that the fair value of a reporting unit is less than its carrying amount, or if we elect to bypass the qualitative assessment, we perform a quantitative impairment test. The quantitative test compares the estimated fair value of our reporting units with the carrying amount, including goodwill. We recognize an impairment charge for the amount by which the reporting unit’s carrying amount exceeds its fair value.</w:t>
      </w:r>
    </w:p>
    <w:p>
      <w:pPr>
        <w:spacing w:after="0" w:line="20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estimate the fair value of a reporting unit using a discounted cash flow (DCF) method or, as appropriate, a combination of the DCF method and a market approach known as the guideline public company method. Under the DCF method, we calculate the fair value of a reporting unit based on the present value of estimated future cash flows. The significant assumptions in the DCF model primarily include, but are not limited to, forecasts of annual revenue growth rates, annual EBITDA margin and the discount rate used to determine the present value of the cash flow projections. When determining these assumptions and preparing these estimates, we consider historical performance trends, terminal growth rates, industry data, insight derived from customers, relevant changes in the reporting unit’s underlying business and other market trends that may affect the reporting unit. The discount rate is based on the estimated weighted average cost of capital as of the test date of market participants in the industry in which the reporting unit operates and is commensurate with the risk and uncertainty inherent in each reporting unit and in internally developed forecasts. Under the guideline public company method, we estimate the fair value based upon market multiples of revenue and earnings derived from publicly-traded companies with similar operating and investment characteristics as the reporting unit. The weighting of the fair value derived from the market approach may vary depending on the level of comparability of these publicly-traded companies to the reporting unit. When comparable public companies are not meaningful or not available, we may estimate the fair value of a reporting unit using only the DCF method.</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Estimating the fair value of a reporting unit involves uncertainties because it requires management to develop numerous assumptions, including assumptions about the future growth and potential volatility in revenues and costs, capital expenditures, industry economic factors and future business strategy. Changes in projected revenue growth rates, projected EBITDA margins or estimated discount rates due to uncertain market conditions, loss of one or more key customers, changes in our strategy, changes in technology or other factors could negatively affect the fair value in one or more of our reporting units and result in a material impairment charge in the future.</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assess the reasonableness of the calculated fair values of our reporting units, we also compare the sum of the reporting units’ fair values to our market capitalization and calculate an implied control premium (the excess of the sum of the reporting units’ fair values over the market capitalization). If the implied control premium is not reasonable, we will reevaluate the fair value estimates of the reporting units by adjusting the discount rates and/or other assumptions.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Goodwill Analysis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Test</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annually or at other times if events have occurred or circumstances exist that indicate the carrying value of the reporting unit may exceed its fair value. The annual test of goodwill impairment was performed for each of the reporting units with goodwill balances as of October 1, 2025. For reporting units within the CCS segment, management elected to perform a qualitative assessment to determine whether it was more likely than not that the fair value of the reporting units was less than their carrying amounts. Based on this qualitative assessment, we concluded that no goodwill impairment existed for these reporting units and that a quantitative impairment test was not required. For our remaining reporting units, we determined the fair value of each reporting unit using the DCF model and a guideline public company approach, with 75% of the value determined using the DCF model and 25% of the value determined using the market approach. The discount rates used in our annual test for the year ended December 31, 2025 were 13.0% and 13.5% for Aurora and RUCKUS, respectively. We determined that the fair value of the reporting units exceeded the carrying value and that no impairment existed.</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Considering the low headroom going forward for the Aurora reporting unit, there is a risk for future impairment in the event of further declines in general economic, market or business conditions or any significant unfavorable change in the forecasted cash flows, weighted average cost of capital or growth rates. If current and long-term projections for the Aurora reporting unit is not realized or decrease materially, we may be required to recognize additional goodwill impairment charges, and these charges could be material to our results of operations.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information regarding our reporting units with goodwill balances as of December 31, 2025 that have the lowest level of headroom. The table presents key assumptions used in our annual goodwill analysis, along with sensitivity analysis showing the effect of a change in certain key assumptions, assuming all other assumptions remain constant, to the resulting fair value using an income approach.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5"/>
                <w:szCs w:val="15"/>
                <w:b w:val="1"/>
                <w:bCs w:val="1"/>
                <w:color w:val="auto"/>
              </w:rPr>
              <w:t>Key Assumptions</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5"/>
                <w:szCs w:val="15"/>
                <w:b w:val="1"/>
                <w:bCs w:val="1"/>
                <w:color w:val="auto"/>
              </w:rPr>
              <w:t>Goodwill</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Excess of Fair Value to Carrying Value</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gridSpan w:val="4"/>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(dollars in millions)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Decrease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left="184"/>
              <w:spacing w:after="0" w:line="162" w:lineRule="exact"/>
              <w:rPr>
                <w:sz w:val="20"/>
                <w:szCs w:val="20"/>
                <w:color w:val="auto"/>
              </w:rPr>
            </w:pPr>
            <w:r>
              <w:rPr>
                <w:rFonts w:ascii="Times New Roman" w:cs="Times New Roman" w:eastAsia="Times New Roman" w:hAnsi="Times New Roman"/>
                <w:sz w:val="15"/>
                <w:szCs w:val="15"/>
                <w:b w:val="1"/>
                <w:bCs w:val="1"/>
                <w:color w:val="auto"/>
              </w:rPr>
              <w:t>Terminal</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4"/>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Balance as of</w:t>
            </w:r>
          </w:p>
        </w:tc>
        <w:tc>
          <w:tcPr>
            <w:tcW w:w="86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 of</w:t>
            </w:r>
          </w:p>
        </w:tc>
        <w:tc>
          <w:tcPr>
            <w:tcW w:w="100" w:type="dxa"/>
            <w:vAlign w:val="bottom"/>
          </w:tcPr>
          <w:p>
            <w:pPr>
              <w:spacing w:after="0"/>
              <w:rPr>
                <w:sz w:val="14"/>
                <w:szCs w:val="14"/>
                <w:color w:val="auto"/>
              </w:rPr>
            </w:pPr>
          </w:p>
        </w:tc>
        <w:tc>
          <w:tcPr>
            <w:tcW w:w="126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Result of Interim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Decrease of</w:t>
            </w:r>
          </w:p>
        </w:tc>
        <w:tc>
          <w:tcPr>
            <w:tcW w:w="220" w:type="dxa"/>
            <w:vAlign w:val="bottom"/>
          </w:tcPr>
          <w:p>
            <w:pPr>
              <w:spacing w:after="0"/>
              <w:rPr>
                <w:sz w:val="14"/>
                <w:szCs w:val="14"/>
                <w:color w:val="auto"/>
              </w:rPr>
            </w:pPr>
          </w:p>
        </w:tc>
        <w:tc>
          <w:tcPr>
            <w:tcW w:w="10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0.5% in Long-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Increase of</w:t>
            </w:r>
          </w:p>
        </w:tc>
        <w:tc>
          <w:tcPr>
            <w:tcW w:w="0" w:type="dxa"/>
            <w:vAlign w:val="bottom"/>
          </w:tcPr>
          <w:p>
            <w:pPr>
              <w:spacing w:after="0"/>
              <w:rPr>
                <w:sz w:val="1"/>
                <w:szCs w:val="1"/>
                <w:color w:val="auto"/>
              </w:rPr>
            </w:pPr>
          </w:p>
        </w:tc>
      </w:tr>
      <w:tr>
        <w:trPr>
          <w:trHeight w:val="162"/>
        </w:trPr>
        <w:tc>
          <w:tcPr>
            <w:tcW w:w="13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Reporting</w:t>
            </w:r>
          </w:p>
        </w:tc>
        <w:tc>
          <w:tcPr>
            <w:tcW w:w="9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Discount</w:t>
            </w:r>
          </w:p>
        </w:tc>
        <w:tc>
          <w:tcPr>
            <w:tcW w:w="1000" w:type="dxa"/>
            <w:vAlign w:val="bottom"/>
          </w:tcPr>
          <w:p>
            <w:pPr>
              <w:jc w:val="center"/>
              <w:ind w:left="144"/>
              <w:spacing w:after="0" w:line="162" w:lineRule="exact"/>
              <w:rPr>
                <w:sz w:val="20"/>
                <w:szCs w:val="20"/>
                <w:color w:val="auto"/>
              </w:rPr>
            </w:pPr>
            <w:r>
              <w:rPr>
                <w:rFonts w:ascii="Times New Roman" w:cs="Times New Roman" w:eastAsia="Times New Roman" w:hAnsi="Times New Roman"/>
                <w:sz w:val="15"/>
                <w:szCs w:val="15"/>
                <w:b w:val="1"/>
                <w:bCs w:val="1"/>
                <w:color w:val="auto"/>
                <w:w w:val="99"/>
              </w:rPr>
              <w:t>Growth</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4"/>
          </w:tcPr>
          <w:p>
            <w:pPr>
              <w:jc w:val="center"/>
              <w:ind w:right="340"/>
              <w:spacing w:after="0" w:line="16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86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13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Goodwill Test as of</w:t>
            </w:r>
          </w:p>
        </w:tc>
        <w:tc>
          <w:tcPr>
            <w:tcW w:w="220" w:type="dxa"/>
            <w:vAlign w:val="bottom"/>
          </w:tcPr>
          <w:p>
            <w:pPr>
              <w:spacing w:after="0"/>
              <w:rPr>
                <w:sz w:val="14"/>
                <w:szCs w:val="14"/>
                <w:color w:val="auto"/>
              </w:rPr>
            </w:pPr>
          </w:p>
        </w:tc>
        <w:tc>
          <w:tcPr>
            <w:tcW w:w="1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10% in Cash</w:t>
            </w:r>
          </w:p>
        </w:tc>
        <w:tc>
          <w:tcPr>
            <w:tcW w:w="220" w:type="dxa"/>
            <w:vAlign w:val="bottom"/>
          </w:tcPr>
          <w:p>
            <w:pPr>
              <w:spacing w:after="0"/>
              <w:rPr>
                <w:sz w:val="14"/>
                <w:szCs w:val="14"/>
                <w:color w:val="auto"/>
              </w:rPr>
            </w:pPr>
          </w:p>
        </w:tc>
        <w:tc>
          <w:tcPr>
            <w:tcW w:w="10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term Growth</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0.5% in</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Unit</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260" w:type="dxa"/>
            <w:vAlign w:val="bottom"/>
          </w:tcPr>
          <w:p>
            <w:pPr>
              <w:spacing w:after="0"/>
              <w:rPr>
                <w:sz w:val="15"/>
                <w:szCs w:val="15"/>
                <w:color w:val="auto"/>
              </w:rPr>
            </w:pPr>
          </w:p>
        </w:tc>
        <w:tc>
          <w:tcPr>
            <w:tcW w:w="100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October 1, 2025</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Flows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2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Discount Rate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60" w:type="dxa"/>
            <w:vAlign w:val="bottom"/>
            <w:gridSpan w:val="2"/>
            <w:shd w:val="clear" w:color="auto" w:fill="CCECFF"/>
          </w:tcPr>
          <w:p>
            <w:pPr>
              <w:spacing w:after="0" w:line="156" w:lineRule="exact"/>
              <w:rPr>
                <w:sz w:val="20"/>
                <w:szCs w:val="20"/>
                <w:color w:val="auto"/>
              </w:rPr>
            </w:pPr>
            <w:r>
              <w:rPr>
                <w:rFonts w:ascii="Times New Roman" w:cs="Times New Roman" w:eastAsia="Times New Roman" w:hAnsi="Times New Roman"/>
                <w:sz w:val="15"/>
                <w:szCs w:val="15"/>
                <w:color w:val="auto"/>
              </w:rPr>
              <w:t>Aurora</w:t>
            </w:r>
          </w:p>
        </w:tc>
        <w:tc>
          <w:tcPr>
            <w:tcW w:w="980" w:type="dxa"/>
            <w:vAlign w:val="bottom"/>
            <w:gridSpan w:val="2"/>
            <w:shd w:val="clear" w:color="auto" w:fill="CCECFF"/>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13.0%</w:t>
            </w:r>
          </w:p>
        </w:tc>
        <w:tc>
          <w:tcPr>
            <w:tcW w:w="1000" w:type="dxa"/>
            <w:vAlign w:val="bottom"/>
            <w:shd w:val="clear" w:color="auto" w:fill="CCECFF"/>
          </w:tcPr>
          <w:p>
            <w:pPr>
              <w:spacing w:after="0"/>
              <w:rPr>
                <w:sz w:val="13"/>
                <w:szCs w:val="13"/>
                <w:color w:val="auto"/>
              </w:rPr>
            </w:pPr>
          </w:p>
        </w:tc>
        <w:tc>
          <w:tcPr>
            <w:tcW w:w="740" w:type="dxa"/>
            <w:vAlign w:val="bottom"/>
            <w:gridSpan w:val="3"/>
            <w:shd w:val="clear" w:color="auto" w:fill="CCEC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1.0%  $</w:t>
            </w:r>
          </w:p>
        </w:tc>
        <w:tc>
          <w:tcPr>
            <w:tcW w:w="780" w:type="dxa"/>
            <w:vAlign w:val="bottom"/>
            <w:shd w:val="clear" w:color="auto" w:fill="CCECFF"/>
          </w:tcPr>
          <w:p>
            <w:pPr>
              <w:ind w:left="440"/>
              <w:spacing w:after="0" w:line="156" w:lineRule="exact"/>
              <w:rPr>
                <w:sz w:val="20"/>
                <w:szCs w:val="20"/>
                <w:color w:val="auto"/>
              </w:rPr>
            </w:pPr>
            <w:r>
              <w:rPr>
                <w:rFonts w:ascii="Times New Roman" w:cs="Times New Roman" w:eastAsia="Times New Roman" w:hAnsi="Times New Roman"/>
                <w:sz w:val="15"/>
                <w:szCs w:val="15"/>
                <w:color w:val="auto"/>
                <w:w w:val="94"/>
              </w:rPr>
              <w:t>268.7</w:t>
            </w: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60" w:type="dxa"/>
            <w:vAlign w:val="bottom"/>
            <w:gridSpan w:val="2"/>
            <w:shd w:val="clear" w:color="auto" w:fill="CCECFF"/>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CEC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C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134.4</w:t>
            </w:r>
          </w:p>
        </w:tc>
        <w:tc>
          <w:tcPr>
            <w:tcW w:w="300" w:type="dxa"/>
            <w:vAlign w:val="bottom"/>
            <w:gridSpan w:val="2"/>
            <w:shd w:val="clear" w:color="auto" w:fill="CCEC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CFF"/>
          </w:tcPr>
          <w:p>
            <w:pPr>
              <w:jc w:val="right"/>
              <w:spacing w:after="0" w:line="156" w:lineRule="exact"/>
              <w:rPr>
                <w:sz w:val="20"/>
                <w:szCs w:val="20"/>
                <w:color w:val="auto"/>
              </w:rPr>
            </w:pPr>
            <w:r>
              <w:rPr>
                <w:rFonts w:ascii="Times New Roman" w:cs="Times New Roman" w:eastAsia="Times New Roman" w:hAnsi="Times New Roman"/>
                <w:sz w:val="15"/>
                <w:szCs w:val="15"/>
                <w:color w:val="auto"/>
              </w:rPr>
              <w:t>9.0</w:t>
            </w:r>
          </w:p>
        </w:tc>
        <w:tc>
          <w:tcPr>
            <w:tcW w:w="320" w:type="dxa"/>
            <w:vAlign w:val="bottom"/>
            <w:gridSpan w:val="2"/>
            <w:shd w:val="clear" w:color="auto" w:fill="CCEC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C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111.3</w:t>
            </w:r>
          </w:p>
        </w:tc>
        <w:tc>
          <w:tcPr>
            <w:tcW w:w="320" w:type="dxa"/>
            <w:vAlign w:val="bottom"/>
            <w:gridSpan w:val="2"/>
            <w:shd w:val="clear" w:color="auto" w:fill="CCEC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CFF"/>
          </w:tcPr>
          <w:p>
            <w:pPr>
              <w:jc w:val="right"/>
              <w:spacing w:after="0" w:line="156" w:lineRule="exact"/>
              <w:rPr>
                <w:sz w:val="20"/>
                <w:szCs w:val="20"/>
                <w:color w:val="auto"/>
              </w:rPr>
            </w:pPr>
            <w:r>
              <w:rPr>
                <w:rFonts w:ascii="Times New Roman" w:cs="Times New Roman" w:eastAsia="Times New Roman" w:hAnsi="Times New Roman"/>
                <w:sz w:val="15"/>
                <w:szCs w:val="15"/>
                <w:color w:val="auto"/>
              </w:rPr>
              <w:t>78.5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Definite-Lived Intangible Assets and Other Long-Lived Assets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reviews definite-lived intangible assets and other long-lived assets for impairment when events or changes in circumstances indicate that their carrying values may not be fully recoverable. This analysis differs from our goodwill impairment analysis in that an intangible or other long-lived asset impairment is only deemed to have occurred if the sum of the forecasted undiscounted future net cash flows related to the assets being evaluated is less than the carrying value of the assets. If the forecasted net cash flows are less than the carrying value, then the asset is written down to its estimated fair value. Other than certain assets impaired as a result of restructuring actions, we did not identify any impairments of definite-lived intangible assets or other long-lived assets in 2025. Changes in the estimates of forecasted net cash flows or changes in classification from held for use may result in future asset impairments that could be material to our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We recognize revenue based on the satisfaction of distinct obligations to transfer goods and services to customers. Our revenue is generated primarily from product or equipment sales. We also generate revenue from custom design and installation services as well as bundled sales arrangements that include product, software and services. We apply a five-step approach as defined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determining the amount and timing of revenue to be recognized: (1) identify the contract with a customer; (2) identify the performance obligations in the contract; (3) determine the transaction price; (4) allocate the transaction price to the performance obligations in the contract; and (5) recognize revenue when a corresponding performance obligation is satisfied. Most contracts with customers are to provide distinct products or services within a single contract. However, if a contract is separated into more than one performance obligation, the total transaction price is allocated to each performance obligation in an amount based on the estimated relative standalone selling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Product sales to end-customers or distributors represent over 90% of our revenue and are generally recognized at the point-in-time when products have been shipped, right to payment has been obtained and risk of loss has been transferred. Certain of our product performance obligations include proprietary operating system software, which typically is not considered separately identifiable. Therefore, sales of these products and the related software are considered one performance obligation.</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License contracts include revenue recognized for the licensing of intellectual property, including software, sold separately without products. Functional intellectual property licenses do not meet the criteria for revenue to be recognized over time, and revenue is most commonly recognized upon delivery of the license/software to the customer.</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service arrangements where net sales are recognized over time. These arrangements include a variety of post-contract support service offerings, which are generally recognized over time as the services are provided, including the following: maintenance and support services provided under annual service-level agreements; “Day 2” professional services to help customers maximize their utilization of deployed systems; and installation services related to the routine installation of equipment ordered by the customer at the customer’s site.</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Revenue is measured based on the consideration to which we expect to be entitled based on customer contracts. Sales are adjusted for variable consideration amounts, including, but not limited to, estimated discounts, rebates, distributor price protection programs and returns. These estimates are determined based upon historical experience, contract terms, inventory levels in the distributor channel and other related factors. Adjustments to variable consideration estimates are recorded when circumstances indicate revisions may be necessary. Variable consideration is primarily related to sales to our distributors, system integrators and value-added resellers.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contract liability for deferred revenue is recorded when consideration is received or is unconditionally due from a customer prior to transferring control of goods or services to the customer under the terms of a contract. Deferred revenue balances typically result from advance payments received from customers from billings in excess of revenue recognized on services arrangements.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Unbilled receivables represent amounts earned for which we have an unconditional right to payment but have not yet invoiced the customer. When our right to consideration is conditional on future performance or other factors beyond the passage of time, these amounts are classified as contract assets and presented separately from trade accounts receivable in other receivables in the consolidated balance sheet and are converted to accounts receivable once our right to the consideration becomes unconditional, which varies by contract but is generally based on achieving certain acceptance milestones.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 party to lawsuits, claims and proceedings incident to the operation of our business, including intellectual property infringement matters, those pertaining to labor and employment contracts and other matters, some of which allege substantial monetary damages. We assess these matters in order to determine if a contingent liability should be recorded. In making this determination, management may, depending on the nature of the matter, consult with internal and external legal counsel and technical experts. We expense legal fees associated with consultations and defense of lawsuits as incurred. We accrue for loss contingencies when losses become probable and are reasonably estimable. If the reasonable estimate of the loss is a range and no amount within the range is a better estimate, the minimum amount of the range is recorded as a liability. Gain contingencies are recognized when they are realized.</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Litigation outcomes are difficult to predict and are often resolved over long periods of time, making our estimates highly judgmental. Estimating probable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 There is the potential for a material adverse effect on our results of operations and cash flows if one or more matters are resolved in a particular period in an amount materially in excess of what we anticipated. Alternatively, if the judgments and estimates made by management are incorrect and a particular contingent loss does not occur, the contingent loss recorded would be reversed, thereby favorably impacting our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maintain reserves to reduce the value of inventory based on the lower of cost or net realizable value, including allowances for excess and obsolete inventory. These reserves are based on management’s assumptions about and analysis of relevant factors including current levels of orders and backlog, forecasted demand, market conditions and new products or innovations that diminish the value of existing inventories. If actual market conditions deteriorate from those anticipated by management, additional allowances for excess and obsolete inventory could be required and may be material to our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Valuation Allowances and Liabilities for Unrecognized Tax Benefits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establish an income tax valuation allowance when available evidence indicates that it is more likely than not that all or a portion of a deferred tax asset will not be realized. In assessing the need for a valuation allowance, we consider the amounts, character, source and timing of expected future deductions or carryforwards as well as sources of taxable income and tax planning strategies that may enable utilization. We maintain an existing valuation allowance until sufficient positive evidence exists to support its reversal. Changes in the amount or timing of expected future deductions or taxable income may have a material impact on the level of income tax valuation allowances. If we determine that we will not be able to realize all or part of a deferred tax asset in the future, an increase to an income tax valuation allowance would be charged to earnings in the period such determination was made.</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also establish allowances related to value-added and similar recoverable taxes when it is considered probable that those assets are not recoverable. Changes in the probability of recovery or in the estimates of the amount recoverable are recognized in the period such determination is made and may be material to our gain (loss) from continuing operations.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 income tax benefits related to particular tax positions only when it is considered more likely than not that the tax position will be sustained if examined on its technical merits by tax authorities. The amount of benefit recognized is the largest amount of tax benefit that is evaluated to be greater than 50% likely to be realized. Considerable judgment is required to evaluate the technical merits of various positions and to evaluate the likely amount of benefit to be realized. Lapses in statutes of limitations, developments in tax laws, regulations and interpretations, and changes in assessments of the likely outcome of uncertain tax positions could have a material impact on the overall tax provision.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2 in the Notes to Consolidated Financial Statements included elsewhere in this Annual Report on Form 10-K for a discussion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exposed to market risks related to foreign currency exchange rates and commodity prices. We may utilize derivative financial instruments, among other methods, to hedge some of these exposures. We do not use derivative financial instruments for speculative or trading purposes.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CCS segment that was completed subsequent to fiscal year end on January 9, 2026, we repaid and issued notices of full redemption of all of our then-existing indebtedness, and we are no longer exposed to market risks related to changes in interest rates. For further discussion of the sale of the CCS segment, see Note 19 in the Notes to Consolidated Financial Statements included elsewhere in this Annual Report on Form 10-K.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Approximately 28.5% and 33.3% of net sales for 2025 and 2024, respectively, were to customers located outside the U.S. Significant changes in foreign currency exchange rates could adversely affect our international sales levels and the related collection of amounts due. In addition, a significant decline in the value of currencies used in certain regions of the world as compared to the U.S. dollar could adversely affect product sales in those regions because our products may become more expensive for those customers to pay for in their local currency. Conversely, significant increases in the value of foreign currencies as compared to the U.S. dollar could adversely affect profitability as certain product costs increase relative to a U.S. dollar-denominated sales price. The foreign currencies to which we have the greatest exposure include the Chinese yuan, euro, British pound sterling, Mexican peso, Japanese yen, Canadian dollar, Australian dollar, Brazilian real, South African rand, Indian rupee and Czech koruna. Local manufacturing provides a partial natural hedge and we continue to evaluate additional alternatives to help us reasonably manage the market risk related to foreign currency exposures.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Materials account for a large portion of our cost of sales. These materials, such as aluminum, copper, steel, optical fiber, capacitors, memory devices and silicon chips, are subject to changes in market price as they are influenced by commodity markets and supply and demand levels, among other factors. Management attempts to mitigate these risks through effective requirements planning and by working closely with key suppliers to obtain the best possible pricing and delivery terms. We may also enter into agreements with certain suppliers to guarantee our access to certain key components.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2025, we had no forward purchase commitments outstanding under take-or-pay contracts. We continuously evaluate the amount and type of derivative instruments utilized to manage commodity price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800" w:type="dxa"/>
            <w:vAlign w:val="bottom"/>
          </w:tcPr>
          <w:p>
            <w:pPr>
              <w:spacing w:after="0"/>
              <w:rPr>
                <w:sz w:val="20"/>
                <w:szCs w:val="20"/>
                <w:color w:val="auto"/>
              </w:rPr>
            </w:pPr>
          </w:p>
        </w:tc>
      </w:tr>
      <w:tr>
        <w:trPr>
          <w:trHeight w:val="324"/>
        </w:trPr>
        <w:tc>
          <w:tcPr>
            <w:tcW w:w="84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2800" w:type="dxa"/>
            <w:vAlign w:val="bottom"/>
          </w:tcPr>
          <w:p>
            <w:pPr>
              <w:spacing w:after="0"/>
              <w:rPr>
                <w:sz w:val="24"/>
                <w:szCs w:val="24"/>
                <w:color w:val="auto"/>
              </w:rPr>
            </w:pPr>
          </w:p>
        </w:tc>
      </w:tr>
      <w:tr>
        <w:trPr>
          <w:trHeight w:val="283"/>
        </w:trPr>
        <w:tc>
          <w:tcPr>
            <w:tcW w:w="240" w:type="dxa"/>
            <w:vAlign w:val="bottom"/>
          </w:tcPr>
          <w:p>
            <w:pPr>
              <w:spacing w:after="0"/>
              <w:rPr>
                <w:sz w:val="24"/>
                <w:szCs w:val="24"/>
                <w:color w:val="auto"/>
              </w:rPr>
            </w:pPr>
          </w:p>
        </w:tc>
        <w:tc>
          <w:tcPr>
            <w:tcW w:w="8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42)</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4"/>
        </w:trPr>
        <w:tc>
          <w:tcPr>
            <w:tcW w:w="240" w:type="dxa"/>
            <w:vAlign w:val="bottom"/>
          </w:tcPr>
          <w:p>
            <w:pPr>
              <w:spacing w:after="0"/>
              <w:rPr>
                <w:sz w:val="24"/>
                <w:szCs w:val="24"/>
                <w:color w:val="auto"/>
              </w:rPr>
            </w:pPr>
          </w:p>
        </w:tc>
        <w:tc>
          <w:tcPr>
            <w:tcW w:w="2860" w:type="dxa"/>
            <w:vAlign w:val="bottom"/>
            <w:tcBorders>
              <w:top w:val="single" w:sz="8" w:color="0000FF"/>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700" w:type="dxa"/>
            <w:vAlign w:val="bottom"/>
            <w:tcBorders>
              <w:top w:val="single" w:sz="8" w:color="0000FF"/>
            </w:tcBorders>
            <w:gridSpan w:val="6"/>
          </w:tcPr>
          <w:p>
            <w:pPr>
              <w:spacing w:after="0"/>
              <w:rPr>
                <w:sz w:val="24"/>
                <w:szCs w:val="24"/>
                <w:color w:val="auto"/>
              </w:rPr>
            </w:pPr>
          </w:p>
        </w:tc>
        <w:tc>
          <w:tcPr>
            <w:tcW w:w="264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04"/>
        </w:trPr>
        <w:tc>
          <w:tcPr>
            <w:tcW w:w="240" w:type="dxa"/>
            <w:vAlign w:val="bottom"/>
          </w:tcPr>
          <w:p>
            <w:pPr>
              <w:spacing w:after="0"/>
              <w:rPr>
                <w:sz w:val="24"/>
                <w:szCs w:val="24"/>
                <w:color w:val="auto"/>
              </w:rPr>
            </w:pPr>
          </w:p>
        </w:tc>
        <w:tc>
          <w:tcPr>
            <w:tcW w:w="8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4"/>
        </w:trPr>
        <w:tc>
          <w:tcPr>
            <w:tcW w:w="240" w:type="dxa"/>
            <w:vAlign w:val="bottom"/>
          </w:tcPr>
          <w:p>
            <w:pPr>
              <w:spacing w:after="0"/>
              <w:rPr>
                <w:sz w:val="24"/>
                <w:szCs w:val="24"/>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24"/>
                <w:szCs w:val="24"/>
                <w:color w:val="auto"/>
              </w:rPr>
            </w:pPr>
          </w:p>
        </w:tc>
        <w:tc>
          <w:tcPr>
            <w:tcW w:w="2120" w:type="dxa"/>
            <w:vAlign w:val="bottom"/>
            <w:tcBorders>
              <w:top w:val="single" w:sz="8" w:color="0000FF"/>
            </w:tcBorders>
            <w:gridSpan w:val="6"/>
          </w:tcPr>
          <w:p>
            <w:pPr>
              <w:spacing w:after="0"/>
              <w:rPr>
                <w:sz w:val="24"/>
                <w:szCs w:val="24"/>
                <w:color w:val="auto"/>
              </w:rPr>
            </w:pPr>
          </w:p>
        </w:tc>
        <w:tc>
          <w:tcPr>
            <w:tcW w:w="3960" w:type="dxa"/>
            <w:vAlign w:val="bottom"/>
            <w:gridSpan w:val="2"/>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4"/>
        </w:trPr>
        <w:tc>
          <w:tcPr>
            <w:tcW w:w="240" w:type="dxa"/>
            <w:vAlign w:val="bottom"/>
          </w:tcPr>
          <w:p>
            <w:pPr>
              <w:spacing w:after="0"/>
              <w:rPr>
                <w:sz w:val="24"/>
                <w:szCs w:val="24"/>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24"/>
                <w:szCs w:val="24"/>
                <w:color w:val="auto"/>
              </w:rPr>
            </w:pPr>
          </w:p>
        </w:tc>
        <w:tc>
          <w:tcPr>
            <w:tcW w:w="5300" w:type="dxa"/>
            <w:vAlign w:val="bottom"/>
            <w:gridSpan w:val="5"/>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4"/>
        </w:trPr>
        <w:tc>
          <w:tcPr>
            <w:tcW w:w="240" w:type="dxa"/>
            <w:vAlign w:val="bottom"/>
          </w:tcPr>
          <w:p>
            <w:pPr>
              <w:spacing w:after="0"/>
              <w:rPr>
                <w:sz w:val="24"/>
                <w:szCs w:val="24"/>
                <w:color w:val="auto"/>
              </w:rPr>
            </w:pPr>
          </w:p>
        </w:tc>
        <w:tc>
          <w:tcPr>
            <w:tcW w:w="3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w:t>
            </w:r>
          </w:p>
        </w:tc>
        <w:tc>
          <w:tcPr>
            <w:tcW w:w="4620" w:type="dxa"/>
            <w:vAlign w:val="bottom"/>
            <w:gridSpan w:val="3"/>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4"/>
        </w:trPr>
        <w:tc>
          <w:tcPr>
            <w:tcW w:w="240" w:type="dxa"/>
            <w:vAlign w:val="bottom"/>
          </w:tcPr>
          <w:p>
            <w:pPr>
              <w:spacing w:after="0"/>
              <w:rPr>
                <w:sz w:val="24"/>
                <w:szCs w:val="24"/>
                <w:color w:val="auto"/>
              </w:rPr>
            </w:pPr>
          </w:p>
        </w:tc>
        <w:tc>
          <w:tcPr>
            <w:tcW w:w="3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040" w:type="dxa"/>
            <w:vAlign w:val="bottom"/>
            <w:gridSpan w:val="4"/>
          </w:tcPr>
          <w:p>
            <w:pPr>
              <w:spacing w:after="0"/>
              <w:rPr>
                <w:sz w:val="24"/>
                <w:szCs w:val="24"/>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884"/>
        </w:trPr>
        <w:tc>
          <w:tcPr>
            <w:tcW w:w="5800" w:type="dxa"/>
            <w:vAlign w:val="bottom"/>
            <w:gridSpan w:val="10"/>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26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Vistance Networks,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Vistance Networks, Inc. (the Company) as of December 31, 2025 and 2024, the related consolidated statements of operations, comprehensive income (loss), stockholders’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Description of the </w:t>
      </w:r>
      <w:r>
        <w:rPr>
          <w:rFonts w:ascii="Times New Roman" w:cs="Times New Roman" w:eastAsia="Times New Roman" w:hAnsi="Times New Roman"/>
          <w:sz w:val="18"/>
          <w:szCs w:val="18"/>
          <w:color w:val="auto"/>
        </w:rPr>
        <w:t>As more fully described in Note 5 to the consolidated financial statements, at December 31, 2025, the Company’s goodwill was $764.6</w:t>
      </w:r>
    </w:p>
    <w:p>
      <w:pPr>
        <w:spacing w:after="0" w:line="29" w:lineRule="exact"/>
        <w:rPr>
          <w:sz w:val="20"/>
          <w:szCs w:val="20"/>
          <w:color w:val="auto"/>
        </w:rPr>
      </w:pPr>
    </w:p>
    <w:p>
      <w:pPr>
        <w:ind w:left="1360" w:right="20" w:hanging="1359"/>
        <w:spacing w:after="0" w:line="260" w:lineRule="auto"/>
        <w:tabs>
          <w:tab w:leader="none" w:pos="134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million, of which $268.7 million related to the Aurora reporting unit. The Company’s goodwill is initially assigned to its reporting units as of the acquisition date.</w:t>
      </w:r>
    </w:p>
    <w:p>
      <w:pPr>
        <w:spacing w:after="0" w:line="181" w:lineRule="exact"/>
        <w:rPr>
          <w:sz w:val="20"/>
          <w:szCs w:val="20"/>
          <w:color w:val="auto"/>
        </w:rPr>
      </w:pPr>
    </w:p>
    <w:p>
      <w:pPr>
        <w:jc w:val="both"/>
        <w:ind w:left="1360" w:right="20"/>
        <w:spacing w:after="0" w:line="266" w:lineRule="auto"/>
        <w:rPr>
          <w:sz w:val="20"/>
          <w:szCs w:val="20"/>
          <w:color w:val="auto"/>
        </w:rPr>
      </w:pPr>
      <w:r>
        <w:rPr>
          <w:rFonts w:ascii="Times New Roman" w:cs="Times New Roman" w:eastAsia="Times New Roman" w:hAnsi="Times New Roman"/>
          <w:sz w:val="18"/>
          <w:szCs w:val="18"/>
          <w:color w:val="auto"/>
        </w:rPr>
        <w:t>Goodwill is tested for impairment at least annually at the reporting unit level. The Company performed its annual goodwill impairment test in the fourth quarter of 2025. As a result of the annual goodwill impairment test, no impairment charge was measured, as the estimated fair value of the Aurora reporting unit was greater than the carrying value.</w:t>
      </w:r>
    </w:p>
    <w:p>
      <w:pPr>
        <w:spacing w:after="0" w:line="176" w:lineRule="exact"/>
        <w:rPr>
          <w:sz w:val="20"/>
          <w:szCs w:val="20"/>
          <w:color w:val="auto"/>
        </w:rPr>
      </w:pPr>
    </w:p>
    <w:p>
      <w:pPr>
        <w:jc w:val="both"/>
        <w:ind w:left="1360" w:right="20"/>
        <w:spacing w:after="0" w:line="261" w:lineRule="auto"/>
        <w:rPr>
          <w:sz w:val="20"/>
          <w:szCs w:val="20"/>
          <w:color w:val="auto"/>
        </w:rPr>
      </w:pPr>
      <w:r>
        <w:rPr>
          <w:rFonts w:ascii="Times New Roman" w:cs="Times New Roman" w:eastAsia="Times New Roman" w:hAnsi="Times New Roman"/>
          <w:sz w:val="18"/>
          <w:szCs w:val="18"/>
          <w:color w:val="auto"/>
        </w:rPr>
        <w:t>Auditing management’s goodwill impairment test was complex and highly judgmental due to the significant estimation required in determining the fair value of the Aurora reporting unit. In particular, the fair value estimate was sensitive to changes in significant assumptions, such as the estimated discount rate, projected revenue growth rate and projected EBITDA margin percentage, which are affected by expectations about future market or economic conditions.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We evaluated the Company’s assessment of the impairment of goodwill for the Aurora reporting unit. We obtained an understanding, evaluated the design and tested the operating effectiveness of controls that address the risks of material misstatement relating to the annual goodwill impairment test for this reporting unit, including controls over management’s development and review of the significant assumptions discussed above.</w:t>
      </w:r>
    </w:p>
    <w:p>
      <w:pPr>
        <w:spacing w:after="0" w:line="180" w:lineRule="exact"/>
        <w:rPr>
          <w:sz w:val="20"/>
          <w:szCs w:val="20"/>
          <w:color w:val="auto"/>
        </w:rPr>
      </w:pPr>
    </w:p>
    <w:p>
      <w:pPr>
        <w:sectPr>
          <w:pgSz w:w="11900" w:h="16838" w:orient="portrait"/>
          <w:cols w:equalWidth="0" w:num="2">
            <w:col w:w="1020" w:space="340"/>
            <w:col w:w="9860"/>
          </w:cols>
          <w:pgMar w:left="320" w:top="1415" w:right="359" w:bottom="1440" w:gutter="0" w:footer="0" w:header="0"/>
        </w:sectPr>
      </w:pPr>
    </w:p>
    <w:p>
      <w:pPr>
        <w:jc w:val="both"/>
        <w:ind w:left="1360"/>
        <w:spacing w:after="0" w:line="253" w:lineRule="auto"/>
        <w:rPr>
          <w:sz w:val="20"/>
          <w:szCs w:val="20"/>
          <w:color w:val="auto"/>
        </w:rPr>
      </w:pPr>
      <w:r>
        <w:rPr>
          <w:rFonts w:ascii="Times New Roman" w:cs="Times New Roman" w:eastAsia="Times New Roman" w:hAnsi="Times New Roman"/>
          <w:sz w:val="18"/>
          <w:szCs w:val="18"/>
          <w:color w:val="auto"/>
        </w:rPr>
        <w:t>To test the estimated fair value of the Aurora reporting unit, we performed audit procedures with the assistance of our valuation specialists that included, among others, assessing methodologies and testing the significant assumptions discussed above and the underlying data used by the Company in its analysis. We evaluated the Company’s estimated discount rate methodology and developed independent ranges of reasonable discount rates. We compared the significant assumptions of projected revenue growth rates and projected EBITDA margin percentages used by management to current industry and economic trends, changes to the Company’s business model, customer base or product mix and other relevant factors. We also evaluated the reasonableness of the guideline public companies used to develop the fair value estimate of the Aurora reporting unit. We assessed the historical accuracy of management’s estimates and performed sensitivity analyses of significant assumptions to evaluate the changes in the fair value of the reporting unit that would result from changes in the assumptions. We also evaluated the related goodwill disclosures included in Note 5 to the consolidated financial statements.</w:t>
      </w:r>
    </w:p>
    <w:p>
      <w:pPr>
        <w:sectPr>
          <w:pgSz w:w="11900" w:h="16838" w:orient="portrait"/>
          <w:cols w:equalWidth="0" w:num="1">
            <w:col w:w="11220"/>
          </w:cols>
          <w:pgMar w:left="320" w:top="1415" w:right="359" w:bottom="1440" w:gutter="0" w:footer="0" w:header="0"/>
          <w:type w:val="continuous"/>
        </w:sectPr>
      </w:pPr>
    </w:p>
    <w:p>
      <w:pPr>
        <w:spacing w:after="0" w:line="2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i w:val="1"/>
          <w:iCs w:val="1"/>
          <w:color w:val="auto"/>
        </w:rPr>
        <w:t>Incomes Taxes - Valuation Allowance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Description of the </w:t>
      </w:r>
      <w:r>
        <w:rPr>
          <w:rFonts w:ascii="Times New Roman" w:cs="Times New Roman" w:eastAsia="Times New Roman" w:hAnsi="Times New Roman"/>
          <w:sz w:val="18"/>
          <w:szCs w:val="18"/>
          <w:color w:val="auto"/>
        </w:rPr>
        <w:t>As more fully described in Note 13 to the consolidated financial statements, at December 31, 2025, the Company recognized deferred</w:t>
      </w:r>
    </w:p>
    <w:p>
      <w:pPr>
        <w:spacing w:after="0" w:line="29" w:lineRule="exact"/>
        <w:rPr>
          <w:sz w:val="20"/>
          <w:szCs w:val="20"/>
          <w:color w:val="auto"/>
        </w:rPr>
      </w:pPr>
    </w:p>
    <w:p>
      <w:pPr>
        <w:jc w:val="both"/>
        <w:ind w:left="1360" w:hanging="1359"/>
        <w:spacing w:after="0" w:line="255" w:lineRule="auto"/>
        <w:tabs>
          <w:tab w:leader="none" w:pos="134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tax assets related to deductible temporary differences and carryforwards of $1,880.0 million, net of valuation allowances of $97.0 million. Deferred tax assets are reduced by a valuation allowance if, based on the weight of all available evidence, in management’s judgment, it is more likely than not that some portion, or all, of the deferred tax assets will not be realized.</w:t>
      </w:r>
    </w:p>
    <w:p>
      <w:pPr>
        <w:spacing w:after="0" w:line="186" w:lineRule="exact"/>
        <w:rPr>
          <w:sz w:val="20"/>
          <w:szCs w:val="20"/>
          <w:color w:val="auto"/>
        </w:rPr>
      </w:pPr>
    </w:p>
    <w:p>
      <w:pPr>
        <w:jc w:val="both"/>
        <w:ind w:left="1360"/>
        <w:spacing w:after="0" w:line="282" w:lineRule="auto"/>
        <w:rPr>
          <w:sz w:val="20"/>
          <w:szCs w:val="20"/>
          <w:color w:val="auto"/>
        </w:rPr>
      </w:pPr>
      <w:r>
        <w:rPr>
          <w:rFonts w:ascii="Times New Roman" w:cs="Times New Roman" w:eastAsia="Times New Roman" w:hAnsi="Times New Roman"/>
          <w:sz w:val="18"/>
          <w:szCs w:val="18"/>
          <w:color w:val="auto"/>
        </w:rPr>
        <w:t>Auditing management’s assessment of the realizability of deferred tax assets was complex and judgmental due to the estimation required in determining whether sufficient projected future taxable income supports the realization of the Company’s existing deferred tax assets.</w:t>
      </w:r>
    </w:p>
    <w:p>
      <w:pPr>
        <w:sectPr>
          <w:pgSz w:w="11900" w:h="16838" w:orient="portrait"/>
          <w:cols w:equalWidth="0" w:num="1">
            <w:col w:w="11220"/>
          </w:cols>
          <w:pgMar w:left="320" w:top="1415" w:right="359" w:bottom="1440" w:gutter="0" w:footer="0" w:header="0"/>
          <w:type w:val="continuous"/>
        </w:sectPr>
      </w:pPr>
    </w:p>
    <w:p>
      <w:pPr>
        <w:spacing w:after="0" w:line="3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evaluated the Company’s assessment of the realizability of deferred tax assets, with the assistance of our income tax professionals. We obtained an understanding, evaluated the design and tested the operating effectiveness of controls that address the risks of material misstatement relating to the realizability of deferred tax assets, including controls over management’s development and review of the projected future taxable income.</w:t>
      </w:r>
    </w:p>
    <w:p>
      <w:pPr>
        <w:spacing w:after="0" w:line="180" w:lineRule="exact"/>
        <w:rPr>
          <w:sz w:val="20"/>
          <w:szCs w:val="20"/>
          <w:color w:val="auto"/>
        </w:rPr>
      </w:pPr>
    </w:p>
    <w:p>
      <w:pPr>
        <w:sectPr>
          <w:pgSz w:w="11900" w:h="16838" w:orient="portrait"/>
          <w:cols w:equalWidth="0" w:num="2">
            <w:col w:w="1020" w:space="340"/>
            <w:col w:w="9860"/>
          </w:cols>
          <w:pgMar w:left="320" w:top="1415" w:right="359" w:bottom="1440" w:gutter="0" w:footer="0" w:header="0"/>
          <w:type w:val="continuous"/>
        </w:sectPr>
      </w:pPr>
    </w:p>
    <w:p>
      <w:pPr>
        <w:jc w:val="both"/>
        <w:ind w:left="1360"/>
        <w:spacing w:after="0" w:line="258" w:lineRule="auto"/>
        <w:rPr>
          <w:sz w:val="20"/>
          <w:szCs w:val="20"/>
          <w:color w:val="auto"/>
        </w:rPr>
      </w:pPr>
      <w:r>
        <w:rPr>
          <w:rFonts w:ascii="Times New Roman" w:cs="Times New Roman" w:eastAsia="Times New Roman" w:hAnsi="Times New Roman"/>
          <w:sz w:val="18"/>
          <w:szCs w:val="18"/>
          <w:color w:val="auto"/>
        </w:rPr>
        <w:t>To test the realizability of deferred tax assets, we performed audit procedures that included, among others, evaluating whether the amount and sources of management’s projected future taxable income would be sufficient to utilize the deferred tax assets under the relevant tax laws. We evaluated the assumptions used by the Company to develop the projected future taxable income and tested the completeness and accuracy of the underlying data. We also evaluated the related income tax disclosures included in Note 13 to the consolidated financial statements.</w:t>
      </w:r>
    </w:p>
    <w:p>
      <w:pPr>
        <w:sectPr>
          <w:pgSz w:w="11900" w:h="16838" w:orient="portrait"/>
          <w:cols w:equalWidth="0" w:num="1">
            <w:col w:w="11220"/>
          </w:cols>
          <w:pgMar w:left="320" w:top="1415" w:right="35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57" w:name="page58"/>
    <w:bookmarkEnd w:id="57"/>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Vistance Networks,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Vistance Networks, Inc.’s internal control over financial reporting as of December 31, 2025, based on criteria established in Internal Control—Integrated Framework issued by the Committee of Sponsoring Organizations of the Treadway Commission (2013 framework) (the COSO criteria). In our opinion, Vistance Networks, Inc. (the Company) maintained, in all material respects, effective internal control over financial reporting as of December 31, 2025,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stockholders’ deficit and cash flows for each of the three years in the period ended December 31, 2025, and the related notes and our report dated February 25, 2026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gridSpan w:val="2"/>
            <w:shd w:val="clear" w:color="auto" w:fill="CCEC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120" w:type="dxa"/>
            <w:vAlign w:val="bottom"/>
            <w:shd w:val="clear" w:color="auto" w:fill="CCECFF"/>
          </w:tcPr>
          <w:p>
            <w:pPr>
              <w:spacing w:after="0"/>
              <w:rPr>
                <w:sz w:val="18"/>
                <w:szCs w:val="18"/>
                <w:color w:val="auto"/>
              </w:rPr>
            </w:pPr>
          </w:p>
        </w:tc>
        <w:tc>
          <w:tcPr>
            <w:tcW w:w="4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1,863.8</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 agreement 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Restructuring costs, net</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 impairments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C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CCEC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20" w:type="dxa"/>
            <w:vAlign w:val="bottom"/>
            <w:tcBorders>
              <w:top w:val="single" w:sz="8" w:color="CCECFF"/>
            </w:tcBorders>
          </w:tcPr>
          <w:p>
            <w:pPr>
              <w:spacing w:after="0"/>
              <w:rPr>
                <w:sz w:val="18"/>
                <w:szCs w:val="18"/>
                <w:color w:val="auto"/>
              </w:rPr>
            </w:pPr>
          </w:p>
        </w:tc>
        <w:tc>
          <w:tcPr>
            <w:tcW w:w="200" w:type="dxa"/>
            <w:vAlign w:val="bottom"/>
            <w:tcBorders>
              <w:top w:val="single" w:sz="8" w:color="CCEC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320" w:type="dxa"/>
            <w:vAlign w:val="bottom"/>
            <w:tcBorders>
              <w:top w:val="single" w:sz="8" w:color="CCEC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2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(291.7)</w:t>
            </w:r>
          </w:p>
        </w:tc>
        <w:tc>
          <w:tcPr>
            <w:tcW w:w="3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(659.6)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(272.9)</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(573.0)</w:t>
            </w: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
        </w:trPr>
        <w:tc>
          <w:tcPr>
            <w:tcW w:w="5660" w:type="dxa"/>
            <w:vAlign w:val="bottom"/>
            <w:shd w:val="clear" w:color="auto" w:fill="CCECFF"/>
          </w:tcPr>
          <w:p>
            <w:pPr>
              <w:spacing w:after="0" w:line="20" w:lineRule="exact"/>
              <w:rPr>
                <w:sz w:val="1"/>
                <w:szCs w:val="1"/>
                <w:color w:val="auto"/>
              </w:rPr>
            </w:pPr>
          </w:p>
        </w:tc>
        <w:tc>
          <w:tcPr>
            <w:tcW w:w="11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(206.0)</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(652.8)</w:t>
            </w:r>
          </w:p>
        </w:tc>
        <w:tc>
          <w:tcPr>
            <w:tcW w:w="0" w:type="dxa"/>
            <w:vAlign w:val="bottom"/>
          </w:tcPr>
          <w:p>
            <w:pPr>
              <w:spacing w:after="0"/>
              <w:rPr>
                <w:sz w:val="1"/>
                <w:szCs w:val="1"/>
                <w:color w:val="auto"/>
              </w:rPr>
            </w:pPr>
          </w:p>
        </w:tc>
      </w:tr>
      <w:tr>
        <w:trPr>
          <w:trHeight w:val="198"/>
        </w:trPr>
        <w:tc>
          <w:tcPr>
            <w:tcW w:w="566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Income (loss) from discontinued operations, net of income tax</w:t>
            </w:r>
          </w:p>
        </w:tc>
        <w:tc>
          <w:tcPr>
            <w:tcW w:w="11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240" w:type="dxa"/>
            <w:vAlign w:val="bottom"/>
            <w:gridSpan w:val="2"/>
            <w:vMerge w:val="restart"/>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(109.5)</w:t>
            </w:r>
          </w:p>
        </w:tc>
        <w:tc>
          <w:tcPr>
            <w:tcW w:w="300" w:type="dxa"/>
            <w:vAlign w:val="bottom"/>
            <w:shd w:val="clear" w:color="auto" w:fill="CCECFF"/>
          </w:tcPr>
          <w:p>
            <w:pPr>
              <w:spacing w:after="0"/>
              <w:rPr>
                <w:sz w:val="17"/>
                <w:szCs w:val="17"/>
                <w:color w:val="auto"/>
              </w:rPr>
            </w:pPr>
          </w:p>
        </w:tc>
        <w:tc>
          <w:tcPr>
            <w:tcW w:w="1160" w:type="dxa"/>
            <w:vAlign w:val="bottom"/>
            <w:gridSpan w:val="2"/>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(854.0)</w:t>
            </w:r>
          </w:p>
        </w:tc>
        <w:tc>
          <w:tcPr>
            <w:tcW w:w="0" w:type="dxa"/>
            <w:vAlign w:val="bottom"/>
          </w:tcPr>
          <w:p>
            <w:pPr>
              <w:spacing w:after="0"/>
              <w:rPr>
                <w:sz w:val="1"/>
                <w:szCs w:val="1"/>
                <w:color w:val="auto"/>
              </w:rPr>
            </w:pPr>
          </w:p>
        </w:tc>
      </w:tr>
      <w:tr>
        <w:trPr>
          <w:trHeight w:val="221"/>
        </w:trPr>
        <w:tc>
          <w:tcPr>
            <w:tcW w:w="56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(expense) benefit of $865.1, $(213.6) and $99.6, respectively</w:t>
            </w:r>
          </w:p>
        </w:tc>
        <w:tc>
          <w:tcPr>
            <w:tcW w:w="11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vMerge w:val="continue"/>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240" w:type="dxa"/>
            <w:vAlign w:val="bottom"/>
            <w:gridSpan w:val="2"/>
            <w:vMerge w:val="continue"/>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60" w:type="dxa"/>
            <w:vAlign w:val="bottom"/>
            <w:gridSpan w:val="2"/>
            <w:vMerge w:val="continue"/>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CFF"/>
          </w:tcPr>
          <w:p>
            <w:pPr>
              <w:spacing w:after="0" w:line="20" w:lineRule="exact"/>
              <w:rPr>
                <w:sz w:val="1"/>
                <w:szCs w:val="1"/>
                <w:color w:val="auto"/>
              </w:rPr>
            </w:pPr>
          </w:p>
        </w:tc>
        <w:tc>
          <w:tcPr>
            <w:tcW w:w="11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(315.5)</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(1,506.8)</w:t>
            </w: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1380" w:type="dxa"/>
            <w:vAlign w:val="bottom"/>
            <w:gridSpan w:val="2"/>
            <w:shd w:val="clear" w:color="auto" w:fill="CCEC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CFF"/>
          </w:tcPr>
          <w:p>
            <w:pPr>
              <w:spacing w:after="0"/>
              <w:rPr>
                <w:sz w:val="18"/>
                <w:szCs w:val="18"/>
                <w:color w:val="auto"/>
              </w:rPr>
            </w:pPr>
          </w:p>
        </w:tc>
        <w:tc>
          <w:tcPr>
            <w:tcW w:w="4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discontinued operations per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380" w:type="dxa"/>
            <w:vAlign w:val="bottom"/>
            <w:gridSpan w:val="2"/>
            <w:shd w:val="clear" w:color="auto" w:fill="CCEC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CECFF"/>
          </w:tcPr>
          <w:p>
            <w:pPr>
              <w:spacing w:after="0"/>
              <w:rPr>
                <w:sz w:val="21"/>
                <w:szCs w:val="21"/>
                <w:color w:val="auto"/>
              </w:rPr>
            </w:pPr>
          </w:p>
        </w:tc>
        <w:tc>
          <w:tcPr>
            <w:tcW w:w="4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CFF"/>
            </w:tcBorders>
          </w:tcPr>
          <w:p>
            <w:pPr>
              <w:spacing w:after="0"/>
              <w:rPr>
                <w:sz w:val="17"/>
                <w:szCs w:val="17"/>
                <w:color w:val="auto"/>
              </w:rPr>
            </w:pPr>
          </w:p>
        </w:tc>
        <w:tc>
          <w:tcPr>
            <w:tcW w:w="1120" w:type="dxa"/>
            <w:vAlign w:val="bottom"/>
            <w:tcBorders>
              <w:top w:val="single" w:sz="8" w:color="CCEC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200" w:type="dxa"/>
            <w:vAlign w:val="bottom"/>
            <w:tcBorders>
              <w:top w:val="single" w:sz="8" w:color="CCEC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CCEC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Earnings (loss) from discontinued operations per share</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5660" w:type="dxa"/>
            <w:vAlign w:val="bottom"/>
            <w:shd w:val="clear" w:color="auto" w:fill="CCECFF"/>
          </w:tcPr>
          <w:p>
            <w:pPr>
              <w:spacing w:after="0" w:line="20" w:lineRule="exact"/>
              <w:rPr>
                <w:sz w:val="1"/>
                <w:szCs w:val="1"/>
                <w:color w:val="auto"/>
              </w:rPr>
            </w:pPr>
          </w:p>
        </w:tc>
        <w:tc>
          <w:tcPr>
            <w:tcW w:w="11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8"/>
                <w:szCs w:val="18"/>
                <w:color w:val="auto"/>
              </w:rPr>
            </w:pP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-3714115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-3714115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-3714115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-3148330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-3148330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-3148330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-2865755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-2865755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-2865755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-2454275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-2454275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-2454275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-1305560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-1288415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-1305560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-1288415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-1305560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-1288415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-730885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-730885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-730885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6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40" w:type="dxa"/>
            <w:vAlign w:val="bottom"/>
          </w:tcPr>
          <w:p>
            <w:pPr>
              <w:spacing w:after="0"/>
              <w:rPr>
                <w:sz w:val="18"/>
                <w:szCs w:val="18"/>
                <w:color w:val="auto"/>
              </w:rPr>
            </w:pP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(1,506.8)</w:t>
            </w:r>
          </w:p>
        </w:tc>
      </w:tr>
      <w:tr>
        <w:trPr>
          <w:trHeight w:val="216"/>
        </w:trPr>
        <w:tc>
          <w:tcPr>
            <w:tcW w:w="66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r>
      <w:tr>
        <w:trPr>
          <w:trHeight w:val="216"/>
        </w:trPr>
        <w:tc>
          <w:tcPr>
            <w:tcW w:w="66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Defined benefit plans:</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unrecognized loss</w:t>
            </w: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6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Change in unrecognized net prior service credit</w:t>
            </w:r>
          </w:p>
        </w:tc>
        <w:tc>
          <w:tcPr>
            <w:tcW w:w="26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C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hedging instruments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6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CFF"/>
          </w:tcPr>
          <w:p>
            <w:pPr>
              <w:spacing w:after="0"/>
              <w:rPr>
                <w:sz w:val="18"/>
                <w:szCs w:val="18"/>
                <w:color w:val="auto"/>
              </w:rPr>
            </w:pPr>
          </w:p>
        </w:tc>
      </w:tr>
      <w:tr>
        <w:trPr>
          <w:trHeight w:val="20"/>
        </w:trPr>
        <w:tc>
          <w:tcPr>
            <w:tcW w:w="66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(1,477.2)</w:t>
            </w:r>
          </w:p>
        </w:tc>
      </w:tr>
      <w:tr>
        <w:trPr>
          <w:trHeight w:val="20"/>
        </w:trPr>
        <w:tc>
          <w:tcPr>
            <w:tcW w:w="6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spacing w:after="0" w:line="1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Borders>
              <w:bottom w:val="single" w:sz="8" w:color="auto"/>
            </w:tcBorders>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31"/>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CFF"/>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gridSpan w:val="2"/>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30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CEC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9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520" w:type="dxa"/>
            <w:vAlign w:val="bottom"/>
            <w:shd w:val="clear" w:color="auto" w:fill="CCECFF"/>
          </w:tcPr>
          <w:p>
            <w:pPr>
              <w:spacing w:after="0"/>
              <w:rPr>
                <w:sz w:val="17"/>
                <w:szCs w:val="17"/>
                <w:color w:val="auto"/>
              </w:rPr>
            </w:pPr>
          </w:p>
        </w:tc>
        <w:tc>
          <w:tcPr>
            <w:tcW w:w="13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of $1.6 and $1.6, respectively</w:t>
            </w:r>
          </w:p>
        </w:tc>
        <w:tc>
          <w:tcPr>
            <w:tcW w:w="920" w:type="dxa"/>
            <w:vAlign w:val="bottom"/>
            <w:shd w:val="clear" w:color="auto" w:fill="CCECFF"/>
          </w:tcPr>
          <w:p>
            <w:pPr>
              <w:spacing w:after="0"/>
              <w:rPr>
                <w:sz w:val="20"/>
                <w:szCs w:val="20"/>
                <w:color w:val="auto"/>
              </w:rPr>
            </w:pPr>
          </w:p>
        </w:tc>
        <w:tc>
          <w:tcPr>
            <w:tcW w:w="118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300" w:type="dxa"/>
            <w:vAlign w:val="bottom"/>
            <w:shd w:val="clear" w:color="auto" w:fill="CCECFF"/>
          </w:tcPr>
          <w:p>
            <w:pPr>
              <w:spacing w:after="0"/>
              <w:rPr>
                <w:sz w:val="20"/>
                <w:szCs w:val="20"/>
                <w:color w:val="auto"/>
              </w:rPr>
            </w:pPr>
          </w:p>
        </w:tc>
        <w:tc>
          <w:tcPr>
            <w:tcW w:w="520" w:type="dxa"/>
            <w:vAlign w:val="bottom"/>
            <w:shd w:val="clear" w:color="auto" w:fill="CCECFF"/>
          </w:tcPr>
          <w:p>
            <w:pPr>
              <w:spacing w:after="0"/>
              <w:rPr>
                <w:sz w:val="20"/>
                <w:szCs w:val="20"/>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9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4,324.5</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3,484.5</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$174.5 and $255.8, respectively</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2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shd w:val="clear" w:color="auto" w:fill="CCECFF"/>
          </w:tcPr>
          <w:p>
            <w:pPr>
              <w:ind w:left="20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9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520" w:type="dxa"/>
            <w:vAlign w:val="bottom"/>
            <w:shd w:val="clear" w:color="auto" w:fill="CCECFF"/>
          </w:tcPr>
          <w:p>
            <w:pPr>
              <w:spacing w:after="0"/>
              <w:rPr>
                <w:sz w:val="17"/>
                <w:szCs w:val="17"/>
                <w:color w:val="auto"/>
              </w:rPr>
            </w:pPr>
          </w:p>
        </w:tc>
        <w:tc>
          <w:tcPr>
            <w:tcW w:w="13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100" w:type="dxa"/>
            <w:vAlign w:val="bottom"/>
            <w:gridSpan w:val="2"/>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30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9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3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 $0.01 par value</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Authorized shares: 200,000,000;</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shares: 1,278,653 and 1,227,328, respectively,</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10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shares: 1,300,000,000;</w:t>
            </w:r>
          </w:p>
        </w:tc>
        <w:tc>
          <w:tcPr>
            <w:tcW w:w="9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520" w:type="dxa"/>
            <w:vAlign w:val="bottom"/>
            <w:shd w:val="clear" w:color="auto" w:fill="CCECFF"/>
          </w:tcPr>
          <w:p>
            <w:pPr>
              <w:spacing w:after="0"/>
              <w:rPr>
                <w:sz w:val="17"/>
                <w:szCs w:val="17"/>
                <w:color w:val="auto"/>
              </w:rPr>
            </w:pPr>
          </w:p>
        </w:tc>
        <w:tc>
          <w:tcPr>
            <w:tcW w:w="13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Issued and outstanding shares: 223,260,316 and 215,887,001,</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3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shd w:val="clear" w:color="auto" w:fill="CCECFF"/>
          </w:tcPr>
          <w:p>
            <w:pPr>
              <w:spacing w:after="0"/>
              <w:rPr>
                <w:sz w:val="20"/>
                <w:szCs w:val="20"/>
                <w:color w:val="auto"/>
              </w:rPr>
            </w:pPr>
          </w:p>
        </w:tc>
        <w:tc>
          <w:tcPr>
            <w:tcW w:w="1180" w:type="dxa"/>
            <w:vAlign w:val="bottom"/>
            <w:shd w:val="clear" w:color="auto" w:fill="CCECFF"/>
          </w:tcPr>
          <w:p>
            <w:pPr>
              <w:spacing w:after="0"/>
              <w:rPr>
                <w:sz w:val="20"/>
                <w:szCs w:val="20"/>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CFF"/>
          </w:tcPr>
          <w:p>
            <w:pPr>
              <w:spacing w:after="0"/>
              <w:rPr>
                <w:sz w:val="20"/>
                <w:szCs w:val="20"/>
                <w:color w:val="auto"/>
              </w:rPr>
            </w:pPr>
          </w:p>
        </w:tc>
        <w:tc>
          <w:tcPr>
            <w:tcW w:w="520" w:type="dxa"/>
            <w:vAlign w:val="bottom"/>
            <w:shd w:val="clear" w:color="auto" w:fill="CCECFF"/>
          </w:tcPr>
          <w:p>
            <w:pPr>
              <w:spacing w:after="0"/>
              <w:rPr>
                <w:sz w:val="20"/>
                <w:szCs w:val="20"/>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(3,040.8)</w:t>
            </w:r>
          </w:p>
        </w:tc>
        <w:tc>
          <w:tcPr>
            <w:tcW w:w="520" w:type="dxa"/>
            <w:vAlign w:val="bottom"/>
            <w:shd w:val="clear" w:color="auto" w:fill="CCECFF"/>
          </w:tcPr>
          <w:p>
            <w:pPr>
              <w:spacing w:after="0"/>
              <w:rPr>
                <w:sz w:val="18"/>
                <w:szCs w:val="18"/>
                <w:color w:val="auto"/>
              </w:rPr>
            </w:pPr>
          </w:p>
        </w:tc>
        <w:tc>
          <w:tcPr>
            <w:tcW w:w="15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(5,324.5)</w:t>
            </w:r>
          </w:p>
        </w:tc>
        <w:tc>
          <w:tcPr>
            <w:tcW w:w="0" w:type="dxa"/>
            <w:vAlign w:val="bottom"/>
          </w:tcPr>
          <w:p>
            <w:pPr>
              <w:spacing w:after="0"/>
              <w:rPr>
                <w:sz w:val="1"/>
                <w:szCs w:val="1"/>
                <w:color w:val="auto"/>
              </w:rPr>
            </w:pPr>
          </w:p>
        </w:tc>
      </w:tr>
      <w:tr>
        <w:trPr>
          <w:trHeight w:val="21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(118.7)</w:t>
            </w:r>
          </w:p>
        </w:tc>
        <w:tc>
          <w:tcPr>
            <w:tcW w:w="5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198"/>
        </w:trPr>
        <w:tc>
          <w:tcPr>
            <w:tcW w:w="610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Treasury stock, at cost: 18,665,426 shares and</w:t>
            </w:r>
          </w:p>
        </w:tc>
        <w:tc>
          <w:tcPr>
            <w:tcW w:w="92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520" w:type="dxa"/>
            <w:vAlign w:val="bottom"/>
            <w:shd w:val="clear" w:color="auto" w:fill="CCECFF"/>
          </w:tcPr>
          <w:p>
            <w:pPr>
              <w:spacing w:after="0"/>
              <w:rPr>
                <w:sz w:val="17"/>
                <w:szCs w:val="17"/>
                <w:color w:val="auto"/>
              </w:rPr>
            </w:pPr>
          </w:p>
        </w:tc>
        <w:tc>
          <w:tcPr>
            <w:tcW w:w="13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15,647,303 shares, respectively</w:t>
            </w:r>
          </w:p>
        </w:tc>
        <w:tc>
          <w:tcPr>
            <w:tcW w:w="920" w:type="dxa"/>
            <w:vAlign w:val="bottom"/>
            <w:shd w:val="clear" w:color="auto" w:fill="CCECFF"/>
          </w:tcPr>
          <w:p>
            <w:pPr>
              <w:spacing w:after="0"/>
              <w:rPr>
                <w:sz w:val="20"/>
                <w:szCs w:val="20"/>
                <w:color w:val="auto"/>
              </w:rPr>
            </w:pPr>
          </w:p>
        </w:tc>
        <w:tc>
          <w:tcPr>
            <w:tcW w:w="118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(334.9)</w:t>
            </w:r>
          </w:p>
        </w:tc>
        <w:tc>
          <w:tcPr>
            <w:tcW w:w="520" w:type="dxa"/>
            <w:vAlign w:val="bottom"/>
            <w:shd w:val="clear" w:color="auto" w:fill="CCECFF"/>
          </w:tcPr>
          <w:p>
            <w:pPr>
              <w:spacing w:after="0"/>
              <w:rPr>
                <w:sz w:val="20"/>
                <w:szCs w:val="20"/>
                <w:color w:val="auto"/>
              </w:rPr>
            </w:pPr>
          </w:p>
        </w:tc>
        <w:tc>
          <w:tcPr>
            <w:tcW w:w="15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(1,004.1)</w:t>
            </w:r>
          </w:p>
        </w:tc>
        <w:tc>
          <w:tcPr>
            <w:tcW w:w="5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(3,456.1)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100" w:type="dxa"/>
            <w:vAlign w:val="bottom"/>
            <w:gridSpan w:val="2"/>
            <w:shd w:val="clear" w:color="auto" w:fill="CCECFF"/>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300" w:type="dxa"/>
            <w:vAlign w:val="bottom"/>
            <w:shd w:val="clear" w:color="auto" w:fill="CCECFF"/>
          </w:tcPr>
          <w:p>
            <w:pPr>
              <w:spacing w:after="0"/>
              <w:rPr>
                <w:sz w:val="19"/>
                <w:szCs w:val="19"/>
                <w:color w:val="auto"/>
              </w:rPr>
            </w:pPr>
          </w:p>
        </w:tc>
        <w:tc>
          <w:tcPr>
            <w:tcW w:w="520" w:type="dxa"/>
            <w:vAlign w:val="bottom"/>
            <w:shd w:val="clear" w:color="auto" w:fill="CCEC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8,747.5</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CFF"/>
            </w:tcBorders>
            <w:shd w:val="clear" w:color="auto" w:fill="CCECFF"/>
          </w:tcPr>
          <w:p>
            <w:pPr>
              <w:spacing w:after="0" w:line="20" w:lineRule="exact"/>
              <w:rPr>
                <w:sz w:val="1"/>
                <w:szCs w:val="1"/>
                <w:color w:val="auto"/>
              </w:rPr>
            </w:pPr>
          </w:p>
        </w:tc>
        <w:tc>
          <w:tcPr>
            <w:tcW w:w="920" w:type="dxa"/>
            <w:vAlign w:val="bottom"/>
            <w:tcBorders>
              <w:top w:val="single" w:sz="8" w:color="CCECFF"/>
            </w:tcBorders>
            <w:shd w:val="clear" w:color="auto" w:fill="CCEC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-2403475</wp:posOffset>
            </wp:positionV>
            <wp:extent cx="9398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-2403475</wp:posOffset>
            </wp:positionV>
            <wp:extent cx="10287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-329565</wp:posOffset>
            </wp:positionV>
            <wp:extent cx="10287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jc w:val="center"/>
        <w:ind w:right="120"/>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24"/>
          <w:szCs w:val="24"/>
          <w:b w:val="1"/>
          <w:bCs w:val="1"/>
          <w:color w:val="auto"/>
          <w:vertAlign w:val="superscript"/>
        </w:rPr>
        <w:t>(1)</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(1,506.8)</w:t>
            </w:r>
          </w:p>
        </w:tc>
      </w:tr>
      <w:tr>
        <w:trPr>
          <w:trHeight w:val="198"/>
        </w:trPr>
        <w:tc>
          <w:tcPr>
            <w:tcW w:w="7460" w:type="dxa"/>
            <w:vAlign w:val="bottom"/>
            <w:shd w:val="clear" w:color="auto" w:fill="CCECFF"/>
          </w:tcPr>
          <w:p>
            <w:pPr>
              <w:ind w:left="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generated by</w:t>
            </w:r>
          </w:p>
        </w:tc>
        <w:tc>
          <w:tcPr>
            <w:tcW w:w="24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r>
        <w:trPr>
          <w:trHeight w:val="234"/>
        </w:trPr>
        <w:tc>
          <w:tcPr>
            <w:tcW w:w="74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CFF"/>
          </w:tcPr>
          <w:p>
            <w:pPr>
              <w:spacing w:after="0"/>
              <w:rPr>
                <w:sz w:val="20"/>
                <w:szCs w:val="20"/>
                <w:color w:val="auto"/>
              </w:rPr>
            </w:pPr>
          </w:p>
        </w:tc>
        <w:tc>
          <w:tcPr>
            <w:tcW w:w="8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20" w:type="dxa"/>
            <w:vAlign w:val="bottom"/>
          </w:tcPr>
          <w:p>
            <w:pPr>
              <w:spacing w:after="0"/>
              <w:rPr>
                <w:sz w:val="18"/>
                <w:szCs w:val="18"/>
                <w:color w:val="auto"/>
              </w:rPr>
            </w:pPr>
          </w:p>
        </w:tc>
      </w:tr>
      <w:tr>
        <w:trPr>
          <w:trHeight w:val="216"/>
        </w:trPr>
        <w:tc>
          <w:tcPr>
            <w:tcW w:w="74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CFF"/>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(180.5)</w:t>
            </w:r>
          </w:p>
        </w:tc>
      </w:tr>
      <w:tr>
        <w:trPr>
          <w:trHeight w:val="216"/>
        </w:trPr>
        <w:tc>
          <w:tcPr>
            <w:tcW w:w="74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20" w:type="dxa"/>
            <w:vAlign w:val="bottom"/>
            <w:shd w:val="clear" w:color="auto" w:fill="CCECFF"/>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4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(281.3)</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20" w:type="dxa"/>
            <w:vAlign w:val="bottom"/>
          </w:tcPr>
          <w:p>
            <w:pPr>
              <w:spacing w:after="0"/>
              <w:rPr>
                <w:sz w:val="18"/>
                <w:szCs w:val="18"/>
                <w:color w:val="auto"/>
              </w:rPr>
            </w:pPr>
          </w:p>
        </w:tc>
      </w:tr>
      <w:tr>
        <w:trPr>
          <w:trHeight w:val="216"/>
        </w:trPr>
        <w:tc>
          <w:tcPr>
            <w:tcW w:w="746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shd w:val="clear" w:color="auto" w:fill="CCECFF"/>
          </w:tcPr>
          <w:p>
            <w:pPr>
              <w:spacing w:after="0"/>
              <w:rPr>
                <w:sz w:val="18"/>
                <w:szCs w:val="18"/>
                <w:color w:val="auto"/>
              </w:rPr>
            </w:pPr>
          </w:p>
        </w:tc>
      </w:tr>
      <w:tr>
        <w:trPr>
          <w:trHeight w:val="216"/>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8"/>
                <w:szCs w:val="18"/>
                <w:color w:val="auto"/>
              </w:rPr>
            </w:pPr>
          </w:p>
        </w:tc>
      </w:tr>
      <w:tr>
        <w:trPr>
          <w:trHeight w:val="216"/>
        </w:trPr>
        <w:tc>
          <w:tcPr>
            <w:tcW w:w="746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(720.2)</w:t>
            </w:r>
          </w:p>
        </w:tc>
      </w:tr>
      <w:tr>
        <w:trPr>
          <w:trHeight w:val="216"/>
        </w:trPr>
        <w:tc>
          <w:tcPr>
            <w:tcW w:w="7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7460" w:type="dxa"/>
            <w:vAlign w:val="bottom"/>
            <w:shd w:val="clear" w:color="auto" w:fill="CCECFF"/>
          </w:tcPr>
          <w:p>
            <w:pPr>
              <w:ind w:left="2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CFF"/>
          </w:tcPr>
          <w:p>
            <w:pPr>
              <w:spacing w:after="0"/>
              <w:rPr>
                <w:sz w:val="18"/>
                <w:szCs w:val="18"/>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r>
      <w:tr>
        <w:trPr>
          <w:trHeight w:val="209"/>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generated by operating activities</w:t>
            </w:r>
          </w:p>
        </w:tc>
        <w:tc>
          <w:tcPr>
            <w:tcW w:w="240" w:type="dxa"/>
            <w:vAlign w:val="bottom"/>
            <w:tcBorders>
              <w:top w:val="single" w:sz="8" w:color="auto"/>
            </w:tcBorders>
            <w:shd w:val="clear" w:color="auto" w:fill="CCECFF"/>
          </w:tcPr>
          <w:p>
            <w:pPr>
              <w:spacing w:after="0"/>
              <w:rPr>
                <w:sz w:val="18"/>
                <w:szCs w:val="18"/>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8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30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20" w:type="dxa"/>
            <w:vAlign w:val="bottom"/>
            <w:shd w:val="clear" w:color="auto" w:fill="CCEC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2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8"/>
                <w:szCs w:val="18"/>
                <w:color w:val="auto"/>
              </w:rPr>
            </w:pPr>
          </w:p>
        </w:tc>
      </w:tr>
      <w:tr>
        <w:trPr>
          <w:trHeight w:val="216"/>
        </w:trPr>
        <w:tc>
          <w:tcPr>
            <w:tcW w:w="74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Net proceeds from divestitures</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of a business</w:t>
            </w: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r>
      <w:tr>
        <w:trPr>
          <w:trHeight w:val="216"/>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 repaid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(2,049.0)</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(4,338.6)</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74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Long-term debt repurchases</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 proceeds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Cash paid for debt discount</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Dividends paid on Series A convertible preferred stock</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46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(2,053.6)</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7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r>
      <w:tr>
        <w:trPr>
          <w:trHeight w:val="210"/>
        </w:trPr>
        <w:tc>
          <w:tcPr>
            <w:tcW w:w="746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80" w:type="dxa"/>
            <w:vAlign w:val="bottom"/>
            <w:tcBorders>
              <w:top w:val="single" w:sz="8" w:color="CCEC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300" w:type="dxa"/>
            <w:vAlign w:val="bottom"/>
            <w:tcBorders>
              <w:top w:val="single" w:sz="8" w:color="CCEC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top w:val="single" w:sz="8" w:color="CCECFF"/>
            </w:tcBorders>
          </w:tcPr>
          <w:p>
            <w:pPr>
              <w:spacing w:after="0"/>
              <w:rPr>
                <w:sz w:val="18"/>
                <w:szCs w:val="18"/>
                <w:color w:val="auto"/>
              </w:rPr>
            </w:pPr>
          </w:p>
        </w:tc>
      </w:tr>
      <w:tr>
        <w:trPr>
          <w:trHeight w:val="216"/>
        </w:trPr>
        <w:tc>
          <w:tcPr>
            <w:tcW w:w="74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3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2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-2116455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-2116455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-2116455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-736600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-736600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-453390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-453390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500" w:firstLine="8"/>
        <w:spacing w:after="0" w:line="282"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related to discontinued operations have not been segregated. Accordingly, the Consolidated Statements of Cash Flows include the results of continuing and discontinued operations.</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Number of common shares outstanding:</w:t>
            </w: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215,887,001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212,108,634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208,371,426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10,391,438</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5,001,544</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5,434,639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surrendered under equity-based compensation plans</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(3,018,123)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(1,223,177)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(1,697,431)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CFF"/>
          </w:tcPr>
          <w:p>
            <w:pPr>
              <w:spacing w:after="0"/>
              <w:rPr>
                <w:sz w:val="21"/>
                <w:szCs w:val="21"/>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223,260,316</w:t>
            </w:r>
          </w:p>
        </w:tc>
        <w:tc>
          <w:tcPr>
            <w:tcW w:w="1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spacing w:after="0"/>
              <w:rPr>
                <w:sz w:val="21"/>
                <w:szCs w:val="21"/>
                <w:color w:val="auto"/>
              </w:rPr>
            </w:pP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215,887,001</w:t>
            </w:r>
          </w:p>
        </w:tc>
        <w:tc>
          <w:tcPr>
            <w:tcW w:w="24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spacing w:after="0"/>
              <w:rPr>
                <w:sz w:val="21"/>
                <w:szCs w:val="21"/>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212,108,634</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CFF"/>
          </w:tcPr>
          <w:p>
            <w:pPr>
              <w:spacing w:after="0"/>
              <w:rPr>
                <w:sz w:val="18"/>
                <w:szCs w:val="18"/>
                <w:color w:val="auto"/>
              </w:rPr>
            </w:pPr>
          </w:p>
        </w:tc>
        <w:tc>
          <w:tcPr>
            <w:tcW w:w="4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CFF"/>
          </w:tcPr>
          <w:p>
            <w:pPr>
              <w:spacing w:after="0"/>
              <w:rPr>
                <w:sz w:val="18"/>
                <w:szCs w:val="18"/>
                <w:color w:val="auto"/>
              </w:rPr>
            </w:pPr>
          </w:p>
        </w:tc>
        <w:tc>
          <w:tcPr>
            <w:tcW w:w="3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CFF"/>
          </w:tcPr>
          <w:p>
            <w:pPr>
              <w:spacing w:after="0"/>
              <w:rPr>
                <w:sz w:val="18"/>
                <w:szCs w:val="18"/>
                <w:color w:val="auto"/>
              </w:rPr>
            </w:pPr>
          </w:p>
        </w:tc>
        <w:tc>
          <w:tcPr>
            <w:tcW w:w="4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CFF"/>
          </w:tcPr>
          <w:p>
            <w:pPr>
              <w:spacing w:after="0"/>
              <w:rPr>
                <w:sz w:val="18"/>
                <w:szCs w:val="18"/>
                <w:color w:val="auto"/>
              </w:rPr>
            </w:pPr>
          </w:p>
        </w:tc>
        <w:tc>
          <w:tcPr>
            <w:tcW w:w="3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24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CFF"/>
            </w:tcBorders>
          </w:tcPr>
          <w:p>
            <w:pPr>
              <w:spacing w:after="0"/>
              <w:rPr>
                <w:sz w:val="18"/>
                <w:szCs w:val="18"/>
                <w:color w:val="auto"/>
              </w:rPr>
            </w:pPr>
          </w:p>
        </w:tc>
        <w:tc>
          <w:tcPr>
            <w:tcW w:w="8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100" w:type="dxa"/>
            <w:vAlign w:val="bottom"/>
            <w:shd w:val="clear" w:color="auto" w:fill="CCECFF"/>
          </w:tcPr>
          <w:p>
            <w:pPr>
              <w:spacing w:after="0"/>
              <w:rPr>
                <w:sz w:val="18"/>
                <w:szCs w:val="18"/>
                <w:color w:val="auto"/>
              </w:rPr>
            </w:pPr>
          </w:p>
        </w:tc>
        <w:tc>
          <w:tcPr>
            <w:tcW w:w="4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240" w:type="dxa"/>
            <w:vAlign w:val="bottom"/>
            <w:shd w:val="clear" w:color="auto" w:fill="CCECFF"/>
          </w:tcPr>
          <w:p>
            <w:pPr>
              <w:spacing w:after="0"/>
              <w:rPr>
                <w:sz w:val="18"/>
                <w:szCs w:val="18"/>
                <w:color w:val="auto"/>
              </w:rPr>
            </w:pPr>
          </w:p>
        </w:tc>
        <w:tc>
          <w:tcPr>
            <w:tcW w:w="3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2,542.9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100" w:type="dxa"/>
            <w:vAlign w:val="bottom"/>
          </w:tcPr>
          <w:p>
            <w:pPr>
              <w:spacing w:after="0"/>
              <w:rPr>
                <w:sz w:val="18"/>
                <w:szCs w:val="18"/>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2,514.2</w:t>
            </w:r>
          </w:p>
        </w:tc>
        <w:tc>
          <w:tcPr>
            <w:tcW w:w="24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top w:val="single" w:sz="8" w:color="auto"/>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040" w:type="dxa"/>
            <w:vAlign w:val="bottom"/>
            <w:tcBorders>
              <w:top w:val="single" w:sz="8" w:color="auto"/>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(5,324.5)</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(5,009.0)</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(3,502.2)</w:t>
            </w:r>
          </w:p>
        </w:tc>
        <w:tc>
          <w:tcPr>
            <w:tcW w:w="0" w:type="dxa"/>
            <w:vAlign w:val="bottom"/>
          </w:tcPr>
          <w:p>
            <w:pPr>
              <w:spacing w:after="0"/>
              <w:rPr>
                <w:sz w:val="1"/>
                <w:szCs w:val="1"/>
                <w:color w:val="auto"/>
              </w:rPr>
            </w:pPr>
          </w:p>
        </w:tc>
      </w:tr>
      <w:tr>
        <w:trPr>
          <w:trHeight w:val="216"/>
        </w:trPr>
        <w:tc>
          <w:tcPr>
            <w:tcW w:w="6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(315.5)</w:t>
            </w: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(1,506.8)</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(3,040.8)</w:t>
            </w:r>
          </w:p>
        </w:tc>
        <w:tc>
          <w:tcPr>
            <w:tcW w:w="24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(5,324.5)</w:t>
            </w:r>
          </w:p>
        </w:tc>
        <w:tc>
          <w:tcPr>
            <w:tcW w:w="8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(5,009.0)</w:t>
            </w:r>
          </w:p>
        </w:tc>
        <w:tc>
          <w:tcPr>
            <w:tcW w:w="0" w:type="dxa"/>
            <w:vAlign w:val="bottom"/>
          </w:tcPr>
          <w:p>
            <w:pPr>
              <w:spacing w:after="0"/>
              <w:rPr>
                <w:sz w:val="1"/>
                <w:szCs w:val="1"/>
                <w:color w:val="auto"/>
              </w:rPr>
            </w:pPr>
          </w:p>
        </w:tc>
      </w:tr>
      <w:tr>
        <w:trPr>
          <w:trHeight w:val="210"/>
        </w:trPr>
        <w:tc>
          <w:tcPr>
            <w:tcW w:w="6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top w:val="single" w:sz="8" w:color="auto"/>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040" w:type="dxa"/>
            <w:vAlign w:val="bottom"/>
            <w:tcBorders>
              <w:top w:val="single" w:sz="8" w:color="auto"/>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(344.5)</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16"/>
        </w:trPr>
        <w:tc>
          <w:tcPr>
            <w:tcW w:w="6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(344.5)</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10"/>
        </w:trPr>
        <w:tc>
          <w:tcPr>
            <w:tcW w:w="6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tcBorders>
              <w:top w:val="single" w:sz="8" w:color="auto"/>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040" w:type="dxa"/>
            <w:vAlign w:val="bottom"/>
            <w:tcBorders>
              <w:top w:val="single" w:sz="8" w:color="auto"/>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(303.6)</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(301.7)</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(292.6)</w:t>
            </w:r>
          </w:p>
        </w:tc>
        <w:tc>
          <w:tcPr>
            <w:tcW w:w="0" w:type="dxa"/>
            <w:vAlign w:val="bottom"/>
          </w:tcPr>
          <w:p>
            <w:pPr>
              <w:spacing w:after="0"/>
              <w:rPr>
                <w:sz w:val="1"/>
                <w:szCs w:val="1"/>
                <w:color w:val="auto"/>
              </w:rPr>
            </w:pPr>
          </w:p>
        </w:tc>
      </w:tr>
      <w:tr>
        <w:trPr>
          <w:trHeight w:val="216"/>
        </w:trPr>
        <w:tc>
          <w:tcPr>
            <w:tcW w:w="66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shares surrendered under equity-based compensation plans</w:t>
            </w:r>
          </w:p>
        </w:tc>
        <w:tc>
          <w:tcPr>
            <w:tcW w:w="24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6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(334.9)</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(1,004.1)</w:t>
            </w:r>
          </w:p>
        </w:tc>
        <w:tc>
          <w:tcPr>
            <w:tcW w:w="4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(3,456.1)</w:t>
            </w:r>
          </w:p>
        </w:tc>
        <w:tc>
          <w:tcPr>
            <w:tcW w:w="3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(3,024.7)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-3428365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-3411220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-3428365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-3411220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-2845435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-2845435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-2014220</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-2014220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-1460500</wp:posOffset>
            </wp:positionV>
            <wp:extent cx="102235"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-882015</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-882015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-316865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-316865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BACKGROUND AND DESCRIPTION OF THE BUSINESS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January 14, 2026, the Company changed its legal name from CommScope Holding Company, Inc. to Vistance Networks, Inc. Vistance Networks, Inc., along with its direct and indirect subsidiaries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The Company is a leader in digital video and IP television (IPTV) distribution systems, broadband access infrastructure platforms and equipment that delivers data and voice networks to homes. The Company’s global leadership position is built upon innovative technology, broad solution offerings, high-quality and cost-effective customer solutions, and global manufacturing and distribution scale.</w:t>
      </w:r>
    </w:p>
    <w:p>
      <w:pPr>
        <w:spacing w:after="0" w:line="188" w:lineRule="exact"/>
        <w:rPr>
          <w:sz w:val="20"/>
          <w:szCs w:val="20"/>
          <w:color w:val="auto"/>
        </w:rPr>
      </w:pPr>
    </w:p>
    <w:p>
      <w:pPr>
        <w:ind w:right="220"/>
        <w:spacing w:after="0" w:line="219" w:lineRule="exact"/>
        <w:rPr>
          <w:sz w:val="20"/>
          <w:szCs w:val="20"/>
          <w:color w:val="auto"/>
        </w:rPr>
      </w:pPr>
      <w:r>
        <w:rPr>
          <w:rFonts w:ascii="Times New Roman" w:cs="Times New Roman" w:eastAsia="Times New Roman" w:hAnsi="Times New Roman"/>
          <w:sz w:val="18"/>
          <w:szCs w:val="18"/>
          <w:color w:val="auto"/>
        </w:rPr>
        <w:t>During the years ended December 31, 2023, 2024 and 2025, the Company executed several strategic transactions that are further described in Note 3 and Note 4 of these consolidated financial statements. These transactions included the acquisition of certain assets of Casa Systems, Inc. (Casa), as well as multiple divestitures, including the Home business, the Outdoor Wireless Networks (OWN) segment, the Distributed Antenna Systems (DAS) business unit, the OneCell business, and the Connectivity and Cable Solutions (CCS) segment. Several of these divestitures met the criteria for discontinued operations under Accounting Standard Codification (ASC) 205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i w:val="1"/>
          <w:iCs w:val="1"/>
          <w:color w:val="auto"/>
        </w:rPr>
        <w:t>Presentation of Financial Statements—Discontinued Operations</w:t>
      </w:r>
      <w:r>
        <w:rPr>
          <w:rFonts w:ascii="Times New Roman" w:cs="Times New Roman" w:eastAsia="Times New Roman" w:hAnsi="Times New Roman"/>
          <w:sz w:val="18"/>
          <w:szCs w:val="18"/>
          <w:color w:val="auto"/>
        </w:rPr>
        <w:t xml:space="preserve"> and "held for sale" classification under ASC 360-10, </w:t>
      </w:r>
      <w:r>
        <w:rPr>
          <w:rFonts w:ascii="Times New Roman" w:cs="Times New Roman" w:eastAsia="Times New Roman" w:hAnsi="Times New Roman"/>
          <w:sz w:val="18"/>
          <w:szCs w:val="18"/>
          <w:i w:val="1"/>
          <w:iCs w:val="1"/>
          <w:color w:val="auto"/>
        </w:rPr>
        <w:t>Impairment and Disposal of Long Lived Assets.</w:t>
      </w:r>
      <w:r>
        <w:rPr>
          <w:rFonts w:ascii="Times New Roman" w:cs="Times New Roman" w:eastAsia="Times New Roman" w:hAnsi="Times New Roman"/>
          <w:sz w:val="18"/>
          <w:szCs w:val="18"/>
          <w:color w:val="auto"/>
        </w:rPr>
        <w:t xml:space="preserve"> Detailed financial information, gain or loss recognition, held for sale measurements, and the related balance sheet, statement of operations, and statement of cash flow impacts are included within those notes.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Renaming</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Effective April 1, 2025, following the divestiture of the DAS business unit, the Company renamed its Networking, Intelligent Cellular &amp; Security Solutions (NICS) segment to RUCKUS. The name change did not impact the Company’s operating or reportable segment structure, chief operating decision maker (CODM) reporting or historical segment results. Historical activities occurring prior to the effective date are referenced under the former NICS name.</w:t>
      </w:r>
    </w:p>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divestiture of the CCS segment, and effective upon the closing of that transaction on January 9, 2026, the Company renamed its Access Network Solutions (ANS) segment to Aurora Networks (Aurora). The name change did not impact the Company’s operating or reportable segment structure, CODM reporting or historical segment results. Historical activities occurring prior to the effective date are referenced under the former ANS name.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Realignments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better align product oversight with how the business is managed:</w:t>
      </w:r>
    </w:p>
    <w:p>
      <w:pPr>
        <w:spacing w:after="0" w:line="117" w:lineRule="exact"/>
        <w:rPr>
          <w:sz w:val="20"/>
          <w:szCs w:val="20"/>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a product line was transferred from the RUCKUS (formerly NICS) segment to the Aurora (formerly ANS) segment.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2024, certain product lines were transferred from the CCS segment (which became a discontinued operation in the fourth quarter of 2025) to the Aurora (formerly ANS)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prior periods presented have been recast to reflect these organizational changes.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discussions in these consolidated financial statements relate solely to the Company's continuing operations, unless otherwise noted. As a result, the Company is reporting financial performance based on the following remaining reportable segments: RUCKUS and Aurora. For further discussion of the discontinued operations related to the CCS segment, OWN segment, DAS business unit and Home business, see Note 4 in these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ind w:right="6200" w:firstLine="8"/>
        <w:spacing w:after="0" w:line="378" w:lineRule="auto"/>
        <w:tabs>
          <w:tab w:leader="none" w:pos="31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Consolidation</w:t>
      </w:r>
    </w:p>
    <w:p>
      <w:pPr>
        <w:ind w:right="38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Vistance Networks, Inc., along with its direct and indirect subsidiaries. All intercompany accounts and transactions are eliminated in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the Financial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accounting principles generally accepted in the United States (U.S.) requires management to make estimates and assumptions that affect the amounts reported in the financial statements and accompanying notes. These estimates and their underlying assumptions form the basis for making judgments about the carrying values of assets and liabilities that are not readily apparent from other objective sources. The Company bases its estimates on historical experience and on assumptions that are believed to be reasonable under the circumstances and revises its estimates, as appropriate, when events or changes in circumstances indicate that revisions may be necessary. Significant accounting estimates reflected in the Company’s financial statements include the allowance for doubtful accounts; reserves for sales returns, discounts, allowances, rebates and distributor price protection programs; inventory excess and obsolescence reserves; contingent liabilities; tax valuation allowances; liabilities for unrecognized tax benefits; impairment reviews for investments, property, plant and equipment, goodwill and other intangible assets; and pension and other postretirement benefit costs and liabilities. Although these estimates are based on management’s knowledge of and experience with past and current events and on management’s assumptions about future events, it is at least reasonably possible that they may ultimately differ materially from actual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deposits in banks and cash invested temporarily in various instruments that are highly liquid and have a maturity of three months or less at the time of purchase.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Trade accounts receivable and contract assets for unbilled receivables are stated at the amount owed by the customer, net of allowances for estimated doubtful accounts, discounts, returns and rebates. The Company measures the allowance for doubtful accounts using an expected credit loss model, which uses a lifetime expected loss allowance for all trade accounts receivable and contract assets. To measure the expected credit losses, trade accounts receivable and contract assets are grouped based on shared credit risk characteristics and the days past due based on the contractual terms of the receivable. Contract assets relate to unbilled work in progress and have substantially the same risk characteristics as trade accounts receivable for the same types of contracts. Therefore, the Company has concluded that the expected loss rates for trade accounts receivable are a reasonable approximation of the loss rates for the contract assets.</w:t>
      </w:r>
    </w:p>
    <w:p>
      <w:pPr>
        <w:spacing w:after="0" w:line="18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calculating an allowance for doubtful accounts, the Company uses its historical experience, external indicators and forward-looking information to calculate expected credit losses using an aging method. The Company assesses impairment of trade accounts receivable on a collective basis, as they possess shared credit risk characteristics which have been grouped based on the days past due.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expected loss rates are based on the payment profiles of sales over the preceding thirty-six months and the corresponding historical credit losses experienced within this period. The historical loss rates are adjusted to reflect current and forward-looking information on macroeconomic factors affecting the ability of the customers to settle their trade accounts receivable. Accounts are written off against the allowance account when they are determined to be no longer collectible.</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sells certain of its accounts receivable under customer-sponsored supplier financing agreements. Under these agreements, the Company is able to sell certain accounts receivable to a bank at a discount. The Company sold approximately $93 million and $90 million of trade accounts receivable under these programs during the years ended December 31, 2025 and 2024, respectively, and the cost of factoring such receivables was not material. The Company derecognizes the accounts receivable on the Consolidated Balance Sheets once sold to the bank, as it retains no interest in and has no servicing responsibilities for them once they have been sold. The cash received from the bank is classified within the operating activities section on the Consolidated Statements of Cash Flows.</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 first-in, first-out (FIFO) basis. Costs such as idle facility expense, excessive scrap and re-handling costs are expensed as incurred. The Company maintains reserves to reduce the value of inventory to the lower of cost or net realizable value, including reserves for excess and obsolete inventory.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for Sale and Discontinued Operations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reports the results of operations of a business as discontinued operations if a disposal represents a strategic shift that has or will have a major effect on the Company’s operations and financial results when the business is sold, in accordance with the criteria of ASC Topic 205-20, </w:t>
      </w:r>
      <w:r>
        <w:rPr>
          <w:rFonts w:ascii="Times New Roman" w:cs="Times New Roman" w:eastAsia="Times New Roman" w:hAnsi="Times New Roman"/>
          <w:sz w:val="18"/>
          <w:szCs w:val="18"/>
          <w:i w:val="1"/>
          <w:iCs w:val="1"/>
          <w:color w:val="auto"/>
        </w:rPr>
        <w:t>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Statements—Discontinued Operations </w:t>
      </w:r>
      <w:r>
        <w:rPr>
          <w:rFonts w:ascii="Times New Roman" w:cs="Times New Roman" w:eastAsia="Times New Roman" w:hAnsi="Times New Roman"/>
          <w:sz w:val="18"/>
          <w:szCs w:val="18"/>
          <w:color w:val="auto"/>
        </w:rPr>
        <w:t>(ASC 205-20), and classified as “held for sale”, in accordance with ASC Topic 360-10,</w:t>
      </w:r>
      <w:r>
        <w:rPr>
          <w:rFonts w:ascii="Times New Roman" w:cs="Times New Roman" w:eastAsia="Times New Roman" w:hAnsi="Times New Roman"/>
          <w:sz w:val="18"/>
          <w:szCs w:val="18"/>
          <w:i w:val="1"/>
          <w:iCs w:val="1"/>
          <w:color w:val="auto"/>
        </w:rPr>
        <w:t xml:space="preserve"> Impairment and Disposal of Long Lived Assets </w:t>
      </w:r>
      <w:r>
        <w:rPr>
          <w:rFonts w:ascii="Times New Roman" w:cs="Times New Roman" w:eastAsia="Times New Roman" w:hAnsi="Times New Roman"/>
          <w:sz w:val="18"/>
          <w:szCs w:val="18"/>
          <w:color w:val="auto"/>
        </w:rPr>
        <w:t>(ASC 360-10). For assets (disposal group) held for sale, the disposal group as a whole is measured at the lower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or fair value less cost to sell after adjusting the individual assets of the disposal group, if necessary. The results of discontinued operations are reported in income (loss) from discontinued operations, net of income taxes in the accompanying Consolidated Statements of Operations for the current and prior periods and include any gain or loss recognized on classification as held for sale, or adjustment of the carrying amount or estimated fair value less cost to sell. If the carrying amount of the business exceeds its estimated fair value less cost to sell, a loss is recognized. Assets and liabilities related to a business classified as held for sale that qualifies as a discontinued operation are segregated in the current and prior periods on the Consolidated Balance Sheets. If a business is classified as held for sale after the balance sheet date but before the financial statements are issued or are available to be issued, the business continues to be classified as held and used in those financial statements when issued or when available to be issued.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is exposed to risks resulting from adverse fluctuations in commodity prices and foreign currency exchange rates and, historically, interest rates. The Company’s risk management strategy includes the use of derivative financial instruments whenever management determines their use to be reasonable and practical. This strategy does not permit the use of derivative financial instruments for trading or speculation.</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periodically uses forward contracts to hedge a portion of its balance sheet foreign exchange re-measurement risk and to hedge certain planned foreign currency expenditures. Unrealized gains and losses resulting from these contracts are recognized in other income (expense), net and partially offset corresponding foreign exchange gains and losses on the balances and expenditures being hedged. These instruments are not designated as hedges for hedge accounting purposes and are marked to market each period through earnings.</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has also utilized a hedging strategy to mitigate the interest rate risk from its variable rate debt, associated with its borrowings or debt issued, to fix a portion of the future interest cash flows by designating qualifying receive-variable and pay-fixed interest rate swaps as a cash flow hedge for accounting and financial reporting purposes. Hedge effectiveness was assessed each quarter, and for hedges that meet the effectiveness requirements, changes in fair value were recorded as a component of other comprehensive income (loss), net of tax, and reclassified to interest expense as interest payments were made on the Company’s variable rate debt. For cash flow hedges that are discontinued because the forecasted transaction is no longer probable, the related cumulative gain or loss recorded in accumulated other comprehensive income (loss) is immediately reclassified into earnings. As a result of the sale of the CCS segment that was completed subsequent to fiscal year end on January 9, 2026, the Company repaid, on the closing date of the sale, all outstanding variable rate debt. See Note 19 in these consolidated financial statements for further discussion of the sale of the CCS segment. The Company determined in the fourth quarter of 2025 that the forecasted interest cash flows were no longer probable of occurring. Accordingly, the Company discontinued cash flow hedge accounting for its interest rate swaps during the fourth quarter of 2025 and reclassified the net losses previously recorded in accumulated other comprehensive loss (AOCL), to interest expense, included in income (loss) from discontinued operations, net of income taxes on the Consolidated Statements of Operations. After discontinuation, all subsequent changes in the fair value of the interest rate swaps will be recognized directly in earnings.</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elected and documented the use of the normal purchases and sales exception for normal purchase and sales contracts that meet the definition of a derivative financial instrument.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determines if a contract is a lease or contains a lease at inception. Right of use assets related to operating type leases are reported in other noncurrent assets and the present value of remaining lease obligations is reported in accrued and other liabilities and other noncurrent liabilities on the Consolidated Balance Sheets. For the periods presented, the Company does not have any financing type leases.</w:t>
      </w:r>
    </w:p>
    <w:p>
      <w:pPr>
        <w:spacing w:after="0" w:line="17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Operating lease liabilities are recognized based on the present value of the future minimum lease payments over the lease term at commencement date. The majority of the Company’s leases do not provide an implicit rate; therefore, the Company uses the incremental borrowing rates applicable to the economic environment and the duration of the lease, based on the information available at commencement date, in determining the present value of future payments. The right of use asset for operating leases is measured using the lease liability adjusted for the impact of lease payments made prior to commencement, lease incentives received, initial direct costs incurred and any asset impairments. Lease terms may include options to extend or terminate the lease when it is reasonably certain that the option will be exercised. Lease expense for minimum lease payments is recognized on a straight-line basis over the lease term.</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remeasures and reallocates the consideration in a lease when there is a modification of the lease that is not accounted for as a separate contract. The lease liability is remeasured when there is a change in the lease term or a change in the assessment of whether the Company will exercise a lease option. The Company assesses right of use assets for impairment in accordance with its long-lived asset impairment policy.</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accounts for lease agreements with contractually required lease and non-lease components on a combined basis. Lease payments made for cancellable leases, variable amounts that are not based on an observable index and lease agreements with an original duration of less than twelve months are recorded directly to lease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Upon application of acquisition accounting, property, plant and equipment are measured at estimated fair value as of the acquisition date to establish a new historical cost basis. Provisions for depreciation are based on estimated useful lives of the assets using the straight-line method. Useful lives generally range from 10 to 35 years for buildings and improvements and 3 to 10 years for machinery and equipment. Expenditures for repairs and maintenance are expensed as incurred. Assets that management intends to dispose of and that meet “held for sale” criteria are carried at the lower of the carrying value or fair value less costs to sell.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Definite-Lived Intangible Assets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recognizes goodwill balances in conjunction with business combinations. Goodwill is assigned to reporting units based on the difference between the purchase price as allocated to the reporting units and the estimated fair value of the identified net assets acquired as allocated to the reporting units.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recognizes definite-lived intangible assets in connection with business combinations and separate asset purchases. In a business combination, intangibles assets are recorded at their respective fair values. For separate asset purchases, intangible assets are capitalized at cost. Subsequent to their acquisition, definite-lived intangible assets are carried at fair values or cost less accumulated amortization and any impairment charges. Amortization is recognized on a straight-line basis over the estimated useful lives of the respective assets, which approximates the pattern that the economic benefits are realized by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annually or at other times if events have occurred or circumstances exist that indicate the carrying value of the reporting unit may exceed its fair value. Property, plant and equipment, definite-lived intangible assets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See Note 5 for discussion of asset impairment charges.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revenue based on the satisfaction of distinct obligations to transfer goods and services to customers. The Company’s revenue is generated primarily from product or equipment sales. The Company also generates revenue from custom design and installation services as well as bundled sales arrangements that include product, software and services. The Company applies a five-step approach as defined in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in determining the amount and timing of revenue to be recognized: (1) identify the contract with a customer; (2) identify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 the contract; (3) determine the transaction price; (4) allocate the transaction price to the performance obligations in the contract; and (5) recognize revenue when a corresponding performance obligation is satisfied. Most contracts with customers are to provide distinct products or services within a single contract. However, if a contract is separated into more than one performance obligation, the total transaction price is allocated to each performance obligation in an amount based on the estimated relative standalone selling price.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Product sales to end-customers or distributors represent over 90% of the Company’s revenue and are recognized at a point-in-time, which is generally at the point in time when products have been shipped, right to payment has been obtained and risk of loss has been transferred. Certain of the Company’s product performance obligations include proprietary operating system software, which typically is not considered separately identifiable. Therefore, sales of these products and the related software are considered one performance obligation.</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License contracts include revenue recognized for the licensing of intellectual property, including software, sold separately without products. Functional intellectual property licenses do not meet the criteria for revenue to be recognized over time, and revenue is most commonly recognized upon delivery of the license/software to the customer.</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service arrangements where net sales are recognized over time. These arrangements include a variety of post-contract support service offerings, which are generally recognized over time as the services are provided, including the following: maintenance and support services provided under annual service-level agreements; “Day 2” professional services to help customers maximize their utilization of deployed systems; and installation services related to the routine installation of equipment ordered by the customer at the customer’s site.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Revenue is measured based on the consideration the Company expects to be entitled based on customer contracts. Sales are adjusted for variable consideration amounts, including, but not limited to, estimated discounts, rebates, distributor price protection programs and returns. These estimates are determined based upon historical experience, contract terms, inventory levels in the distributor channel and other related factors. Adjustments to variable consideration estimates are recorded when circumstances indicate revisions may be necessary. Variable consideration is primarily related to the Company’s sales to distributors, system integrators and value-added resellers.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contract liability for deferred revenue is recorded when consideration is received or is unconditionally due from a customer prior to transferring control of goods or services to the customer under the terms of a contract. Deferred revenue balances typically result from advance payments received from customers from billings in excess of revenue recognized on services arrangements.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Unbilled receivables represent amounts earned for which the Company has an unconditional right to payment but has not yet invoiced the customer. When the Company’s right to consideration is conditional on future performance or other factors beyond the passage of time, these amounts are classified as contract assets and presented separately from trade accounts receivable in other receivables in the consolidated balance sheet and are converted to accounts receivable once the Company's right to the consideration becomes unconditional, which varies by contract but is generally based on achieving certain acceptance milestones.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includes shipping and handling costs billed to customers in net sales and includes the costs incurred to transport product to customers as well as certain internal handling costs, which relate to activities to prepare goods for shipment, as cost of sales. Shipping and handling costs incurred after control is transferred to the customer are accounted for as fulfillment costs and are not accounted for as separate revenue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Collected from Customers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which are collected by the Company from customers, are excluded from net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in which they are incurred and are reflected in selling, general and administrative expense on the Consolidated Statements of Operations. Advertising expense was $13.7 million, $11.0 million and $10.4 million for the years ended December 31, 2025,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Research and development (R&amp;D) costs are expensed in the period in which they are incurred. R&amp;D costs include materials and equipment that have no alternative future use, depreciation on equipment and facilities currently used for R&amp;D purposes, personnel costs, contract services and reasonable allocations of indirect costs, if clearly related to an R&amp;D activity. Expenditures related to ongoing production are recorded in cost of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records restructuring charges associated with management-approved restructuring plans, which could include the elimination of job functions, closure or relocation of facilities, reorganization of operations, changes in management structure, workforce reductions or other actions. Restructuring charges may include ongoing and enhanced termination benefits related to employee separations, contract termination costs, impairment of certain assets and other related costs associated with exit or disposal activities. Severance benefits are provided to employees primarily under the Company’s ongoing benefit arrangements. These severance costs are accrued once management commits to a plan of termination and it becomes probable that employees will be separated and entitled to benefits at amounts that can be reasonably estimated. In some instances, the Company enhances its ongoing termination benefits with one-time termination benefits, which are recognized when employees are notified of their enhanced termination benefits.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2025, 2024 and 2023, approximately 28.5%, 33.3% and 31.0%, respectively, of the Company’s net sales were to customers located outside the U.S. A portion of these sales was denominated in currencies other than the U.S. dollar, particularly sales from the Company’s foreign subsidiaries. The financial position and results of operations of certain of the Company’s foreign subsidiaries are measured using the local currency as the functional currency. Revenues and expenses of these subsidiaries have been translated into U.S. dollars at average exchange rates prevailing during the period. Assets and liabilities of these subsidiaries have been translated at the exchange rates as of the balance sheet date. Translation gains and losses are recorded in accumulated other comprehensive loss. Upon sale or liquidation of an investment in a foreign subsidiary, the amount of net translation gains or losses that have been accumulated in other comprehensive loss attributable to that investment are reported as a gain or loss in earnings in the period in which the sale or liquidation occurs.</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Aggregate foreign currency gains and losses, such as those resulting from the settlement of receivables or payables, foreign currency contracts and short-term intercompany advances in a currency other than the subsidiary’s functional currency, are recorded currently in earnings (included in other income (expense), net) and resulted in gains (losses) of $(8.0) million, $6.2 million and $1.6 million during the years ended December 31, 2025, 2024 and 2023, respectively. Foreign currency remeasurement gains and losses related to certain long-term intercompany loans that are not expected to be settled in the foreseeable future are recorded in accumulated other comprehensive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jc w:val="both"/>
        <w:ind w:right="600"/>
        <w:spacing w:after="0" w:line="232" w:lineRule="exact"/>
        <w:rPr>
          <w:sz w:val="20"/>
          <w:szCs w:val="20"/>
          <w:color w:val="auto"/>
        </w:rPr>
      </w:pPr>
      <w:r>
        <w:rPr>
          <w:rFonts w:ascii="Times New Roman" w:cs="Times New Roman" w:eastAsia="Times New Roman" w:hAnsi="Times New Roman"/>
          <w:sz w:val="18"/>
          <w:szCs w:val="18"/>
          <w:color w:val="auto"/>
        </w:rPr>
        <w:t>The principal awards issued under the Company's equity-based compensation plans, which are described in Note 15 included in these consolidated financial statements, include restricted stock units (“RSUs”), stock options, and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issued to employees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under its equity incentive plans. The Company measures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cost at the grant date fair value of the award.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82"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Compensation expense for awards with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conditions is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requisite service period. For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with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performance conditions, compensation expense is recognized based on the Company’s assessment of the probability of achieving the specified performance conditions and is adjusted as necessary to reflect changes in that assessment. For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that include market performance conditions, compensation expense is recognized regardless of whether the market condition is satisfied, provided the requisite service is rendered.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recorded on the Consolidated Statements of Operations based on the functional classification of the related employees.</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records deferred tax assets related to compensation expense for awards that are expected to result in future tax deductions for the Company, based on the amount of compensation cost recognized and the Company’s statutory tax rate in the jurisdiction in which it expects to receive a deduction. Differences between the deferred tax assets recognized for financial reporting purposes and actual tax deductions reported on the Company’s income tax return are recorded on the Consolidated Statements of Operations within income tax expense benefit.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Deferred income taxes reflect the future tax consequences of differences between the financial reporting and tax basis of assets and liabilities. The Company records a valuation allowance, when appropriate, to reduce deferred tax assets to an amount that is more likely than not to be realized.</w:t>
      </w:r>
    </w:p>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Tax benefits that result from uncertain tax positions may be recognized only if they are considered more likely than not to be sustainable, based on their technical merits. The amount of benefit to be recognized is the largest amount of tax benefit that is at least 50% likely to be realized.</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the Company does not provide for U.S. taxes related to the foreign currency remeasurement gains and losses on its long-term intercompany loans with foreign subsidiaries. These loans are not expected to be repaid in the foreseeable future, and the foreign currency gains and losses are therefore recorded to accumulated other comprehensive loss.</w:t>
      </w:r>
    </w:p>
    <w:p>
      <w:pPr>
        <w:spacing w:after="0" w:line="176"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The Company records the income tax effects related to the activity of its defined benefit plans and hedging instruments in accumulated other comprehensive loss at the currently enacted tax rate and reclassifies it to net income (loss) in the same period that the related pre-tax accumulated comprehensive income (loss) reclassifications are recognized.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The denominator used in diluted EPS from continuing operations is based on the basic EPS computation plus the effect of potentially dilutive common shares related to the Convertible Preferred Stock and equity-based compensation plans, subject to antidilution requirements.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6.5 million, 18.3 million and 17.9 million shares, respectively, of outstanding equity-based compensation awards were not included in the computation of diluted EPS, because the effect was antidilutive or the performance conditions were not met. Of those amounts, for the years ended December 31, 2024 and 2023, 5.3 million and 1.5 million shares, respectively, would have been considered dilutive if the Company had not been in a net loss from continuing operations position.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45.6 million, 43.1 million and 40.8 million, respectively, of as-if converted shares related to the Convertible Preferred Stock were excluded from the diluted share count because they were anti-dilutive; however, for the years ended December 31, 2024 and 2023, they may have been considered dilutive if the Company had not been in a loss from continuing operations position.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basis for the EPS computations (in millions,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742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5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(652.8)</w:t>
            </w:r>
          </w:p>
        </w:tc>
      </w:tr>
      <w:tr>
        <w:trPr>
          <w:trHeight w:val="216"/>
        </w:trPr>
        <w:tc>
          <w:tcPr>
            <w:tcW w:w="7420" w:type="dxa"/>
            <w:vAlign w:val="bottom"/>
            <w:tcBorders>
              <w:right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1,959.4</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(854.0)</w:t>
            </w:r>
          </w:p>
        </w:tc>
      </w:tr>
      <w:tr>
        <w:trPr>
          <w:trHeight w:val="20"/>
        </w:trPr>
        <w:tc>
          <w:tcPr>
            <w:tcW w:w="7420" w:type="dxa"/>
            <w:vAlign w:val="bottom"/>
            <w:tcBorders>
              <w:right w:val="single" w:sz="8" w:color="CCECFF"/>
            </w:tcBorders>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209"/>
        </w:trPr>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5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(1,506.8)</w:t>
            </w:r>
          </w:p>
        </w:tc>
      </w:tr>
      <w:tr>
        <w:trPr>
          <w:trHeight w:val="216"/>
        </w:trPr>
        <w:tc>
          <w:tcPr>
            <w:tcW w:w="7420" w:type="dxa"/>
            <w:vAlign w:val="bottom"/>
            <w:tcBorders>
              <w:right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0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r>
      <w:tr>
        <w:trPr>
          <w:trHeight w:val="210"/>
        </w:trPr>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2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420" w:type="dxa"/>
            <w:vAlign w:val="bottom"/>
            <w:tcBorders>
              <w:right w:val="single" w:sz="8" w:color="CCECFF"/>
            </w:tcBorders>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20" w:type="dxa"/>
            <w:vAlign w:val="bottom"/>
            <w:tcBorders>
              <w:right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CFF"/>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Borders>
              <w:right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Dilutive effect of as-if converted Series A convertible preferred stock</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20" w:type="dxa"/>
            <w:vAlign w:val="bottom"/>
            <w:tcBorders>
              <w:top w:val="single" w:sz="8" w:color="CCEC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tcBorders>
              <w:top w:val="single" w:sz="8" w:color="CCEC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80" w:type="dxa"/>
            <w:vAlign w:val="bottom"/>
            <w:tcBorders>
              <w:top w:val="single" w:sz="8" w:color="CCEC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Borders>
              <w:top w:val="single" w:sz="8" w:color="CCECFF"/>
            </w:tcBorders>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420" w:type="dxa"/>
            <w:vAlign w:val="bottom"/>
            <w:tcBorders>
              <w:right w:val="single" w:sz="8" w:color="CCECFF"/>
            </w:tcBorders>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20" w:type="dxa"/>
            <w:vAlign w:val="bottom"/>
            <w:tcBorders>
              <w:right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200" w:type="dxa"/>
            <w:vAlign w:val="bottom"/>
            <w:shd w:val="clear" w:color="auto" w:fill="CCEC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gridSpan w:val="2"/>
            <w:shd w:val="clear" w:color="auto" w:fill="CCEC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Earnings (loss) from discontinued operations per share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7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7420" w:type="dxa"/>
            <w:vAlign w:val="bottom"/>
            <w:tcBorders>
              <w:right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shd w:val="clear" w:color="auto" w:fill="CCEC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520" w:type="dxa"/>
            <w:vAlign w:val="bottom"/>
            <w:gridSpan w:val="2"/>
            <w:shd w:val="clear" w:color="auto" w:fill="CCEC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r>
      <w:tr>
        <w:trPr>
          <w:trHeight w:val="197"/>
        </w:trPr>
        <w:tc>
          <w:tcPr>
            <w:tcW w:w="7420" w:type="dxa"/>
            <w:vAlign w:val="bottom"/>
            <w:tcBorders>
              <w:top w:val="single" w:sz="8" w:color="CCEC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r>
      <w:tr>
        <w:trPr>
          <w:trHeight w:val="216"/>
        </w:trPr>
        <w:tc>
          <w:tcPr>
            <w:tcW w:w="742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r>
      <w:tr>
        <w:trPr>
          <w:trHeight w:val="216"/>
        </w:trPr>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7420" w:type="dxa"/>
            <w:vAlign w:val="bottom"/>
            <w:tcBorders>
              <w:right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Earnings (loss) from discontinued operations per share</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r>
      <w:tr>
        <w:trPr>
          <w:trHeight w:val="20"/>
        </w:trPr>
        <w:tc>
          <w:tcPr>
            <w:tcW w:w="7420" w:type="dxa"/>
            <w:vAlign w:val="bottom"/>
            <w:tcBorders>
              <w:right w:val="single" w:sz="8" w:color="CCECFF"/>
            </w:tcBorders>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210"/>
        </w:trPr>
        <w:tc>
          <w:tcPr>
            <w:tcW w:w="7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5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r>
      <w:tr>
        <w:trPr>
          <w:trHeight w:val="20"/>
        </w:trPr>
        <w:tc>
          <w:tcPr>
            <w:tcW w:w="7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-2750820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-2750820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-2750820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-1610995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-1610995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-745490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-727710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-745490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-727710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-727710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w:t>
      </w:r>
    </w:p>
    <w:p>
      <w:pPr>
        <w:spacing w:after="0" w:line="1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Non-derivative financial instruments used by the Company in the normal course of business include letters of credit and commitments to extend credit, primarily accounts receivable. The Company generally does not require collateral on its accounts receivable. These financial instruments involve risk, including the credit risk of nonperformance by the counterparties to those instruments, and the actual loss may exceed the reserves provided in the Company’s Consolidated Balance Sheets. For further discussion of customer-related concentrations of risk, see Note 17 included in these consolidated financial statements.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manages its exposures to credit risk associated with accounts receivable using tools such as credit approvals, credit limits and monitoring procedures. The Company estimates the allowance for doubtful accounts based on the actual payment history and individual circumstances of significant customers as well as the age of receivables. In management’s opinion, as of December 31, 2025, the Company did not have significant unreserved risk of credit loss due to the non-performance of customers or other counterparties related to amounts receivable. However, an adverse change in financial condition of a significant customer or group of customers or in the telecommunications industry could materially affect the Company’s estimates related to doubtful accounts.</w:t>
      </w:r>
    </w:p>
    <w:p>
      <w:pPr>
        <w:spacing w:after="0" w:line="18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principal raw materials and components purchased by the Company (aluminum, copper, steel, optical fiber, capacitors, memory devices and silicon chips) are subject to changes in market price as these materials are linked to various commodity markets. The Company attempts to mitigate these risks through effective requirements planning and by working closely with its key suppliers to obtain the best possible pricing and delivery terms.</w:t>
      </w:r>
    </w:p>
    <w:p>
      <w:pPr>
        <w:spacing w:after="0" w:line="176" w:lineRule="exact"/>
        <w:rPr>
          <w:sz w:val="20"/>
          <w:szCs w:val="20"/>
          <w:color w:val="auto"/>
        </w:rPr>
      </w:pPr>
    </w:p>
    <w:p>
      <w:pPr>
        <w:jc w:val="both"/>
        <w:ind w:right="820"/>
        <w:spacing w:after="0" w:line="266" w:lineRule="auto"/>
        <w:rPr>
          <w:sz w:val="20"/>
          <w:szCs w:val="20"/>
          <w:color w:val="auto"/>
        </w:rPr>
      </w:pPr>
      <w:r>
        <w:rPr>
          <w:rFonts w:ascii="Times New Roman" w:cs="Times New Roman" w:eastAsia="Times New Roman" w:hAnsi="Times New Roman"/>
          <w:sz w:val="18"/>
          <w:szCs w:val="18"/>
          <w:color w:val="auto"/>
        </w:rPr>
        <w:t>The Company relies on sole suppliers or a limited group of suppliers for certain key components (memory devices, capacitors and silicon chips),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in 2025</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On January 1, 2025,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The new guidance improves income tax disclosures by requiring additional information related to the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income taxes paid, including 1) consistent categories and greater disaggregation of information in the rate reconciliation and 2) disaggregation of income taxes paid by jurisdiction. The guidance is effective for the Company on a prospective or retroactive basis, beginning January 1, 2025 for the annual period. As a result, the Company has enhanced its income tax disclosures to align with the new guidance on a prospective basis. As the adoption of this ASU relates to disclosures only, there was no impact to the Company’s results of operations and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but Not Adopted</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The new guidance addresses various technical corrections, clarifications, and minor improvements to the ASC. The ASU addresses 33 issues, primarily clarifying existing guidance, correcting errors, or making minor improvements to enhance the understandability and application of the ASC. The amendments are varied in nature and may impact the application of guidance in areas where the original guidance was unclear. The guidance is effective for the Company beginning January 1, 2027 for the interim and annual reporting periods. Early adoption is permitted. The Company is currently evaluating the impact of the new guidance on the consolidated financial statements.</w:t>
      </w:r>
    </w:p>
    <w:p>
      <w:pPr>
        <w:spacing w:after="0" w:line="1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new guidance aims to enhance the clarity and navigability of guidance related to interim disclosures. This guidance clarifies when the guidance in ASC Topic 270 is applicable and specifies the disclosures required during interim reporting periods. The amendments clarify that ASC Topic 270 applies to all entities that provide interim financial statements and notes in accordance with generally accepted accounting principles (GAAP). The ASU provides a comprehensive list of interim disclosures required by GAAP, which is intended to improve efficiency in using the ASC. This list clarifies existing requirements and does not aim to expand or reduce current interim disclosure obligations. The guidance is effective for the Company beginning January 1, 2028 for the interim and annual reporting periods. Early adoption is permitted. The Company is currently evaluating the impact of the new guidance on the consolidated financial statements.</w:t>
      </w:r>
    </w:p>
    <w:p>
      <w:pPr>
        <w:spacing w:after="0" w:line="1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The new guidance establishes authoritative guidance for business entities on the recognition, measurement, and presentation of government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as a transfer of a monetary asset or tangible non-monetary asset, other than an exchange transaction, from a government to a business entity. The guidance is effective for the Company beginning January 1, 2029 for the interim and annual reporting periods. Early adoption is permitted. The Company is currently evaluating the impact of the new guidance on the consolidated financial statements.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2025-09, Derivatives and Hedging </w:t>
      </w:r>
      <w:r>
        <w:rPr>
          <w:rFonts w:ascii="Times New Roman" w:cs="Times New Roman" w:eastAsia="Times New Roman" w:hAnsi="Times New Roman"/>
          <w:sz w:val="18"/>
          <w:szCs w:val="18"/>
          <w:i w:val="1"/>
          <w:iCs w:val="1"/>
          <w:color w:val="auto"/>
        </w:rPr>
        <w:t>(Topic 815): Hedge Accounting Improvements.</w:t>
      </w:r>
      <w:r>
        <w:rPr>
          <w:rFonts w:ascii="Times New Roman" w:cs="Times New Roman" w:eastAsia="Times New Roman" w:hAnsi="Times New Roman"/>
          <w:sz w:val="18"/>
          <w:szCs w:val="18"/>
          <w:color w:val="auto"/>
        </w:rPr>
        <w:t xml:space="preserve"> The new guidance clarify certain aspects of hedge accounting guidance and address incremental hedge accounting issues arising from the global reference rate reform initiative. The ASU aims to align hedge accounting more closely with the economics of an entity’s risk management activities, enabling entities to achieve and maintain hedge accounting for highly effective economic hedges of forecasted transactions. The guidance is effective for the Company beginning January 1, 2027 for the interim and annual reporting periods. Early adoption is permitted. The Company is currently evaluating the impact of the new guidance on the consolidated financial statements.</w:t>
      </w:r>
    </w:p>
    <w:p>
      <w:pPr>
        <w:spacing w:after="0" w:line="18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refines the scope of Topic 815 by providing clarification regarding the contracts subject to derivative accounting. The guidance also provides clarification under Topic 606 for share-based payments from a customer in a revenue contract. The guidance is effective for the Company on a prospective or modified retrospective basis, beginning January 1, 2027 for the interim and annual periods. Early adoption is permitted. The Company is currently evaluating the impact of the new guidance on the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1"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The new guidance modernizes the accounting for software costs and provides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 for capitalization of software costs: (1) management has authorized and committed to funding the software project; and (2) it is probable that the project will be completed and the software will be used to perform the function intended. The guidance is effective for the Company on a prospective, modified prospective or retrospective basis, beginning January 1, 2028 for the interim and annual periods. Early adoption is permitted. The Company is currently evaluating the impact of the new guidance on the consolidated financial statements.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The new guidance is expected to provide decision-useful information to investors and other financial statement users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the time and effort necessary to analyze and estimate credit losses for current accounts receivable and current contract assets. The amendments in this update introduce a practical expedient when applying the guidance related to the estimation of expected credit losses for current accounts receivable and current contract assets resulting from transactions arising from contracts with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guidance is effective for the Company on a prospective basis, beginning January 1, 2026 for the interim and annual periods. Early adoption is permitted. The Company is currently evaluating the impact of the new guidance on the consolidated financial statements.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Clarifying the Effective Date. </w:t>
      </w:r>
      <w:r>
        <w:rPr>
          <w:rFonts w:ascii="Times New Roman" w:cs="Times New Roman" w:eastAsia="Times New Roman" w:hAnsi="Times New Roman"/>
          <w:sz w:val="18"/>
          <w:szCs w:val="18"/>
          <w:color w:val="auto"/>
        </w:rPr>
        <w:t>The new guidance improves disclosures for expenses of public entities and addresses requests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for more detailed information about the types of expenses in commonly presented expense captions. Coupled with recent standards that enhanced the disaggregation of revenue and income tax information, the disaggregated expense information required by these amendments will enable investors to better understand the major components of an entity’s income statement. The guidance is effective for the Company on a prospective or retrospective basis, as of January 1, 2027 for the annual period. Early adoption is permitted. As this ASU relates to disclosures only, there will be no impact to the Company’s results of operations and financial condition.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52525"/>
        </w:rPr>
        <w:t xml:space="preserve">On June 7, 2024, the Company acquired certain assets of Casa Systems, Inc. and its subsidiaries (Casa) which were integrated into the Company’s </w:t>
      </w:r>
      <w:r>
        <w:rPr>
          <w:rFonts w:ascii="Times New Roman" w:cs="Times New Roman" w:eastAsia="Times New Roman" w:hAnsi="Times New Roman"/>
          <w:sz w:val="18"/>
          <w:szCs w:val="18"/>
          <w:color w:val="000000"/>
        </w:rPr>
        <w:t>Aurora</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(formerly ANS) segment. Casa </w:t>
      </w:r>
      <w:r>
        <w:rPr>
          <w:rFonts w:ascii="Times New Roman" w:cs="Times New Roman" w:eastAsia="Times New Roman" w:hAnsi="Times New Roman"/>
          <w:sz w:val="18"/>
          <w:szCs w:val="18"/>
          <w:color w:val="252525"/>
        </w:rPr>
        <w:t>provides telecommunication infrastructure equipment and software-centric infrastructure solutions that allow cable service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providers to deliver voice, video and data services over a single platform. The Company funded the purchase price of $45.1 million and settled certain assumed liabilities, with cash on hand.</w:t>
      </w:r>
    </w:p>
    <w:p>
      <w:pPr>
        <w:spacing w:after="0" w:line="17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252525"/>
        </w:rPr>
        <w:t xml:space="preserve">In the first quarter of 2025, the Company completed its acquisition method of accounting in accordance with ASC Topic 805, </w:t>
      </w:r>
      <w:r>
        <w:rPr>
          <w:rFonts w:ascii="Times New Roman" w:cs="Times New Roman" w:eastAsia="Times New Roman" w:hAnsi="Times New Roman"/>
          <w:sz w:val="18"/>
          <w:szCs w:val="18"/>
          <w:i w:val="1"/>
          <w:iCs w:val="1"/>
          <w:color w:val="252525"/>
        </w:rPr>
        <w:t>Business Combinations</w:t>
      </w:r>
      <w:r>
        <w:rPr>
          <w:rFonts w:ascii="Times New Roman" w:cs="Times New Roman" w:eastAsia="Times New Roman" w:hAnsi="Times New Roman"/>
          <w:sz w:val="18"/>
          <w:szCs w:val="18"/>
          <w:color w:val="252525"/>
        </w:rPr>
        <w:t>, and made an adjustment to decrease the fair value of accounts receivable, net by $1.7 million with a corresponding increase of $1.7 million to goodwill.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final determination of the fair value of identifiable assets acquired and liabilities assumed in the transaction as of the acquisition date:</w:t>
      </w:r>
    </w:p>
    <w:p>
      <w:pPr>
        <w:sectPr>
          <w:pgSz w:w="11900" w:h="16838" w:orient="portrait"/>
          <w:cols w:equalWidth="0" w:num="1">
            <w:col w:w="11240"/>
          </w:cols>
          <w:pgMar w:left="320" w:top="765"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Total cash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ind w:left="80"/>
        <w:spacing w:after="0" w:line="213" w:lineRule="auto"/>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Identifiable intangible assets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Liabilities assumed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Accounts payable and accrued and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allocated to net assets acquired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426"/>
        </w:trPr>
        <w:tc>
          <w:tcPr>
            <w:tcW w:w="580" w:type="dxa"/>
            <w:vAlign w:val="bottom"/>
            <w:gridSpan w:val="2"/>
          </w:tcPr>
          <w:p>
            <w:pPr>
              <w:jc w:val="right"/>
              <w:ind w:right="444"/>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630"/>
        </w:trPr>
        <w:tc>
          <w:tcPr>
            <w:tcW w:w="580" w:type="dxa"/>
            <w:vAlign w:val="bottom"/>
            <w:gridSpan w:val="2"/>
          </w:tcPr>
          <w:p>
            <w:pPr>
              <w:jc w:val="right"/>
              <w:ind w:right="444"/>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63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9"/>
        </w:trPr>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2">
            <w:col w:w="7620" w:space="720"/>
            <w:col w:w="2900"/>
          </w:cols>
          <w:pgMar w:left="320" w:top="765" w:right="339" w:bottom="1440" w:gutter="0" w:footer="0" w:header="0"/>
          <w:type w:val="continuous"/>
        </w:sectPr>
      </w:pPr>
    </w:p>
    <w:p>
      <w:pPr>
        <w:ind w:left="520" w:right="180" w:hanging="512"/>
        <w:spacing w:after="0" w:line="281" w:lineRule="auto"/>
        <w:tabs>
          <w:tab w:leader="none" w:pos="5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accounts receivable, net was determined to be $3.5 million with a gross contractual amount of $12.2 million and an uncollectible amount of $8.7 million.</w:t>
      </w:r>
    </w:p>
    <w:p>
      <w:pPr>
        <w:spacing w:after="0" w:line="1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impact of measurement period adjustments to the Consolidated Statements of Operations was immaterial for the years ended December 31, 2025 and 2024.</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goodwill arising from the transaction is believed to result from the company’s reputation in the marketplace and assembled workforce and is expected to be fully deductible for income tax purposes.</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DIVESTITURES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CCS Segment: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3, 2025, the Company entered into a Purchase Agreement with Amphenol Corporation, a Delaware corporation (Amphenol), pursuant to which Amphenol agreed to acquire the Company’s CCS segment in exchange for $10.5 billion in cash, subject to certain adjustments. The CCS segment provides wired infrastructure for data centers, enterprises and service providers on a global scale. Following shareholder approval, which was obtained on October 16, 2025, the divestiture of the CCS segment met the “held for sale” criteria per ASC 360-10. The Company determined, qualitatively and quantitatively, that this transaction represented a strategic shift that would have a major effect on its operations and financial results. As such, the results of operations directly attributable to the CCS segment have been reclassified to discontinued operations per ASC 205-20 on the Consolidated Statements of Operations, retrospectively for all periods presented beginning in the fourth quarter of 2025. In addition, all assets and liabilities have been classified as assets and liabilities held for sale on the Consolidated Balance Sheets for all periods presented. The sale was completed subsequent to the fiscal year end on January 9, 2026. In connection with the transaction and as required by the Purchase Agreement, the Company repaid and issued notices of full redemption of its existing indebtedness, as well as redeemed its Convertible Preferred Stock, subsequent to fiscal year end on the closing date. For further discussion of the sale of the CCS segment, see Note 19 in these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 Segment and DAS business unit:</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31, 2025, the Company completed the previously announced sale of the OWN segment and the DAS business unit of the NICS segment to Amphenol, pursuant to the Purchase Agreement dated July 18, 2024, in exchange for net cash consideration of $2.0 billion. The proceeds are net of $9.1 million of transaction expenses and $83.2 million of cash included in the assets sold.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OWN segment and DAS business unit met the “held for sale” criteria per ASC 360-10 in the third quarter of 2024, and the Company determined, qualitatively and quantitatively, that this transaction represented a strategic shift that would have a major effect on the Company’s operations and financial results. As such, the results of operations directly attributable to the OWN segment and DAS business unit have been reclassified to discontinued operations per ASC 205-20 on the Consolidated Statements of Operations, retrospectively for all periods presented beginning in the third quarter of 2024. In addition, all assets and liabilities of the OWN segment and DAS business unit were classified as assets and liabilities held for sale on the Consolidated Balance Sheets as of December 31, 2024. Upon the closing of the transaction on January 31, 2025, the Company recognized a gain of $498.2 million on the disposal of the OWN segment and DAS business unit, which is included in income (loss) from discontinued operations, net of income taxes, on the Consolidated Statements of Operations for the year ended December 31, 2025.</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Company entered into several contractual arrangements with Amphenol, including a Transition Service Agreement (Amphenol TSA) (as described below under “Transition Service Agreements”), Manufacturing Supply Agreement (Amphenol MSA), Sales and Supply Agreement and a Master Professional Services Agreement.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Amphenol MSA, the Company continues to manufacture and supply certain products to the divested business. Under the terms of the Amphenol MSA, the Company was obligated to provide manufacturing services for a period of up to twelve months following the closing date of the transaction, unless earlier terminated by the parties. The agreement was entered into to facilitate the operational transition and ensure continuity of supply for Amphenol’s customers. Pursuant to the Amphenol MSA, the Company acquired components directly from Amphenol and was also responsible for procuring certain components from suppliers for the manufacturing of finished goods at the direction of Amphenol. As the Company does not obtain control of these components before they were transferred to Amphenol, the Company accounts for revenue associated with such components on a net basis. For the year ended December 31, 2025, the Company recognized net revenues of $5.4 million under the Amphenol MSA presented within income (loss) from discontinued operations, net of income taxes, on the Consolidated Statements of Operations.</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Sales and Supply Agreement and Master Professional Services Agreement, enable the companies to act as both a buyer and seller of each other’s products and services in instances where those offerings might be integral to the Company’s remaining operations. The Sales and Supply Agreement is effective for a term of thirty-six months and the Master Professional Services Agreement term is indefinite, unless either of the agreements are terminated early. The Company has evaluated these arrangements and concluded that while they represent ongoing business activity, they do not constitute a continuation of the disposed business. Accordingly, revenues and expenses generated from these agreements are presented within income (loss) from continuing operations on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Networks business: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January 2024, the Company completed the sale of the Home business to Vantiva SA (Vantiva) pursuant to the Call Option Agreement entered into on October 2, 2023 and the Purchase Agreement dated as of December 7, 2023, in exchange for (i) 134,704,669 shares of Vantiva common stock representing a 24.73% equity stake in Vantiva (determined on a fully diluted basis), (ii) $250,465 in cash (in addition to cash paid in exchange for the cash on the Home business companies’ balance sheets) and (iii) an earn-out of up to $100 million in the aggregate. The earn-out payments are contingent upon Vantiva achieving adjusted EBITDA equal to or greater than €400 million for one or more of Vantiva’s first five fiscal years following the closing of the transaction. The earn-out payment with respect to any fiscal year will be subject to an additional annual cap, the amount of which will depend on certain elections made by the Company following Vantiva reaching the €400 million adjusted EBITDA threshold for the first time, and on Vantiva’s maintenance of certain liquidity levels (after giving effect to such payment).</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Home business qualified as “held for sale” per ASC 360-10 in the fourth quarter of 2023 and was classified as a discontinued operation per ASC 205-20, as the Company determined, qualitatively and quantitatively, that this transaction represented a strategic shift that would have a major effect on the Company’s operations and financial results. As such, activity directly attributable to the Home business has been removed from continuing operations and presented in income (loss) from discontinued operations, net of income taxes, on the Consolidated Statements of Operations for all periods presented. In addition, all assets and liabilities of the Home business were classified as assets and liabilities held for sale on the Consolidated Balance Sheets as of December 31, 2023. In connection with the “held for sale” classification, the Company recognized a loss on classification as held for sale of $203.4 million, based on Level 3 valuation inputs, in the fourth quarter of 2023. Upon the closing of the transaction on January 9, 2024, the Company recognized an additional loss of $56.4 million on the disposal of the Home business for the year ended December 31, 2024.</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Following the closing of the transaction, the Company entered into a Transition Service Agreement (Vantiva TSA), whereby the Company provided and received certain post-closing support on a transitional basis (as described below under “Transition Service Agreements”), and a Supply Agreement with Vantiva (Vantiva Supply Agreement), whereby the Company sold certain retained inventory at cost, or market price if below cost, for a period of two years.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investment in Vantiva is accounted for using the equity method of accounting, and the carrying value of the investment is included in other noncurrent assets on the Consolidated Balance Sheets. The Company recognized a loss on its investment of $17.0 million during the year ended December 31, 2024, as a result of recording its proportionate share of loss on its equity investment, which is recorded on a one-quarter lag basis in income (loss) from discontinued operations, net of income taxes, on the Consolidated Statements of Operations beginning in the second quarter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components of income (loss) from discontinued operations, net of income taxes,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for each discontinued operation: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CCS</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OWN</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DAS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Home</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1"/>
                <w:szCs w:val="11"/>
                <w:color w:val="auto"/>
              </w:rPr>
            </w:pPr>
          </w:p>
        </w:tc>
      </w:tr>
      <w:tr>
        <w:trPr>
          <w:trHeight w:val="128"/>
        </w:trPr>
        <w:tc>
          <w:tcPr>
            <w:tcW w:w="1460" w:type="dxa"/>
            <w:vAlign w:val="bottom"/>
            <w:shd w:val="clear" w:color="auto" w:fill="CCECFF"/>
          </w:tcPr>
          <w:p>
            <w:pPr>
              <w:spacing w:after="0" w:line="129" w:lineRule="exact"/>
              <w:rPr>
                <w:sz w:val="20"/>
                <w:szCs w:val="20"/>
                <w:color w:val="auto"/>
              </w:rPr>
            </w:pPr>
            <w:r>
              <w:rPr>
                <w:rFonts w:ascii="Times New Roman" w:cs="Times New Roman" w:eastAsia="Times New Roman" w:hAnsi="Times New Roman"/>
                <w:sz w:val="13"/>
                <w:szCs w:val="13"/>
                <w:color w:val="auto"/>
              </w:rPr>
              <w:t>Net sales</w:t>
            </w:r>
          </w:p>
        </w:tc>
        <w:tc>
          <w:tcPr>
            <w:tcW w:w="1320" w:type="dxa"/>
            <w:vAlign w:val="bottom"/>
            <w:gridSpan w:val="2"/>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   3,754.5</w:t>
            </w:r>
          </w:p>
        </w:tc>
        <w:tc>
          <w:tcPr>
            <w:tcW w:w="260" w:type="dxa"/>
            <w:vAlign w:val="bottom"/>
            <w:gridSpan w:val="2"/>
            <w:shd w:val="clear" w:color="auto" w:fill="CCEC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2,823.2</w:t>
            </w:r>
          </w:p>
        </w:tc>
        <w:tc>
          <w:tcPr>
            <w:tcW w:w="260" w:type="dxa"/>
            <w:vAlign w:val="bottom"/>
            <w:gridSpan w:val="2"/>
            <w:shd w:val="clear" w:color="auto" w:fill="CCEC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2,701.3</w:t>
            </w:r>
          </w:p>
        </w:tc>
        <w:tc>
          <w:tcPr>
            <w:tcW w:w="240" w:type="dxa"/>
            <w:vAlign w:val="bottom"/>
            <w:gridSpan w:val="2"/>
            <w:shd w:val="clear" w:color="auto" w:fill="CCEC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90.8</w:t>
            </w:r>
          </w:p>
        </w:tc>
        <w:tc>
          <w:tcPr>
            <w:tcW w:w="280" w:type="dxa"/>
            <w:vAlign w:val="bottom"/>
            <w:gridSpan w:val="2"/>
            <w:shd w:val="clear" w:color="auto" w:fill="CCEC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969.7</w:t>
            </w:r>
          </w:p>
        </w:tc>
        <w:tc>
          <w:tcPr>
            <w:tcW w:w="260" w:type="dxa"/>
            <w:vAlign w:val="bottom"/>
            <w:gridSpan w:val="2"/>
            <w:shd w:val="clear" w:color="auto" w:fill="CCEC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880.0</w:t>
            </w:r>
          </w:p>
        </w:tc>
        <w:tc>
          <w:tcPr>
            <w:tcW w:w="240" w:type="dxa"/>
            <w:vAlign w:val="bottom"/>
            <w:gridSpan w:val="2"/>
            <w:shd w:val="clear" w:color="auto" w:fill="CCEC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w:t>
            </w:r>
          </w:p>
        </w:tc>
        <w:tc>
          <w:tcPr>
            <w:tcW w:w="220" w:type="dxa"/>
            <w:vAlign w:val="bottom"/>
            <w:gridSpan w:val="2"/>
            <w:shd w:val="clear" w:color="auto" w:fill="CCEC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296.1</w:t>
            </w:r>
          </w:p>
        </w:tc>
        <w:tc>
          <w:tcPr>
            <w:tcW w:w="240" w:type="dxa"/>
            <w:vAlign w:val="bottom"/>
            <w:gridSpan w:val="2"/>
            <w:shd w:val="clear" w:color="auto" w:fill="CCEC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344.0</w:t>
            </w:r>
          </w:p>
        </w:tc>
        <w:tc>
          <w:tcPr>
            <w:tcW w:w="240" w:type="dxa"/>
            <w:vAlign w:val="bottom"/>
            <w:gridSpan w:val="2"/>
            <w:shd w:val="clear" w:color="auto" w:fill="CCEC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w:t>
            </w:r>
          </w:p>
        </w:tc>
        <w:tc>
          <w:tcPr>
            <w:tcW w:w="220" w:type="dxa"/>
            <w:vAlign w:val="bottom"/>
            <w:gridSpan w:val="2"/>
            <w:shd w:val="clear" w:color="auto" w:fill="CCEC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55.5</w:t>
            </w:r>
          </w:p>
        </w:tc>
        <w:tc>
          <w:tcPr>
            <w:tcW w:w="240" w:type="dxa"/>
            <w:vAlign w:val="bottom"/>
            <w:gridSpan w:val="2"/>
            <w:shd w:val="clear" w:color="auto" w:fill="CCEC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1,210.2</w:t>
            </w:r>
          </w:p>
        </w:tc>
        <w:tc>
          <w:tcPr>
            <w:tcW w:w="100" w:type="dxa"/>
            <w:vAlign w:val="bottom"/>
            <w:shd w:val="clear" w:color="auto" w:fill="CCECFF"/>
          </w:tcPr>
          <w:p>
            <w:pPr>
              <w:spacing w:after="0"/>
              <w:rPr>
                <w:sz w:val="11"/>
                <w:szCs w:val="11"/>
                <w:color w:val="auto"/>
              </w:rPr>
            </w:pPr>
          </w:p>
        </w:tc>
      </w:tr>
      <w:tr>
        <w:trPr>
          <w:trHeight w:val="144"/>
        </w:trPr>
        <w:tc>
          <w:tcPr>
            <w:tcW w:w="14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 xml:space="preserve">Cost of sales </w:t>
            </w:r>
            <w:r>
              <w:rPr>
                <w:rFonts w:ascii="Times New Roman" w:cs="Times New Roman" w:eastAsia="Times New Roman" w:hAnsi="Times New Roman"/>
                <w:sz w:val="16"/>
                <w:szCs w:val="16"/>
                <w:color w:val="auto"/>
                <w:vertAlign w:val="superscript"/>
              </w:rPr>
              <w:t>(1)</w:t>
            </w:r>
          </w:p>
        </w:tc>
        <w:tc>
          <w:tcPr>
            <w:tcW w:w="13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2,365.6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1,851.4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1,937.6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556.1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550.6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1,060.2</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-5080</wp:posOffset>
            </wp:positionV>
            <wp:extent cx="57003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jc w:val="center"/>
        <w:ind w:right="560"/>
        <w:spacing w:after="0" w:line="234" w:lineRule="auto"/>
        <w:rPr>
          <w:sz w:val="20"/>
          <w:szCs w:val="20"/>
          <w:color w:val="auto"/>
        </w:rPr>
      </w:pPr>
      <w:r>
        <w:rPr>
          <w:rFonts w:ascii="Times New Roman" w:cs="Times New Roman" w:eastAsia="Times New Roman" w:hAnsi="Times New Roman"/>
          <w:sz w:val="12"/>
          <w:szCs w:val="12"/>
          <w:color w:val="auto"/>
        </w:rPr>
        <w:t>Gross profit (loss)</w:t>
      </w:r>
    </w:p>
    <w:p>
      <w:pPr>
        <w:jc w:val="center"/>
        <w:ind w:right="440"/>
        <w:spacing w:after="0" w:line="235" w:lineRule="auto"/>
        <w:rPr>
          <w:sz w:val="20"/>
          <w:szCs w:val="20"/>
          <w:color w:val="auto"/>
        </w:rPr>
      </w:pPr>
      <w:r>
        <w:rPr>
          <w:rFonts w:ascii="Times New Roman" w:cs="Times New Roman" w:eastAsia="Times New Roman" w:hAnsi="Times New Roman"/>
          <w:sz w:val="12"/>
          <w:szCs w:val="12"/>
          <w:color w:val="auto"/>
        </w:rPr>
        <w:t>Operating expenses:</w:t>
      </w:r>
    </w:p>
    <w:p>
      <w:pPr>
        <w:jc w:val="center"/>
        <w:ind w:right="440"/>
        <w:spacing w:after="0" w:line="217" w:lineRule="auto"/>
        <w:rPr>
          <w:sz w:val="20"/>
          <w:szCs w:val="20"/>
          <w:color w:val="auto"/>
        </w:rPr>
      </w:pPr>
      <w:r>
        <w:rPr>
          <w:rFonts w:ascii="Times New Roman" w:cs="Times New Roman" w:eastAsia="Times New Roman" w:hAnsi="Times New Roman"/>
          <w:sz w:val="13"/>
          <w:szCs w:val="13"/>
          <w:color w:val="auto"/>
        </w:rPr>
        <w:t>Selling, general and</w:t>
      </w:r>
    </w:p>
    <w:p>
      <w:pPr>
        <w:jc w:val="center"/>
        <w:ind w:right="540"/>
        <w:spacing w:after="0" w:line="217" w:lineRule="auto"/>
        <w:rPr>
          <w:sz w:val="20"/>
          <w:szCs w:val="20"/>
          <w:color w:val="auto"/>
        </w:rPr>
      </w:pPr>
      <w:r>
        <w:rPr>
          <w:rFonts w:ascii="Times New Roman" w:cs="Times New Roman" w:eastAsia="Times New Roman" w:hAnsi="Times New Roman"/>
          <w:sz w:val="13"/>
          <w:szCs w:val="13"/>
          <w:color w:val="auto"/>
        </w:rPr>
        <w:t>administrative</w:t>
      </w:r>
    </w:p>
    <w:p>
      <w:pPr>
        <w:ind w:left="20" w:right="100"/>
        <w:spacing w:after="0" w:line="234" w:lineRule="auto"/>
        <w:rPr>
          <w:sz w:val="20"/>
          <w:szCs w:val="20"/>
          <w:color w:val="auto"/>
        </w:rPr>
      </w:pPr>
      <w:r>
        <w:rPr>
          <w:rFonts w:ascii="Times New Roman" w:cs="Times New Roman" w:eastAsia="Times New Roman" w:hAnsi="Times New Roman"/>
          <w:sz w:val="12"/>
          <w:szCs w:val="12"/>
          <w:color w:val="auto"/>
        </w:rPr>
        <w:t>Research and development Amortization of purchased</w:t>
      </w:r>
    </w:p>
    <w:p>
      <w:pPr>
        <w:ind w:left="120"/>
        <w:spacing w:after="0" w:line="218" w:lineRule="auto"/>
        <w:rPr>
          <w:sz w:val="20"/>
          <w:szCs w:val="20"/>
          <w:color w:val="auto"/>
        </w:rPr>
      </w:pPr>
      <w:r>
        <w:rPr>
          <w:rFonts w:ascii="Times New Roman" w:cs="Times New Roman" w:eastAsia="Times New Roman" w:hAnsi="Times New Roman"/>
          <w:sz w:val="13"/>
          <w:szCs w:val="13"/>
          <w:color w:val="auto"/>
        </w:rPr>
        <w:t>intangible assets</w:t>
      </w:r>
    </w:p>
    <w:p>
      <w:pPr>
        <w:ind w:left="20"/>
        <w:spacing w:after="0" w:line="216" w:lineRule="auto"/>
        <w:rPr>
          <w:sz w:val="20"/>
          <w:szCs w:val="20"/>
          <w:color w:val="auto"/>
        </w:rPr>
      </w:pPr>
      <w:r>
        <w:rPr>
          <w:rFonts w:ascii="Times New Roman" w:cs="Times New Roman" w:eastAsia="Times New Roman" w:hAnsi="Times New Roman"/>
          <w:sz w:val="13"/>
          <w:szCs w:val="13"/>
          <w:color w:val="auto"/>
        </w:rPr>
        <w:t>Restructuring costs</w:t>
      </w:r>
    </w:p>
    <w:p>
      <w:pPr>
        <w:ind w:left="80"/>
        <w:spacing w:after="0" w:line="181" w:lineRule="auto"/>
        <w:rPr>
          <w:sz w:val="20"/>
          <w:szCs w:val="20"/>
          <w:color w:val="auto"/>
        </w:rPr>
      </w:pPr>
      <w:r>
        <w:rPr>
          <w:rFonts w:ascii="Times New Roman" w:cs="Times New Roman" w:eastAsia="Times New Roman" w:hAnsi="Times New Roman"/>
          <w:sz w:val="13"/>
          <w:szCs w:val="13"/>
          <w:color w:val="auto"/>
        </w:rPr>
        <w:t>(credits), net</w:t>
      </w:r>
    </w:p>
    <w:p>
      <w:pPr>
        <w:ind w:left="20"/>
        <w:spacing w:after="0" w:line="214" w:lineRule="auto"/>
        <w:rPr>
          <w:sz w:val="20"/>
          <w:szCs w:val="20"/>
          <w:color w:val="auto"/>
        </w:rPr>
      </w:pPr>
      <w:r>
        <w:rPr>
          <w:rFonts w:ascii="Times New Roman" w:cs="Times New Roman" w:eastAsia="Times New Roman" w:hAnsi="Times New Roman"/>
          <w:sz w:val="13"/>
          <w:szCs w:val="13"/>
          <w:color w:val="auto"/>
        </w:rPr>
        <w:t xml:space="preserve">Asset impairments </w:t>
      </w:r>
      <w:r>
        <w:rPr>
          <w:rFonts w:ascii="Times New Roman" w:cs="Times New Roman" w:eastAsia="Times New Roman" w:hAnsi="Times New Roman"/>
          <w:sz w:val="18"/>
          <w:szCs w:val="18"/>
          <w:color w:val="auto"/>
          <w:vertAlign w:val="superscript"/>
        </w:rPr>
        <w:t>(2)</w:t>
      </w:r>
    </w:p>
    <w:p>
      <w:pPr>
        <w:ind w:left="120"/>
        <w:spacing w:after="0" w:line="217" w:lineRule="auto"/>
        <w:rPr>
          <w:sz w:val="20"/>
          <w:szCs w:val="20"/>
          <w:color w:val="auto"/>
        </w:rPr>
      </w:pPr>
      <w:r>
        <w:rPr>
          <w:rFonts w:ascii="Times New Roman" w:cs="Times New Roman" w:eastAsia="Times New Roman" w:hAnsi="Times New Roman"/>
          <w:sz w:val="13"/>
          <w:szCs w:val="13"/>
          <w:color w:val="auto"/>
        </w:rPr>
        <w:t>Total operating expenses</w:t>
      </w:r>
    </w:p>
    <w:p>
      <w:pPr>
        <w:spacing w:after="0" w:line="216" w:lineRule="auto"/>
        <w:rPr>
          <w:sz w:val="20"/>
          <w:szCs w:val="20"/>
          <w:color w:val="auto"/>
        </w:rPr>
      </w:pPr>
      <w:r>
        <w:rPr>
          <w:rFonts w:ascii="Times New Roman" w:cs="Times New Roman" w:eastAsia="Times New Roman" w:hAnsi="Times New Roman"/>
          <w:sz w:val="13"/>
          <w:szCs w:val="13"/>
          <w:color w:val="auto"/>
        </w:rPr>
        <w:t>Operating income (loss)</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Interest expense </w:t>
      </w:r>
      <w:r>
        <w:rPr>
          <w:rFonts w:ascii="Times New Roman" w:cs="Times New Roman" w:eastAsia="Times New Roman" w:hAnsi="Times New Roman"/>
          <w:sz w:val="15"/>
          <w:szCs w:val="15"/>
          <w:color w:val="auto"/>
          <w:vertAlign w:val="superscript"/>
        </w:rPr>
        <w:t>(3)</w:t>
      </w:r>
    </w:p>
    <w:p>
      <w:pPr>
        <w:ind w:left="100" w:right="240" w:hanging="93"/>
        <w:spacing w:after="0" w:line="194" w:lineRule="auto"/>
        <w:rPr>
          <w:sz w:val="20"/>
          <w:szCs w:val="20"/>
          <w:color w:val="auto"/>
        </w:rPr>
      </w:pPr>
      <w:r>
        <w:rPr>
          <w:rFonts w:ascii="Times New Roman" w:cs="Times New Roman" w:eastAsia="Times New Roman" w:hAnsi="Times New Roman"/>
          <w:sz w:val="13"/>
          <w:szCs w:val="13"/>
          <w:color w:val="auto"/>
        </w:rPr>
        <w:t xml:space="preserve">Other income (expense), net </w:t>
      </w:r>
      <w:r>
        <w:rPr>
          <w:rFonts w:ascii="Times New Roman" w:cs="Times New Roman" w:eastAsia="Times New Roman" w:hAnsi="Times New Roman"/>
          <w:sz w:val="16"/>
          <w:szCs w:val="16"/>
          <w:color w:val="auto"/>
          <w:vertAlign w:val="superscript"/>
        </w:rPr>
        <w:t>(4)</w:t>
      </w:r>
    </w:p>
    <w:p>
      <w:pPr>
        <w:ind w:left="100" w:right="40" w:hanging="93"/>
        <w:spacing w:after="0" w:line="216" w:lineRule="auto"/>
        <w:rPr>
          <w:sz w:val="20"/>
          <w:szCs w:val="20"/>
          <w:color w:val="auto"/>
        </w:rPr>
      </w:pPr>
      <w:r>
        <w:rPr>
          <w:rFonts w:ascii="Times New Roman" w:cs="Times New Roman" w:eastAsia="Times New Roman" w:hAnsi="Times New Roman"/>
          <w:sz w:val="13"/>
          <w:szCs w:val="13"/>
          <w:color w:val="auto"/>
        </w:rPr>
        <w:t>Income (loss) from operations of discontinued businesses before income taxes</w:t>
      </w:r>
    </w:p>
    <w:p>
      <w:pPr>
        <w:spacing w:after="0" w:line="2" w:lineRule="exact"/>
        <w:rPr>
          <w:sz w:val="20"/>
          <w:szCs w:val="20"/>
          <w:color w:val="auto"/>
        </w:rPr>
      </w:pPr>
    </w:p>
    <w:p>
      <w:pPr>
        <w:jc w:val="both"/>
        <w:ind w:left="100" w:right="180" w:hanging="93"/>
        <w:spacing w:after="0" w:line="242" w:lineRule="auto"/>
        <w:rPr>
          <w:sz w:val="20"/>
          <w:szCs w:val="20"/>
          <w:color w:val="auto"/>
        </w:rPr>
      </w:pPr>
      <w:r>
        <w:rPr>
          <w:rFonts w:ascii="Times New Roman" w:cs="Times New Roman" w:eastAsia="Times New Roman" w:hAnsi="Times New Roman"/>
          <w:sz w:val="12"/>
          <w:szCs w:val="12"/>
          <w:color w:val="auto"/>
        </w:rPr>
        <w:t>Gain (loss) on disposal of discontinued operations before income taxes</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3"/>
          <w:szCs w:val="13"/>
          <w:color w:val="auto"/>
        </w:rPr>
        <w:t>Income tax (expense) benefit Income (loss) from</w:t>
      </w:r>
    </w:p>
    <w:p>
      <w:pPr>
        <w:spacing w:after="0" w:line="1" w:lineRule="exact"/>
        <w:rPr>
          <w:sz w:val="20"/>
          <w:szCs w:val="20"/>
          <w:color w:val="auto"/>
        </w:rPr>
      </w:pPr>
    </w:p>
    <w:p>
      <w:pPr>
        <w:ind w:left="100" w:right="140"/>
        <w:spacing w:after="0" w:line="256" w:lineRule="auto"/>
        <w:rPr>
          <w:sz w:val="20"/>
          <w:szCs w:val="20"/>
          <w:color w:val="auto"/>
        </w:rPr>
      </w:pPr>
      <w:r>
        <w:rPr>
          <w:rFonts w:ascii="Times New Roman" w:cs="Times New Roman" w:eastAsia="Times New Roman" w:hAnsi="Times New Roman"/>
          <w:sz w:val="12"/>
          <w:szCs w:val="12"/>
          <w:color w:val="auto"/>
        </w:rPr>
        <w:t>discontinued operations, net of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1,388.9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(15.0)</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521.2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423.6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503.8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114.6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69.2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82.8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43.9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957.2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vMerge w:val="continue"/>
          </w:tcPr>
          <w:p>
            <w:pPr>
              <w:spacing w:after="0"/>
              <w:rPr>
                <w:sz w:val="9"/>
                <w:szCs w:val="9"/>
                <w:color w:val="auto"/>
              </w:rPr>
            </w:pPr>
          </w:p>
        </w:tc>
        <w:tc>
          <w:tcPr>
            <w:tcW w:w="6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867.7</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548.2</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259.9</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12.9</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281.1</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214.8</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gridSpan w:val="2"/>
          </w:tcPr>
          <w:p>
            <w:pPr>
              <w:jc w:val="right"/>
              <w:ind w:right="60"/>
              <w:spacing w:after="0" w:line="110" w:lineRule="exact"/>
              <w:rPr>
                <w:sz w:val="20"/>
                <w:szCs w:val="20"/>
                <w:color w:val="auto"/>
              </w:rPr>
            </w:pPr>
            <w:r>
              <w:rPr>
                <w:rFonts w:ascii="Times New Roman" w:cs="Times New Roman" w:eastAsia="Times New Roman" w:hAnsi="Times New Roman"/>
                <w:sz w:val="12"/>
                <w:szCs w:val="12"/>
                <w:color w:val="auto"/>
              </w:rPr>
              <w:t>(4.6)</w:t>
            </w:r>
          </w:p>
        </w:tc>
        <w:tc>
          <w:tcPr>
            <w:tcW w:w="180" w:type="dxa"/>
            <w:vAlign w:val="bottom"/>
          </w:tcPr>
          <w:p>
            <w:pPr>
              <w:spacing w:after="0"/>
              <w:rPr>
                <w:sz w:val="9"/>
                <w:szCs w:val="9"/>
                <w:color w:val="auto"/>
              </w:rPr>
            </w:pPr>
          </w:p>
        </w:tc>
        <w:tc>
          <w:tcPr>
            <w:tcW w:w="4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66.7</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69.5</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2"/>
          </w:tcPr>
          <w:p>
            <w:pPr>
              <w:jc w:val="right"/>
              <w:ind w:right="60"/>
              <w:spacing w:after="0" w:line="110" w:lineRule="exact"/>
              <w:rPr>
                <w:sz w:val="20"/>
                <w:szCs w:val="20"/>
                <w:color w:val="auto"/>
              </w:rPr>
            </w:pPr>
            <w:r>
              <w:rPr>
                <w:rFonts w:ascii="Times New Roman" w:cs="Times New Roman" w:eastAsia="Times New Roman" w:hAnsi="Times New Roman"/>
                <w:sz w:val="12"/>
                <w:szCs w:val="12"/>
                <w:color w:val="auto"/>
              </w:rPr>
              <w:t>(58.9)</w:t>
            </w:r>
          </w:p>
        </w:tc>
        <w:tc>
          <w:tcPr>
            <w:tcW w:w="200" w:type="dxa"/>
            <w:vAlign w:val="bottom"/>
          </w:tcPr>
          <w:p>
            <w:pPr>
              <w:spacing w:after="0"/>
              <w:rPr>
                <w:sz w:val="9"/>
                <w:szCs w:val="9"/>
                <w:color w:val="auto"/>
              </w:rPr>
            </w:pPr>
          </w:p>
        </w:tc>
        <w:tc>
          <w:tcPr>
            <w:tcW w:w="50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(807.2)</w:t>
            </w:r>
          </w:p>
        </w:tc>
        <w:tc>
          <w:tcPr>
            <w:tcW w:w="0" w:type="dxa"/>
            <w:vAlign w:val="bottom"/>
          </w:tcPr>
          <w:p>
            <w:pPr>
              <w:spacing w:after="0"/>
              <w:rPr>
                <w:sz w:val="1"/>
                <w:szCs w:val="1"/>
                <w:color w:val="auto"/>
              </w:rPr>
            </w:pPr>
          </w:p>
        </w:tc>
      </w:tr>
      <w:tr>
        <w:trPr>
          <w:trHeight w:val="164"/>
        </w:trPr>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(637.5)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(686.9)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(675.8)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(18.0)</w:t>
            </w: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(425.5)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(76.9)</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(806.2)</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(27.9)</w:t>
            </w:r>
          </w:p>
        </w:tc>
        <w:tc>
          <w:tcPr>
            <w:tcW w:w="20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(118.6)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(375.5)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(16.5)</w:t>
            </w:r>
          </w:p>
        </w:tc>
        <w:tc>
          <w:tcPr>
            <w:tcW w:w="2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(12.3)</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1,454.6</w:t>
            </w:r>
          </w:p>
        </w:tc>
        <w:tc>
          <w:tcPr>
            <w:tcW w:w="10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(255.0)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(443.0)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505.6</w:t>
            </w:r>
          </w:p>
        </w:tc>
        <w:tc>
          <w:tcPr>
            <w:tcW w:w="80" w:type="dxa"/>
            <w:vAlign w:val="bottom"/>
          </w:tcPr>
          <w:p>
            <w:pPr>
              <w:spacing w:after="0"/>
              <w:rPr>
                <w:sz w:val="24"/>
                <w:szCs w:val="24"/>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w:t>
            </w:r>
          </w:p>
        </w:tc>
        <w:tc>
          <w:tcPr>
            <w:tcW w:w="100" w:type="dxa"/>
            <w:vAlign w:val="bottom"/>
          </w:tcPr>
          <w:p>
            <w:pPr>
              <w:spacing w:after="0"/>
              <w:rPr>
                <w:sz w:val="24"/>
                <w:szCs w:val="24"/>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8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24"/>
                <w:szCs w:val="24"/>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20" w:type="dxa"/>
            <w:vAlign w:val="bottom"/>
          </w:tcPr>
          <w:p>
            <w:pPr>
              <w:spacing w:after="0"/>
              <w:rPr>
                <w:sz w:val="24"/>
                <w:szCs w:val="24"/>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(117.1)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(623.1)</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-2253615</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-2082165</wp:posOffset>
            </wp:positionV>
            <wp:extent cx="713232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-1824990</wp:posOffset>
            </wp:positionV>
            <wp:extent cx="713232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-1293495</wp:posOffset>
            </wp:positionV>
            <wp:extent cx="7132320"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-607695</wp:posOffset>
            </wp:positionV>
            <wp:extent cx="7132320"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-1482090</wp:posOffset>
            </wp:positionV>
            <wp:extent cx="713232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-1122045</wp:posOffset>
            </wp:positionV>
            <wp:extent cx="713232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-256540</wp:posOffset>
            </wp:positionV>
            <wp:extent cx="713232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1480" w:space="680"/>
            <w:col w:w="9080"/>
          </w:cols>
          <w:pgMar w:left="320" w:top="765" w:right="339" w:bottom="1440" w:gutter="0" w:footer="0" w:header="0"/>
          <w:type w:val="continuous"/>
        </w:sectPr>
      </w:pPr>
    </w:p>
    <w:p>
      <w:pPr>
        <w:ind w:left="1020" w:right="80" w:hanging="503"/>
        <w:spacing w:after="0" w:line="281"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sales includes a charge of $19.5 million for excess and obsolete inventory related to the Home business during the year ended December 31, 2024.</w:t>
      </w:r>
    </w:p>
    <w:p>
      <w:pPr>
        <w:spacing w:after="0" w:line="1" w:lineRule="exact"/>
        <w:rPr>
          <w:rFonts w:ascii="Times New Roman" w:cs="Times New Roman" w:eastAsia="Times New Roman" w:hAnsi="Times New Roman"/>
          <w:sz w:val="17"/>
          <w:szCs w:val="17"/>
          <w:color w:val="auto"/>
        </w:rPr>
      </w:pPr>
    </w:p>
    <w:p>
      <w:pPr>
        <w:ind w:left="1020" w:right="20" w:hanging="503"/>
        <w:spacing w:after="0" w:line="256"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impairments reflect a partial goodwill impairment charge of $99.1 million recorded in the year ended December 31, 2023 for the Building Data Center Connectivity (BDCC) reporting unit of the CCS segment. In addition, asset impairments include a loss on impairment of $19.2 million related to Home business patents for the year ended December 31, 2024. For the year ended December 31, 2023, asset impairments reflect the loss of $203.4 million on classification as held for sale related to the Home business and a partial impairment of $469.2 million related to the Home segment’s intangible assets. The fair value measurements were determined using Level 1 and/or Level 3 valuation inputs.</w:t>
      </w:r>
    </w:p>
    <w:p>
      <w:pPr>
        <w:spacing w:after="0" w:line="23" w:lineRule="exact"/>
        <w:rPr>
          <w:rFonts w:ascii="Times New Roman" w:cs="Times New Roman" w:eastAsia="Times New Roman" w:hAnsi="Times New Roman"/>
          <w:sz w:val="17"/>
          <w:szCs w:val="17"/>
          <w:color w:val="auto"/>
        </w:rPr>
      </w:pPr>
    </w:p>
    <w:p>
      <w:pPr>
        <w:ind w:left="1020" w:right="100" w:hanging="503"/>
        <w:spacing w:after="0" w:line="210" w:lineRule="exact"/>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sale of the CCS segment that was completed subsequent to the fiscal year end on January 9, 2026, the terms of the Purchase Agreement with Amphenol required that the CCS segment be transferred on a debt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basis, and therefore, the Company repaid its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borrowings at closing using a portion of the proceeds from the sale of the CCS segment. Accordingly, all third-party debt obligations remained classified as long-term debt on the Consolidated Balance Sheets as of December 31, 2025 and 2024. However, in accordance with accounting guidance, interest expense on debt that is required to be repaid as a direct result of a disposal transaction that qualifies as a discontinued operation is reported within discontinued operations. Because the closing of the divestiture required repayment of all outstanding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debt due to the contractual requirement to deliver the business debt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free, all interest expense has been presented within discontinued operations for all years presented.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57" w:lineRule="exact"/>
        <w:rPr>
          <w:sz w:val="20"/>
          <w:szCs w:val="20"/>
          <w:color w:val="auto"/>
        </w:rPr>
      </w:pPr>
    </w:p>
    <w:p>
      <w:pPr>
        <w:ind w:left="1020" w:right="320" w:hanging="503"/>
        <w:spacing w:after="0" w:line="281"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income (expense), net includes a loss on equity investment of $17.0 million related to the Home business for the year ended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components of income (loss) from discontinued operations, net of income taxes,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for the combined discontinued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3,871.5</w:t>
            </w:r>
          </w:p>
        </w:tc>
        <w:tc>
          <w:tcPr>
            <w:tcW w:w="18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4,144.5</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5,135.5</w:t>
            </w:r>
          </w:p>
        </w:tc>
        <w:tc>
          <w:tcPr>
            <w:tcW w:w="100" w:type="dxa"/>
            <w:vAlign w:val="bottom"/>
            <w:shd w:val="clear" w:color="auto" w:fill="CCECFF"/>
          </w:tcPr>
          <w:p>
            <w:pPr>
              <w:spacing w:after="0"/>
              <w:rPr>
                <w:sz w:val="18"/>
                <w:szCs w:val="18"/>
                <w:color w:val="auto"/>
              </w:rPr>
            </w:pPr>
          </w:p>
        </w:tc>
      </w:tr>
      <w:tr>
        <w:trPr>
          <w:trHeight w:val="203"/>
        </w:trPr>
        <w:tc>
          <w:tcPr>
            <w:tcW w:w="7400" w:type="dxa"/>
            <w:vAlign w:val="bottom"/>
          </w:tcPr>
          <w:p>
            <w:pPr>
              <w:spacing w:after="0" w:line="202" w:lineRule="exact"/>
              <w:rPr>
                <w:sz w:val="20"/>
                <w:szCs w:val="20"/>
                <w:color w:val="auto"/>
              </w:rPr>
            </w:pPr>
            <w:r>
              <w:rPr>
                <w:rFonts w:ascii="Times New Roman" w:cs="Times New Roman" w:eastAsia="Times New Roman" w:hAnsi="Times New Roman"/>
                <w:sz w:val="17"/>
                <w:szCs w:val="17"/>
                <w:color w:val="auto"/>
              </w:rPr>
              <w:t xml:space="preserve">Cost of sales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3,740.1</w:t>
            </w:r>
          </w:p>
        </w:tc>
        <w:tc>
          <w:tcPr>
            <w:tcW w:w="100" w:type="dxa"/>
            <w:vAlign w:val="bottom"/>
          </w:tcPr>
          <w:p>
            <w:pPr>
              <w:spacing w:after="0"/>
              <w:rPr>
                <w:sz w:val="17"/>
                <w:szCs w:val="17"/>
                <w:color w:val="auto"/>
              </w:rPr>
            </w:pPr>
          </w:p>
        </w:tc>
      </w:tr>
      <w:tr>
        <w:trPr>
          <w:trHeight w:val="209"/>
        </w:trPr>
        <w:tc>
          <w:tcPr>
            <w:tcW w:w="7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1,431.6</w:t>
            </w: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1,506.3</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1,395.4</w:t>
            </w:r>
          </w:p>
        </w:tc>
        <w:tc>
          <w:tcPr>
            <w:tcW w:w="100" w:type="dxa"/>
            <w:vAlign w:val="bottom"/>
            <w:shd w:val="clear" w:color="auto" w:fill="CCEC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100" w:type="dxa"/>
            <w:vAlign w:val="bottom"/>
            <w:shd w:val="clear" w:color="auto" w:fill="CCECFF"/>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tcPr>
          <w:p>
            <w:pPr>
              <w:spacing w:after="0"/>
              <w:rPr>
                <w:sz w:val="18"/>
                <w:szCs w:val="18"/>
                <w:color w:val="auto"/>
              </w:rPr>
            </w:pPr>
          </w:p>
        </w:tc>
      </w:tr>
      <w:tr>
        <w:trPr>
          <w:trHeight w:val="216"/>
        </w:trPr>
        <w:tc>
          <w:tcPr>
            <w:tcW w:w="74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shd w:val="clear" w:color="auto" w:fill="CCECFF"/>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costs, net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r>
      <w:tr>
        <w:trPr>
          <w:trHeight w:val="203"/>
        </w:trPr>
        <w:tc>
          <w:tcPr>
            <w:tcW w:w="7400" w:type="dxa"/>
            <w:vAlign w:val="bottom"/>
            <w:shd w:val="clear" w:color="auto" w:fill="CCECFF"/>
          </w:tcPr>
          <w:p>
            <w:pPr>
              <w:ind w:left="80"/>
              <w:spacing w:after="0" w:line="202" w:lineRule="exact"/>
              <w:rPr>
                <w:sz w:val="20"/>
                <w:szCs w:val="20"/>
                <w:color w:val="auto"/>
              </w:rPr>
            </w:pPr>
            <w:r>
              <w:rPr>
                <w:rFonts w:ascii="Times New Roman" w:cs="Times New Roman" w:eastAsia="Times New Roman" w:hAnsi="Times New Roman"/>
                <w:sz w:val="17"/>
                <w:szCs w:val="17"/>
                <w:color w:val="auto"/>
              </w:rPr>
              <w:t xml:space="preserve">Asset impairments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CFF"/>
          </w:tcPr>
          <w:p>
            <w:pPr>
              <w:spacing w:after="0"/>
              <w:rPr>
                <w:sz w:val="17"/>
                <w:szCs w:val="17"/>
                <w:color w:val="auto"/>
              </w:rPr>
            </w:pP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100" w:type="dxa"/>
            <w:vAlign w:val="bottom"/>
            <w:shd w:val="clear" w:color="auto" w:fill="CCECFF"/>
          </w:tcPr>
          <w:p>
            <w:pPr>
              <w:spacing w:after="0"/>
              <w:rPr>
                <w:sz w:val="17"/>
                <w:szCs w:val="17"/>
                <w:color w:val="auto"/>
              </w:rPr>
            </w:pPr>
          </w:p>
        </w:tc>
      </w:tr>
      <w:tr>
        <w:trPr>
          <w:trHeight w:val="196"/>
        </w:trPr>
        <w:tc>
          <w:tcPr>
            <w:tcW w:w="7400" w:type="dxa"/>
            <w:vAlign w:val="bottom"/>
            <w:tcBorders>
              <w:top w:val="single" w:sz="8" w:color="CCECFF"/>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80" w:type="dxa"/>
            <w:vAlign w:val="bottom"/>
            <w:tcBorders>
              <w:top w:val="single" w:sz="8" w:color="CCECFF"/>
            </w:tcBorders>
          </w:tcPr>
          <w:p>
            <w:pPr>
              <w:spacing w:after="0"/>
              <w:rPr>
                <w:sz w:val="17"/>
                <w:szCs w:val="17"/>
                <w:color w:val="auto"/>
              </w:rPr>
            </w:pPr>
          </w:p>
        </w:tc>
        <w:tc>
          <w:tcPr>
            <w:tcW w:w="140" w:type="dxa"/>
            <w:vAlign w:val="bottom"/>
            <w:tcBorders>
              <w:top w:val="single" w:sz="8" w:color="CCEC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280" w:type="dxa"/>
            <w:vAlign w:val="bottom"/>
            <w:tcBorders>
              <w:top w:val="single" w:sz="8" w:color="CCEC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1,658.4</w:t>
            </w:r>
          </w:p>
        </w:tc>
        <w:tc>
          <w:tcPr>
            <w:tcW w:w="100" w:type="dxa"/>
            <w:vAlign w:val="bottom"/>
            <w:tcBorders>
              <w:top w:val="single" w:sz="8" w:color="CCECFF"/>
            </w:tcBorders>
          </w:tcPr>
          <w:p>
            <w:pPr>
              <w:spacing w:after="0"/>
              <w:rPr>
                <w:sz w:val="17"/>
                <w:szCs w:val="17"/>
                <w:color w:val="auto"/>
              </w:rPr>
            </w:pPr>
          </w:p>
        </w:tc>
      </w:tr>
      <w:tr>
        <w:trPr>
          <w:trHeight w:val="210"/>
        </w:trPr>
        <w:tc>
          <w:tcPr>
            <w:tcW w:w="7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6"/>
                <w:szCs w:val="16"/>
                <w:color w:val="auto"/>
              </w:rPr>
              <w:t>(263.0)</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(686.9)</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(675.8)</w:t>
            </w:r>
          </w:p>
        </w:tc>
      </w:tr>
      <w:tr>
        <w:trPr>
          <w:trHeight w:val="203"/>
        </w:trPr>
        <w:tc>
          <w:tcPr>
            <w:tcW w:w="7400" w:type="dxa"/>
            <w:vAlign w:val="bottom"/>
            <w:shd w:val="clear" w:color="auto" w:fill="CCECFF"/>
          </w:tcPr>
          <w:p>
            <w:pPr>
              <w:spacing w:after="0" w:line="202" w:lineRule="exact"/>
              <w:rPr>
                <w:sz w:val="20"/>
                <w:szCs w:val="20"/>
                <w:color w:val="auto"/>
              </w:rPr>
            </w:pPr>
            <w:r>
              <w:rPr>
                <w:rFonts w:ascii="Times New Roman" w:cs="Times New Roman" w:eastAsia="Times New Roman" w:hAnsi="Times New Roman"/>
                <w:sz w:val="17"/>
                <w:szCs w:val="17"/>
                <w:color w:val="auto"/>
              </w:rPr>
              <w:t xml:space="preserve">Other expense, net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CFF"/>
          </w:tcPr>
          <w:p>
            <w:pPr>
              <w:spacing w:after="0"/>
              <w:rPr>
                <w:sz w:val="17"/>
                <w:szCs w:val="17"/>
                <w:color w:val="auto"/>
              </w:rPr>
            </w:pPr>
          </w:p>
        </w:tc>
        <w:tc>
          <w:tcPr>
            <w:tcW w:w="9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color w:val="auto"/>
              </w:rPr>
              <w:t>(18.2)</w:t>
            </w:r>
          </w:p>
        </w:tc>
        <w:tc>
          <w:tcPr>
            <w:tcW w:w="220" w:type="dxa"/>
            <w:vAlign w:val="bottom"/>
            <w:shd w:val="clear" w:color="auto" w:fill="CCECFF"/>
          </w:tcPr>
          <w:p>
            <w:pPr>
              <w:spacing w:after="0"/>
              <w:rPr>
                <w:sz w:val="17"/>
                <w:szCs w:val="17"/>
                <w:color w:val="auto"/>
              </w:rPr>
            </w:pPr>
          </w:p>
        </w:tc>
        <w:tc>
          <w:tcPr>
            <w:tcW w:w="9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740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 of discontinued businesses before income taxes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(953.6)</w:t>
            </w:r>
          </w:p>
        </w:tc>
      </w:tr>
      <w:tr>
        <w:trPr>
          <w:trHeight w:val="216"/>
        </w:trPr>
        <w:tc>
          <w:tcPr>
            <w:tcW w:w="7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Gain (loss) on disposal of discontinued operations before income taxes</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color w:val="auto"/>
              </w:rPr>
              <w:t>(27.9)</w:t>
            </w:r>
          </w:p>
        </w:tc>
        <w:tc>
          <w:tcPr>
            <w:tcW w:w="22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00" w:type="dxa"/>
            <w:vAlign w:val="bottom"/>
            <w:shd w:val="clear" w:color="auto" w:fill="CCECFF"/>
          </w:tcPr>
          <w:p>
            <w:pPr>
              <w:spacing w:after="0" w:line="196" w:lineRule="exact"/>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22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1,959.4</w:t>
            </w:r>
          </w:p>
        </w:tc>
        <w:tc>
          <w:tcPr>
            <w:tcW w:w="18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color w:val="auto"/>
              </w:rPr>
              <w:t>(109.5)</w:t>
            </w:r>
          </w:p>
        </w:tc>
        <w:tc>
          <w:tcPr>
            <w:tcW w:w="22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6"/>
                <w:szCs w:val="16"/>
                <w:color w:val="auto"/>
              </w:rPr>
              <w:t>(854.0)</w:t>
            </w:r>
          </w:p>
        </w:tc>
      </w:tr>
      <w:tr>
        <w:trPr>
          <w:trHeight w:val="20"/>
        </w:trPr>
        <w:tc>
          <w:tcPr>
            <w:tcW w:w="74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-1122045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-1122045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-573405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-573405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sales includes a charge of $19.5 million for excess and obsolete inventory related to the Home business during the year ended December 31, 2024.</w:t>
      </w:r>
    </w:p>
    <w:p>
      <w:pPr>
        <w:spacing w:after="0" w:line="61" w:lineRule="exact"/>
        <w:rPr>
          <w:rFonts w:ascii="Times New Roman" w:cs="Times New Roman" w:eastAsia="Times New Roman" w:hAnsi="Times New Roman"/>
          <w:sz w:val="17"/>
          <w:szCs w:val="17"/>
          <w:color w:val="auto"/>
        </w:rPr>
      </w:pPr>
    </w:p>
    <w:p>
      <w:pPr>
        <w:ind w:left="520" w:right="200" w:hanging="512"/>
        <w:spacing w:after="0" w:line="259" w:lineRule="auto"/>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impairments include a loss on impairment of $19.2 million related to Home business patents for the year ended December 31, 2024. For the year ended December 31, 2023, asset impairments reflect a partial goodwill impairment charge of $99.1 million recorded for the BDCC reporting unit of the CCS segment, a loss of $203.4 million on classification as held for sale related to the Home business and a partial impairment of $469.2 million related to the Home segment’s intangible assets. The fair value measurements were determined using Level 1 and/or Level 3 valuation inputs.</w:t>
      </w:r>
    </w:p>
    <w:p>
      <w:pPr>
        <w:spacing w:after="0" w:line="20"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 net includes a loss on equity investment of $17.0 million related to the Home business for the year ended December 31, 2024.</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balance sheet information for assets and liabilities held for sale related to the discontinued operations: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5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tcPr>
          <w:p>
            <w:pPr>
              <w:spacing w:after="0"/>
              <w:rPr>
                <w:sz w:val="18"/>
                <w:szCs w:val="18"/>
                <w:color w:val="auto"/>
              </w:rPr>
            </w:pPr>
          </w:p>
        </w:tc>
      </w:tr>
      <w:tr>
        <w:trPr>
          <w:trHeight w:val="216"/>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CFF"/>
          </w:tcPr>
          <w:p>
            <w:pPr>
              <w:spacing w:after="0"/>
              <w:rPr>
                <w:sz w:val="18"/>
                <w:szCs w:val="18"/>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8"/>
                <w:szCs w:val="18"/>
                <w:color w:val="auto"/>
              </w:rPr>
            </w:pPr>
          </w:p>
        </w:tc>
      </w:tr>
      <w:tr>
        <w:trPr>
          <w:trHeight w:val="216"/>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CECFF"/>
          </w:tcPr>
          <w:p>
            <w:pPr>
              <w:spacing w:after="0"/>
              <w:rPr>
                <w:sz w:val="18"/>
                <w:szCs w:val="18"/>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Pr>
          <w:p>
            <w:pPr>
              <w:spacing w:after="0"/>
              <w:rPr>
                <w:sz w:val="18"/>
                <w:szCs w:val="18"/>
                <w:color w:val="auto"/>
              </w:rPr>
            </w:pPr>
          </w:p>
        </w:tc>
      </w:tr>
      <w:tr>
        <w:trPr>
          <w:trHeight w:val="216"/>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CECFF"/>
          </w:tcPr>
          <w:p>
            <w:pPr>
              <w:spacing w:after="0"/>
              <w:rPr>
                <w:sz w:val="18"/>
                <w:szCs w:val="18"/>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16"/>
        </w:trPr>
        <w:tc>
          <w:tcPr>
            <w:tcW w:w="6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CFF"/>
          </w:tcPr>
          <w:p>
            <w:pPr>
              <w:spacing w:after="0"/>
              <w:rPr>
                <w:sz w:val="18"/>
                <w:szCs w:val="18"/>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4,324.5</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100" w:type="dxa"/>
            <w:vAlign w:val="bottom"/>
          </w:tcPr>
          <w:p>
            <w:pPr>
              <w:spacing w:after="0"/>
              <w:rPr>
                <w:sz w:val="18"/>
                <w:szCs w:val="18"/>
                <w:color w:val="auto"/>
              </w:rPr>
            </w:pPr>
          </w:p>
        </w:tc>
      </w:tr>
      <w:tr>
        <w:trPr>
          <w:trHeight w:val="209"/>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top w:val="single" w:sz="8" w:color="auto"/>
            </w:tcBorders>
            <w:shd w:val="clear" w:color="auto" w:fill="CCECFF"/>
          </w:tcPr>
          <w:p>
            <w:pPr>
              <w:spacing w:after="0"/>
              <w:rPr>
                <w:sz w:val="18"/>
                <w:szCs w:val="18"/>
                <w:color w:val="auto"/>
              </w:rPr>
            </w:pPr>
          </w:p>
        </w:tc>
        <w:tc>
          <w:tcPr>
            <w:tcW w:w="1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100" w:type="dxa"/>
            <w:vAlign w:val="bottom"/>
          </w:tcPr>
          <w:p>
            <w:pPr>
              <w:spacing w:after="0"/>
              <w:rPr>
                <w:sz w:val="18"/>
                <w:szCs w:val="18"/>
                <w:color w:val="auto"/>
              </w:rPr>
            </w:pPr>
          </w:p>
        </w:tc>
      </w:tr>
      <w:tr>
        <w:trPr>
          <w:trHeight w:val="216"/>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CECFF"/>
          </w:tcPr>
          <w:p>
            <w:pPr>
              <w:spacing w:after="0"/>
              <w:rPr>
                <w:sz w:val="18"/>
                <w:szCs w:val="18"/>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8"/>
                <w:szCs w:val="18"/>
                <w:color w:val="auto"/>
              </w:rPr>
            </w:pPr>
          </w:p>
        </w:tc>
      </w:tr>
      <w:tr>
        <w:trPr>
          <w:trHeight w:val="216"/>
        </w:trPr>
        <w:tc>
          <w:tcPr>
            <w:tcW w:w="6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CFF"/>
          </w:tcPr>
          <w:p>
            <w:pPr>
              <w:spacing w:after="0"/>
              <w:rPr>
                <w:sz w:val="18"/>
                <w:szCs w:val="18"/>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100" w:type="dxa"/>
            <w:vAlign w:val="bottom"/>
          </w:tcPr>
          <w:p>
            <w:pPr>
              <w:spacing w:after="0"/>
              <w:rPr>
                <w:sz w:val="18"/>
                <w:szCs w:val="18"/>
                <w:color w:val="auto"/>
              </w:rPr>
            </w:pPr>
          </w:p>
        </w:tc>
      </w:tr>
      <w:tr>
        <w:trPr>
          <w:trHeight w:val="249"/>
        </w:trPr>
        <w:tc>
          <w:tcPr>
            <w:tcW w:w="67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4,324.5</w:t>
            </w:r>
          </w:p>
        </w:tc>
        <w:tc>
          <w:tcPr>
            <w:tcW w:w="5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5,187.8</w:t>
            </w:r>
          </w:p>
        </w:tc>
        <w:tc>
          <w:tcPr>
            <w:tcW w:w="100" w:type="dxa"/>
            <w:vAlign w:val="bottom"/>
            <w:shd w:val="clear" w:color="auto" w:fill="CCECFF"/>
          </w:tcPr>
          <w:p>
            <w:pPr>
              <w:spacing w:after="0"/>
              <w:rPr>
                <w:sz w:val="21"/>
                <w:szCs w:val="21"/>
                <w:color w:val="auto"/>
              </w:rPr>
            </w:pPr>
          </w:p>
        </w:tc>
      </w:tr>
      <w:tr>
        <w:trPr>
          <w:trHeight w:val="197"/>
        </w:trPr>
        <w:tc>
          <w:tcPr>
            <w:tcW w:w="6780" w:type="dxa"/>
            <w:vAlign w:val="bottom"/>
            <w:tcBorders>
              <w:top w:val="single" w:sz="8" w:color="CCEC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r>
      <w:tr>
        <w:trPr>
          <w:trHeight w:val="216"/>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52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8"/>
                <w:szCs w:val="18"/>
                <w:color w:val="auto"/>
              </w:rPr>
            </w:pPr>
          </w:p>
        </w:tc>
      </w:tr>
      <w:tr>
        <w:trPr>
          <w:trHeight w:val="216"/>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auto"/>
            </w:tcBorders>
            <w:shd w:val="clear" w:color="auto" w:fill="CCECFF"/>
          </w:tcPr>
          <w:p>
            <w:pPr>
              <w:spacing w:after="0"/>
              <w:rPr>
                <w:sz w:val="18"/>
                <w:szCs w:val="18"/>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CFF"/>
          </w:tcPr>
          <w:p>
            <w:pPr>
              <w:spacing w:after="0"/>
              <w:rPr>
                <w:sz w:val="18"/>
                <w:szCs w:val="18"/>
                <w:color w:val="auto"/>
              </w:rPr>
            </w:pPr>
          </w:p>
        </w:tc>
      </w:tr>
      <w:tr>
        <w:trPr>
          <w:trHeight w:val="21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Pr>
          <w:p>
            <w:pPr>
              <w:spacing w:after="0"/>
              <w:rPr>
                <w:sz w:val="18"/>
                <w:szCs w:val="18"/>
                <w:color w:val="auto"/>
              </w:rPr>
            </w:pPr>
          </w:p>
        </w:tc>
      </w:tr>
      <w:tr>
        <w:trPr>
          <w:trHeight w:val="210"/>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CFF"/>
          </w:tcPr>
          <w:p>
            <w:pPr>
              <w:spacing w:after="0"/>
              <w:rPr>
                <w:sz w:val="18"/>
                <w:szCs w:val="18"/>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8"/>
                <w:szCs w:val="18"/>
                <w:color w:val="auto"/>
              </w:rPr>
            </w:pPr>
          </w:p>
        </w:tc>
      </w:tr>
      <w:tr>
        <w:trPr>
          <w:trHeight w:val="210"/>
        </w:trPr>
        <w:tc>
          <w:tcPr>
            <w:tcW w:w="6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auto"/>
            </w:tcBorders>
            <w:shd w:val="clear" w:color="auto" w:fill="CCECFF"/>
          </w:tcPr>
          <w:p>
            <w:pPr>
              <w:spacing w:after="0"/>
              <w:rPr>
                <w:sz w:val="18"/>
                <w:szCs w:val="18"/>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-2451100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-1610995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-1319530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-1302385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-758190</wp:posOffset>
            </wp:positionV>
            <wp:extent cx="9398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-758190</wp:posOffset>
            </wp:positionV>
            <wp:extent cx="9398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the gain (loss) on disposal of the OWN segment and DAS business unit, collectively, and the Home business:</w:t>
      </w:r>
    </w:p>
    <w:p>
      <w:pPr>
        <w:sectPr>
          <w:pgSz w:w="11900" w:h="16838" w:orient="portrait"/>
          <w:cols w:equalWidth="0" w:num="1">
            <w:col w:w="11240"/>
          </w:cols>
          <w:pgMar w:left="320" w:top="765" w:right="339" w:bottom="1440" w:gutter="0" w:footer="0" w:header="0"/>
        </w:sectPr>
      </w:pPr>
    </w:p>
    <w:p>
      <w:pPr>
        <w:spacing w:after="0" w:line="165"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OWN/DAS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7620</wp:posOffset>
            </wp:positionV>
            <wp:extent cx="9855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35"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January 31, 2025</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7620</wp:posOffset>
            </wp:positionV>
            <wp:extent cx="9683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3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January 9, 2024</w:t>
      </w:r>
    </w:p>
    <w:p>
      <w:pPr>
        <w:spacing w:after="0" w:line="12" w:lineRule="exact"/>
        <w:rPr>
          <w:sz w:val="20"/>
          <w:szCs w:val="20"/>
          <w:color w:val="auto"/>
        </w:rPr>
      </w:pPr>
    </w:p>
    <w:p>
      <w:pPr>
        <w:sectPr>
          <w:pgSz w:w="11900" w:h="16838" w:orient="portrait"/>
          <w:cols w:equalWidth="0" w:num="2">
            <w:col w:w="9160" w:space="720"/>
            <w:col w:w="136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consideration received (net of cash acquired)</w:t>
            </w:r>
          </w:p>
        </w:tc>
        <w:tc>
          <w:tcPr>
            <w:tcW w:w="2460" w:type="dxa"/>
            <w:vAlign w:val="bottom"/>
            <w:shd w:val="clear" w:color="auto" w:fill="CCECFF"/>
          </w:tcPr>
          <w:p>
            <w:pPr>
              <w:spacing w:after="0"/>
              <w:rPr>
                <w:sz w:val="18"/>
                <w:szCs w:val="18"/>
                <w:color w:val="auto"/>
              </w:rPr>
            </w:pPr>
          </w:p>
        </w:tc>
        <w:tc>
          <w:tcPr>
            <w:tcW w:w="520" w:type="dxa"/>
            <w:vAlign w:val="bottom"/>
            <w:tcBorders>
              <w:top w:val="single" w:sz="8" w:color="auto"/>
            </w:tcBorders>
            <w:shd w:val="clear" w:color="auto" w:fill="CCEC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2,034.5</w:t>
            </w:r>
          </w:p>
        </w:tc>
        <w:tc>
          <w:tcPr>
            <w:tcW w:w="2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expense</w:t>
            </w:r>
          </w:p>
        </w:tc>
        <w:tc>
          <w:tcPr>
            <w:tcW w:w="2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Fair value of shares issued to seller</w:t>
            </w:r>
          </w:p>
        </w:tc>
        <w:tc>
          <w:tcPr>
            <w:tcW w:w="246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Borders>
              <w:top w:val="single" w:sz="8" w:color="CCECFF"/>
            </w:tcBorders>
          </w:tcPr>
          <w:p>
            <w:pPr>
              <w:ind w:left="140"/>
              <w:spacing w:after="0"/>
              <w:rPr>
                <w:sz w:val="20"/>
                <w:szCs w:val="20"/>
                <w:color w:val="auto"/>
              </w:rPr>
            </w:pPr>
            <w:r>
              <w:rPr>
                <w:rFonts w:ascii="Times New Roman" w:cs="Times New Roman" w:eastAsia="Times New Roman" w:hAnsi="Times New Roman"/>
                <w:sz w:val="18"/>
                <w:szCs w:val="18"/>
                <w:color w:val="auto"/>
              </w:rPr>
              <w:t>Total disposal consideration</w:t>
            </w:r>
          </w:p>
        </w:tc>
        <w:tc>
          <w:tcPr>
            <w:tcW w:w="2460" w:type="dxa"/>
            <w:vAlign w:val="bottom"/>
            <w:tcBorders>
              <w:top w:val="single" w:sz="8" w:color="CCEC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200" w:type="dxa"/>
            <w:vAlign w:val="bottom"/>
            <w:tcBorders>
              <w:top w:val="single" w:sz="8" w:color="CCECFF"/>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Carrying value of net assets sold</w:t>
            </w:r>
          </w:p>
        </w:tc>
        <w:tc>
          <w:tcPr>
            <w:tcW w:w="246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(1,058.5)</w:t>
            </w:r>
          </w:p>
        </w:tc>
        <w:tc>
          <w:tcPr>
            <w:tcW w:w="14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91"/>
        </w:trPr>
        <w:tc>
          <w:tcPr>
            <w:tcW w:w="5240" w:type="dxa"/>
            <w:vAlign w:val="bottom"/>
            <w:tcBorders>
              <w:top w:val="single" w:sz="8" w:color="CCECFF"/>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Gain (loss) on disposal before income taxes and reclassification of</w:t>
            </w:r>
          </w:p>
        </w:tc>
        <w:tc>
          <w:tcPr>
            <w:tcW w:w="2460" w:type="dxa"/>
            <w:vAlign w:val="bottom"/>
            <w:tcBorders>
              <w:top w:val="single" w:sz="8" w:color="CCECFF"/>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CFF"/>
            </w:tcBorders>
          </w:tcPr>
          <w:p>
            <w:pPr>
              <w:spacing w:after="0"/>
              <w:rPr>
                <w:sz w:val="16"/>
                <w:szCs w:val="16"/>
                <w:color w:val="auto"/>
              </w:rPr>
            </w:pPr>
          </w:p>
        </w:tc>
        <w:tc>
          <w:tcPr>
            <w:tcW w:w="140" w:type="dxa"/>
            <w:vAlign w:val="bottom"/>
            <w:tcBorders>
              <w:top w:val="single" w:sz="8" w:color="CCEC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C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Reclassification of foreign currency translation</w:t>
            </w:r>
          </w:p>
        </w:tc>
        <w:tc>
          <w:tcPr>
            <w:tcW w:w="246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5240" w:type="dxa"/>
            <w:vAlign w:val="bottom"/>
            <w:shd w:val="clear" w:color="auto" w:fill="CCECFF"/>
          </w:tcPr>
          <w:p>
            <w:pPr>
              <w:spacing w:after="0" w:line="20" w:lineRule="exact"/>
              <w:rPr>
                <w:sz w:val="1"/>
                <w:szCs w:val="1"/>
                <w:color w:val="auto"/>
              </w:rPr>
            </w:pPr>
          </w:p>
        </w:tc>
        <w:tc>
          <w:tcPr>
            <w:tcW w:w="2460" w:type="dxa"/>
            <w:vAlign w:val="bottom"/>
            <w:shd w:val="clear" w:color="auto" w:fill="CCEC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disposal before income taxes</w:t>
            </w:r>
          </w:p>
        </w:tc>
        <w:tc>
          <w:tcPr>
            <w:tcW w:w="2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5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6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5240" w:type="dxa"/>
            <w:vAlign w:val="bottom"/>
            <w:shd w:val="clear" w:color="auto" w:fill="CCECFF"/>
          </w:tcPr>
          <w:p>
            <w:pPr>
              <w:spacing w:after="0" w:line="20" w:lineRule="exact"/>
              <w:rPr>
                <w:sz w:val="1"/>
                <w:szCs w:val="1"/>
                <w:color w:val="auto"/>
              </w:rPr>
            </w:pPr>
          </w:p>
        </w:tc>
        <w:tc>
          <w:tcPr>
            <w:tcW w:w="2460" w:type="dxa"/>
            <w:vAlign w:val="bottom"/>
            <w:shd w:val="clear" w:color="auto" w:fill="CCEC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disposal, net of income taxes</w:t>
            </w:r>
          </w:p>
        </w:tc>
        <w:tc>
          <w:tcPr>
            <w:tcW w:w="24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6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78</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2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-2202180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-1919605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-1499870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on the Consolidated Statements of Cash Flows, and accordingly, they include the results from continuing and discontinued operations. The following table summarizes the Company’s cash inflows related to the ongoing activities of the discontinued operations, including the Vantiva and Amphenol TSAs, as described below, and inventory sales resulting from the Vantiva Supply Agreement and Amphenol MSA, as described above: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94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Vantiva TSA fees</w:t>
            </w:r>
          </w:p>
        </w:tc>
        <w:tc>
          <w:tcPr>
            <w:tcW w:w="3020" w:type="dxa"/>
            <w:vAlign w:val="bottom"/>
            <w:gridSpan w:val="2"/>
            <w:shd w:val="clear" w:color="auto" w:fill="CCEC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gridSpan w:val="3"/>
            <w:shd w:val="clear" w:color="auto" w:fill="CCEC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C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Vantiva Supply Agreement and other inventory sales</w:t>
            </w:r>
          </w:p>
        </w:tc>
        <w:tc>
          <w:tcPr>
            <w:tcW w:w="1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8"/>
                <w:szCs w:val="18"/>
                <w:color w:val="auto"/>
              </w:rPr>
            </w:pPr>
          </w:p>
        </w:tc>
      </w:tr>
      <w:tr>
        <w:trPr>
          <w:trHeight w:val="216"/>
        </w:trPr>
        <w:tc>
          <w:tcPr>
            <w:tcW w:w="5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Amphenol TSA fees</w:t>
            </w:r>
          </w:p>
        </w:tc>
        <w:tc>
          <w:tcPr>
            <w:tcW w:w="194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5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Amphenol MSA inventory sales</w:t>
            </w:r>
          </w:p>
        </w:tc>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-709295</wp:posOffset>
            </wp:positionV>
            <wp:extent cx="9398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-709295</wp:posOffset>
            </wp:positionV>
            <wp:extent cx="93980"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significant non-cash operating items and certain other items of the discontinued operations included on the Consolidated Statements of Cash Flows: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51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(Gain) loss on disposal of discontinued operations</w:t>
            </w:r>
          </w:p>
        </w:tc>
        <w:tc>
          <w:tcPr>
            <w:tcW w:w="2320" w:type="dxa"/>
            <w:vAlign w:val="bottom"/>
            <w:gridSpan w:val="2"/>
            <w:shd w:val="clear" w:color="auto" w:fill="CCEC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(869.0)</w:t>
            </w:r>
          </w:p>
        </w:tc>
        <w:tc>
          <w:tcPr>
            <w:tcW w:w="5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CECFF"/>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Asset impairments </w:t>
            </w:r>
            <w:r>
              <w:rPr>
                <w:rFonts w:ascii="Times New Roman" w:cs="Times New Roman" w:eastAsia="Times New Roman" w:hAnsi="Times New Roman"/>
                <w:sz w:val="24"/>
                <w:szCs w:val="24"/>
                <w:color w:val="auto"/>
                <w:vertAlign w:val="superscript"/>
              </w:rPr>
              <w:t>(1)</w:t>
            </w:r>
          </w:p>
        </w:tc>
        <w:tc>
          <w:tcPr>
            <w:tcW w:w="150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00" w:type="dxa"/>
            <w:vAlign w:val="bottom"/>
            <w:shd w:val="clear" w:color="auto" w:fill="CCECFF"/>
          </w:tcPr>
          <w:p>
            <w:pPr>
              <w:spacing w:after="0"/>
              <w:rPr>
                <w:sz w:val="18"/>
                <w:szCs w:val="18"/>
                <w:color w:val="auto"/>
              </w:rPr>
            </w:pPr>
          </w:p>
        </w:tc>
      </w:tr>
      <w:tr>
        <w:trPr>
          <w:trHeight w:val="216"/>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r>
      <w:tr>
        <w:trPr>
          <w:trHeight w:val="216"/>
        </w:trPr>
        <w:tc>
          <w:tcPr>
            <w:tcW w:w="51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shd w:val="clear" w:color="auto" w:fill="CCECFF"/>
          </w:tcPr>
          <w:p>
            <w:pPr>
              <w:spacing w:after="0"/>
              <w:rPr>
                <w:sz w:val="18"/>
                <w:szCs w:val="18"/>
                <w:color w:val="auto"/>
              </w:rPr>
            </w:pPr>
          </w:p>
        </w:tc>
      </w:tr>
      <w:tr>
        <w:trPr>
          <w:trHeight w:val="234"/>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bl>
    <w:p>
      <w:pPr>
        <w:spacing w:after="0" w:line="68"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2023, asset impairments include a loss of $203.4 million on classification as held for sale related to the Home business,</w:t>
      </w:r>
    </w:p>
    <w:p>
      <w:pPr>
        <w:spacing w:after="0" w:line="25" w:lineRule="exact"/>
        <w:rPr>
          <w:rFonts w:ascii="Times New Roman" w:cs="Times New Roman" w:eastAsia="Times New Roman" w:hAnsi="Times New Roman"/>
          <w:sz w:val="17"/>
          <w:szCs w:val="17"/>
          <w:color w:val="auto"/>
        </w:rPr>
      </w:pPr>
    </w:p>
    <w:p>
      <w:pPr>
        <w:ind w:left="520" w:right="2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$469.2 million of partial impairment charge related to the Home segment’s intangible assets and $99.1 million of partial goodwill impairment charge related to the BDCC reporting unit of the CCS segment.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OneCell:</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1 2025, the Company completed the sale of its OneCell business to Amphenol, pursuant to a Purchase Agreement dated April 30, 2025. OneCell is an advanced in-building small cell solution designed to deliver seamless LTE and 5G connectivity across enterprise environments. The transaction involved the sale of certain assets and transfer of certain operations that were previously included within the RUCKUS segment. The disposal did not meet the criteria for classification as a discontinued operation under ASC 205-20 as it does not represent a strategic shift that has or will have a major effect on the Company’s operations and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cash consideration of $7.4 million, net of $1.2 million of cash included in the assets sold.</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carrying amount of the net assets disposed was $10.0 million. A pretax loss on sale of $4.8 million was recognized and included in other on the Consolidated Statements of Operations for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 Agreements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conjunction with the closing of the sales of the OWN segment and DAS business unit and the OneCell business, the Company entered into the Amphenol TSA. The terms of the Amphenol TSA vary based on the services provided thereunder, with the longest such term having a duration of twelve months, excluding certain services related to manufacturing facilities. The Amphenol TSA provides options to extend services for up to two renewal terms of three months each. For the year ended December 31, 2025, the Company recognized income of $33.4 million under the Amphenol TSA, which is included in transition service agreement income within income (loss) from continuing operations on the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conjunction with the closing of the Home business transaction, the Company entered into the Vantiva TSA. The terms of the Vantiva TSA varied based on the services provided thereunder, with the longest such term having a duration of thirty-six months. The Vantiva TSA provided options to extend services for up to two renewal terms of six months each. Under the Vantiva TSA, the Company recognized income of $2.1 million and $24.5 million for the years ended December 31, 2025 and 2024, respectively, which is included in transition service agreement income within income (loss) from continuing operations on the Consolidated Statements of Operations. As of the year ended December 31, 2024, the majority of the Vantiva TSA services had ceased.</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the Company’s intangible assets other than goodwill: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300" w:type="dxa"/>
            <w:vAlign w:val="bottom"/>
          </w:tcPr>
          <w:p>
            <w:pPr>
              <w:spacing w:after="0"/>
              <w:rPr>
                <w:sz w:val="10"/>
                <w:szCs w:val="10"/>
                <w:color w:val="auto"/>
              </w:rPr>
            </w:pPr>
          </w:p>
        </w:tc>
        <w:tc>
          <w:tcPr>
            <w:tcW w:w="1160" w:type="dxa"/>
            <w:vAlign w:val="bottom"/>
            <w:gridSpan w:val="2"/>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00" w:type="dxa"/>
            <w:vAlign w:val="bottom"/>
          </w:tcPr>
          <w:p>
            <w:pPr>
              <w:spacing w:after="0"/>
              <w:rPr>
                <w:sz w:val="10"/>
                <w:szCs w:val="10"/>
                <w:color w:val="auto"/>
              </w:rPr>
            </w:pPr>
          </w:p>
        </w:tc>
      </w:tr>
      <w:tr>
        <w:trPr>
          <w:trHeight w:val="173"/>
        </w:trPr>
        <w:tc>
          <w:tcPr>
            <w:tcW w:w="2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10"/>
        </w:trPr>
        <w:tc>
          <w:tcPr>
            <w:tcW w:w="26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Customer base</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4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500" w:type="dxa"/>
            <w:vAlign w:val="bottom"/>
            <w:gridSpan w:val="2"/>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420" w:type="dxa"/>
            <w:vAlign w:val="bottom"/>
            <w:gridSpan w:val="2"/>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shd w:val="clear" w:color="auto" w:fill="CCEC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8"/>
                <w:szCs w:val="18"/>
                <w:color w:val="auto"/>
              </w:rPr>
            </w:pPr>
          </w:p>
        </w:tc>
      </w:tr>
      <w:tr>
        <w:trPr>
          <w:trHeight w:val="216"/>
        </w:trPr>
        <w:tc>
          <w:tcPr>
            <w:tcW w:w="26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Patents and technologies</w:t>
            </w:r>
          </w:p>
        </w:tc>
        <w:tc>
          <w:tcPr>
            <w:tcW w:w="10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3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3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CFF"/>
          </w:tcPr>
          <w:p>
            <w:pPr>
              <w:spacing w:after="0"/>
              <w:rPr>
                <w:sz w:val="18"/>
                <w:szCs w:val="18"/>
                <w:color w:val="auto"/>
              </w:rPr>
            </w:pPr>
          </w:p>
        </w:tc>
      </w:tr>
      <w:tr>
        <w:trPr>
          <w:trHeight w:val="216"/>
        </w:trPr>
        <w:tc>
          <w:tcPr>
            <w:tcW w:w="2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26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4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500" w:type="dxa"/>
            <w:vAlign w:val="bottom"/>
            <w:gridSpan w:val="2"/>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2,563.1</w:t>
            </w:r>
          </w:p>
        </w:tc>
        <w:tc>
          <w:tcPr>
            <w:tcW w:w="420" w:type="dxa"/>
            <w:vAlign w:val="bottom"/>
            <w:gridSpan w:val="2"/>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4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00" w:type="dxa"/>
            <w:vAlign w:val="bottom"/>
            <w:shd w:val="clear" w:color="auto" w:fill="CCECFF"/>
          </w:tcPr>
          <w:p>
            <w:pPr>
              <w:spacing w:after="0"/>
              <w:rPr>
                <w:sz w:val="19"/>
                <w:szCs w:val="19"/>
                <w:color w:val="auto"/>
              </w:rPr>
            </w:pPr>
          </w:p>
        </w:tc>
      </w:tr>
      <w:tr>
        <w:trPr>
          <w:trHeight w:val="20"/>
        </w:trPr>
        <w:tc>
          <w:tcPr>
            <w:tcW w:w="26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-24765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right="80" w:hanging="512"/>
        <w:spacing w:after="0" w:line="265" w:lineRule="auto"/>
        <w:tabs>
          <w:tab w:leader="none" w:pos="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2025, the Company wrote off approximately $32.0 million of gross cost and accumulated amortization related to fully amortized other intangibles. The adjustment did not have an impact on the net balances previously reported during any of the interim periods during 2025, nor any prior fiscal periods.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of finite-lived intangible assets identified during the years ended December 31, 2025, 2024 or 2023.</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$138.4 million, $165.1 million and $227.0 million for the years ended December 31, 2025, 2024 and 2023, respectively. Future amortization expense as of December 31, 2025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shd w:val="clear" w:color="auto" w:fill="CCECFF"/>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shd w:val="clear" w:color="auto" w:fill="CCECFF"/>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shd w:val="clear" w:color="auto" w:fill="CCECFF"/>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the activity in goodwill by reportable segment.</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gridSpan w:val="4"/>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Activity</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15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23"/>
              <w:spacing w:after="0" w:line="126"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Exchange and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60" w:type="dxa"/>
            <w:vAlign w:val="bottom"/>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10"/>
        </w:trPr>
        <w:tc>
          <w:tcPr>
            <w:tcW w:w="1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RUCKUS</w:t>
            </w:r>
          </w:p>
        </w:tc>
        <w:tc>
          <w:tcPr>
            <w:tcW w:w="280" w:type="dxa"/>
            <w:vAlign w:val="bottom"/>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CFF"/>
          </w:tcPr>
          <w:p>
            <w:pPr>
              <w:spacing w:after="0"/>
              <w:rPr>
                <w:sz w:val="18"/>
                <w:szCs w:val="18"/>
                <w:color w:val="auto"/>
              </w:rPr>
            </w:pPr>
          </w:p>
        </w:tc>
        <w:tc>
          <w:tcPr>
            <w:tcW w:w="440" w:type="dxa"/>
            <w:vAlign w:val="bottom"/>
            <w:gridSpan w:val="2"/>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40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shd w:val="clear" w:color="auto" w:fill="CCEC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Aurora</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(1,734.0)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(1,775.2)</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28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CFF"/>
          </w:tcPr>
          <w:p>
            <w:pPr>
              <w:spacing w:after="0"/>
              <w:rPr>
                <w:sz w:val="19"/>
                <w:szCs w:val="19"/>
                <w:color w:val="auto"/>
              </w:rPr>
            </w:pPr>
          </w:p>
        </w:tc>
        <w:tc>
          <w:tcPr>
            <w:tcW w:w="440" w:type="dxa"/>
            <w:vAlign w:val="bottom"/>
            <w:gridSpan w:val="2"/>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9"/>
                <w:szCs w:val="19"/>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2,539.8</w:t>
            </w:r>
          </w:p>
        </w:tc>
        <w:tc>
          <w:tcPr>
            <w:tcW w:w="40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(1,775.2)</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shd w:val="clear" w:color="auto" w:fill="CCECFF"/>
          </w:tcPr>
          <w:p>
            <w:pPr>
              <w:spacing w:after="0"/>
              <w:rPr>
                <w:sz w:val="19"/>
                <w:szCs w:val="19"/>
                <w:color w:val="auto"/>
              </w:rPr>
            </w:pPr>
          </w:p>
        </w:tc>
      </w:tr>
      <w:tr>
        <w:trPr>
          <w:trHeight w:val="20"/>
        </w:trPr>
        <w:tc>
          <w:tcPr>
            <w:tcW w:w="15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534"/>
        </w:trPr>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gridSpan w:val="4"/>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Activity</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15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23"/>
              <w:spacing w:after="0" w:line="126"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Exchange and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60" w:type="dxa"/>
            <w:vAlign w:val="bottom"/>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09"/>
        </w:trPr>
        <w:tc>
          <w:tcPr>
            <w:tcW w:w="1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RUCKUS</w:t>
            </w:r>
          </w:p>
        </w:tc>
        <w:tc>
          <w:tcPr>
            <w:tcW w:w="280" w:type="dxa"/>
            <w:vAlign w:val="bottom"/>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gridSpan w:val="2"/>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40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shd w:val="clear" w:color="auto" w:fill="CCEC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Aurora</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(1,734.0)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5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C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2,532.5</w:t>
            </w:r>
          </w:p>
        </w:tc>
        <w:tc>
          <w:tcPr>
            <w:tcW w:w="4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(1,775.2)</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28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CFF"/>
          </w:tcPr>
          <w:p>
            <w:pPr>
              <w:spacing w:after="0"/>
              <w:rPr>
                <w:sz w:val="19"/>
                <w:szCs w:val="19"/>
                <w:color w:val="auto"/>
              </w:rPr>
            </w:pPr>
          </w:p>
        </w:tc>
        <w:tc>
          <w:tcPr>
            <w:tcW w:w="440" w:type="dxa"/>
            <w:vAlign w:val="bottom"/>
            <w:gridSpan w:val="2"/>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9"/>
                <w:szCs w:val="19"/>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40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(1,775.2)</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shd w:val="clear" w:color="auto" w:fill="CCECFF"/>
          </w:tcPr>
          <w:p>
            <w:pPr>
              <w:spacing w:after="0"/>
              <w:rPr>
                <w:sz w:val="19"/>
                <w:szCs w:val="19"/>
                <w:color w:val="auto"/>
              </w:rPr>
            </w:pPr>
          </w:p>
        </w:tc>
      </w:tr>
      <w:tr>
        <w:trPr>
          <w:trHeight w:val="20"/>
        </w:trPr>
        <w:tc>
          <w:tcPr>
            <w:tcW w:w="15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-1122045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-1104900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-1122045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-1104900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-1122045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-1104900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-1122045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-1104900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-1122045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-1104900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-1122045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-1104900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-24765</wp:posOffset>
            </wp:positionV>
            <wp:extent cx="768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-8255</wp:posOffset>
            </wp:positionV>
            <wp:extent cx="768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an additional $1.7 million and $5.2 million, respectively, of goodwill in the Aurora (formerly ANS) segment related to the Casa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and Annual Goodwill Impairment Testing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Estimating the fair value of a reporting unit involves uncertainties because it requires management to develop numerous assumptions, including assumptions about the future growth and potential volatility in revenues and costs, capital expenditures, industry economic factors and future business strategy. Changes in projected revenue growth rates, projected EBITDA margin percentages or estimated discount rates due to uncertain market conditions, terminal growth rates, lower market multiples, loss of one or more key customers, changes in the Company’s strategy, changes in technology or other factors could negatively affect the fair value in one or more of the Company’s reporting units and result in a material impairment charge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annual impairment test performed in the fourth quarter of 2025, no goodwill impairments were identified.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2024:</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the Company completed an impairment analysis for goodwill recorded within the RUCKUS (formerly NICS) reporting unit, which was impacted by the divestiture of the DAS business unit. The quantitative assessment was used, and the Company determined that the fair value of the impacted reporting unit exceeded the carrying value and that no impairment existed immediately prior to or subsequent to allocating goodwill to the disposal group that included the DAS business unit. The Company allocated $113.5 million of goodwill to the disposal group based on the relative fair value of the DAS business unit as compared to the RUCKUS reporting unit, along with $504.3 million of goodwill that was entirely attributable to its OWN reporting unit. Total goodwill for the disposal group of $617.8 million was classified as held for sale as of December 31, 2024. The fair values of the DAS business unit and the RUCKUS reporting unit were determined using Level 3 valuation inputs.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annual impairment test performed in the fourth quarter of 2024, no goodwill impairments were identified.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2023:</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third quarter of 2023, the Company concluded that a triggering event occurred, primarily due to a sustained decrease in the market value of the Company’s debt and common stock affecting the overall business and changes in expected future cash flows due to reduced earnings forecasts and current macroeconomic conditions, including a rising interest rate environment. As a result, the Company performed an interim quantitative goodwill impairment test for its Aurora (formerly ANS) reporting unit and recorded a goodwill impairment charge of $425.9 million in asset impairments on the Consolidated Statements of Operations to partially write down the carrying amount of the goodwill in the Aurora reporting unit. The Aurora reporting unit is the same as the Aurora segment. The fair value of the reporting unit was determined using Level 3 valuation inputs.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annual impairment test performed in the fourth quarter of 2023 and in conjunction with the development of the Company’s 2024 and long-range plans, the Company determined the goodwill balance in the Aurora reporting unit was impaired and recorded a partial impairment charge of $46.4 million in asset impairments on the Consolidated Statements of Operations. The impairment charge resulted from the Company’s assessment of further lower revenue growth and EBITDA margins in the fourth quarter of 2023, due to adverse impacts of market conditions on the current year profitability and estimated future business results and cash flows. The fair value of the reporting unit was determined using Level 3 valuation inputs.</w:t>
      </w:r>
    </w:p>
    <w:p>
      <w:pPr>
        <w:spacing w:after="0" w:line="287" w:lineRule="exact"/>
        <w:rPr>
          <w:sz w:val="20"/>
          <w:szCs w:val="20"/>
          <w:color w:val="auto"/>
        </w:rPr>
      </w:pPr>
    </w:p>
    <w:p>
      <w:pPr>
        <w:ind w:right="6460" w:firstLine="8"/>
        <w:spacing w:after="0" w:line="378" w:lineRule="auto"/>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Disaggregated Net Sales</w:t>
      </w:r>
    </w:p>
    <w:p>
      <w:pPr>
        <w:spacing w:after="0"/>
        <w:rPr>
          <w:sz w:val="20"/>
          <w:szCs w:val="20"/>
          <w:color w:val="auto"/>
        </w:rPr>
      </w:pPr>
      <w:r>
        <w:rPr>
          <w:rFonts w:ascii="Times New Roman" w:cs="Times New Roman" w:eastAsia="Times New Roman" w:hAnsi="Times New Roman"/>
          <w:sz w:val="18"/>
          <w:szCs w:val="18"/>
          <w:color w:val="auto"/>
        </w:rPr>
        <w:t>For the presentation of net sales by segment and geographic region, see Note 17 included in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780" w:type="dxa"/>
            <w:vAlign w:val="bottom"/>
          </w:tcPr>
          <w:p>
            <w:pPr>
              <w:spacing w:after="0"/>
              <w:rPr>
                <w:sz w:val="12"/>
                <w:szCs w:val="12"/>
                <w:color w:val="auto"/>
              </w:rPr>
            </w:pPr>
          </w:p>
        </w:tc>
        <w:tc>
          <w:tcPr>
            <w:tcW w:w="8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Allowance for doubtful accounts, beginning of period</w:t>
            </w:r>
          </w:p>
        </w:tc>
        <w:tc>
          <w:tcPr>
            <w:tcW w:w="880" w:type="dxa"/>
            <w:vAlign w:val="bottom"/>
            <w:shd w:val="clear" w:color="auto" w:fill="CCEC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Borders>
              <w:left w:val="single" w:sz="8" w:color="CCECFF"/>
            </w:tcBorders>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CFF"/>
          </w:tcPr>
          <w:p>
            <w:pPr>
              <w:spacing w:after="0"/>
              <w:rPr>
                <w:sz w:val="18"/>
                <w:szCs w:val="18"/>
                <w:color w:val="auto"/>
              </w:rPr>
            </w:pPr>
          </w:p>
        </w:tc>
        <w:tc>
          <w:tcPr>
            <w:tcW w:w="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C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Benefit</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Write-offs</w:t>
            </w:r>
          </w:p>
        </w:tc>
        <w:tc>
          <w:tcPr>
            <w:tcW w:w="880" w:type="dxa"/>
            <w:vAlign w:val="bottom"/>
            <w:shd w:val="clear" w:color="auto" w:fill="CCECFF"/>
          </w:tcPr>
          <w:p>
            <w:pPr>
              <w:spacing w:after="0"/>
              <w:rPr>
                <w:sz w:val="18"/>
                <w:szCs w:val="18"/>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CECFF"/>
            </w:tcBorders>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Allowance for doubtful accounts, end of period</w:t>
            </w:r>
          </w:p>
        </w:tc>
        <w:tc>
          <w:tcPr>
            <w:tcW w:w="880" w:type="dxa"/>
            <w:vAlign w:val="bottom"/>
            <w:shd w:val="clear" w:color="auto" w:fill="CCEC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Borders>
              <w:left w:val="single" w:sz="8" w:color="CCECFF"/>
            </w:tcBorders>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CFF"/>
          </w:tcPr>
          <w:p>
            <w:pPr>
              <w:spacing w:after="0"/>
              <w:rPr>
                <w:sz w:val="19"/>
                <w:szCs w:val="19"/>
                <w:color w:val="auto"/>
              </w:rPr>
            </w:pPr>
          </w:p>
        </w:tc>
        <w:tc>
          <w:tcPr>
            <w:tcW w:w="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CFF"/>
          </w:tcPr>
          <w:p>
            <w:pPr>
              <w:spacing w:after="0"/>
              <w:rPr>
                <w:sz w:val="19"/>
                <w:szCs w:val="19"/>
                <w:color w:val="auto"/>
              </w:rPr>
            </w:pPr>
          </w:p>
        </w:tc>
      </w:tr>
      <w:tr>
        <w:trPr>
          <w:trHeight w:val="20"/>
        </w:trPr>
        <w:tc>
          <w:tcPr>
            <w:tcW w:w="6780" w:type="dxa"/>
            <w:vAlign w:val="bottom"/>
            <w:tcBorders>
              <w:top w:val="single" w:sz="8" w:color="CCECFF"/>
            </w:tcBorders>
            <w:shd w:val="clear" w:color="auto" w:fill="CCEC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left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Contract Balances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balance sheet location and amounts of contract assets, or unbilled accounts receivable, and contract liabilities, or deferred revenue, from contracts with customers as of December 31, 2025 and December 31,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Contract Balance Type</w:t>
            </w:r>
          </w:p>
        </w:tc>
        <w:tc>
          <w:tcPr>
            <w:tcW w:w="160" w:type="dxa"/>
            <w:vAlign w:val="bottom"/>
          </w:tcPr>
          <w:p>
            <w:pPr>
              <w:spacing w:after="0"/>
              <w:rPr>
                <w:sz w:val="15"/>
                <w:szCs w:val="15"/>
                <w:color w:val="auto"/>
              </w:rPr>
            </w:pPr>
          </w:p>
        </w:tc>
        <w:tc>
          <w:tcPr>
            <w:tcW w:w="45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1"/>
        </w:trPr>
        <w:tc>
          <w:tcPr>
            <w:tcW w:w="3400" w:type="dxa"/>
            <w:vAlign w:val="bottom"/>
            <w:shd w:val="clear" w:color="auto" w:fill="CCECFF"/>
          </w:tcPr>
          <w:p>
            <w:pPr>
              <w:spacing w:after="0"/>
              <w:rPr>
                <w:sz w:val="16"/>
                <w:szCs w:val="16"/>
                <w:color w:val="auto"/>
              </w:rPr>
            </w:pPr>
          </w:p>
        </w:tc>
        <w:tc>
          <w:tcPr>
            <w:tcW w:w="4660" w:type="dxa"/>
            <w:vAlign w:val="bottom"/>
            <w:gridSpan w:val="2"/>
            <w:shd w:val="clear" w:color="auto" w:fill="CCECFF"/>
          </w:tcPr>
          <w:p>
            <w:pPr>
              <w:ind w:left="160"/>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w:t>
            </w:r>
          </w:p>
        </w:tc>
        <w:tc>
          <w:tcPr>
            <w:tcW w:w="1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r>
      <w:tr>
        <w:trPr>
          <w:trHeight w:val="234"/>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60" w:type="dxa"/>
            <w:vAlign w:val="bottom"/>
            <w:shd w:val="clear" w:color="auto" w:fill="CCECFF"/>
          </w:tcPr>
          <w:p>
            <w:pPr>
              <w:spacing w:after="0"/>
              <w:rPr>
                <w:sz w:val="20"/>
                <w:szCs w:val="20"/>
                <w:color w:val="auto"/>
              </w:rPr>
            </w:pPr>
          </w:p>
        </w:tc>
        <w:tc>
          <w:tcPr>
            <w:tcW w:w="45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for doubtful accounts</w:t>
            </w:r>
          </w:p>
        </w:tc>
        <w:tc>
          <w:tcPr>
            <w:tcW w:w="4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CFF"/>
          </w:tcPr>
          <w:p>
            <w:pPr>
              <w:spacing w:after="0"/>
              <w:rPr>
                <w:sz w:val="20"/>
                <w:szCs w:val="20"/>
                <w:color w:val="auto"/>
              </w:rPr>
            </w:pPr>
          </w:p>
        </w:tc>
      </w:t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revenue – current</w:t>
            </w:r>
          </w:p>
        </w:tc>
        <w:tc>
          <w:tcPr>
            <w:tcW w:w="4660" w:type="dxa"/>
            <w:vAlign w:val="bottom"/>
            <w:gridSpan w:val="2"/>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5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C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4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8"/>
                <w:szCs w:val="18"/>
                <w:color w:val="auto"/>
              </w:rPr>
            </w:pPr>
          </w:p>
        </w:tc>
      </w:tr>
      <w:tr>
        <w:trPr>
          <w:trHeight w:val="229"/>
        </w:trPr>
        <w:tc>
          <w:tcPr>
            <w:tcW w:w="34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60" w:type="dxa"/>
            <w:vAlign w:val="bottom"/>
            <w:shd w:val="clear" w:color="auto" w:fill="CCECFF"/>
          </w:tcPr>
          <w:p>
            <w:pPr>
              <w:spacing w:after="0"/>
              <w:rPr>
                <w:sz w:val="19"/>
                <w:szCs w:val="19"/>
                <w:color w:val="auto"/>
              </w:rPr>
            </w:pPr>
          </w:p>
        </w:tc>
        <w:tc>
          <w:tcPr>
            <w:tcW w:w="4500" w:type="dxa"/>
            <w:vAlign w:val="bottom"/>
            <w:shd w:val="clear" w:color="auto" w:fill="CCECFF"/>
          </w:tcPr>
          <w:p>
            <w:pPr>
              <w:spacing w:after="0"/>
              <w:rPr>
                <w:sz w:val="19"/>
                <w:szCs w:val="19"/>
                <w:color w:val="auto"/>
              </w:rPr>
            </w:pPr>
          </w:p>
        </w:tc>
        <w:tc>
          <w:tcPr>
            <w:tcW w:w="4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5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shd w:val="clear" w:color="auto" w:fill="CCECFF"/>
          </w:tcPr>
          <w:p>
            <w:pPr>
              <w:spacing w:after="0"/>
              <w:rPr>
                <w:sz w:val="19"/>
                <w:szCs w:val="19"/>
                <w:color w:val="auto"/>
              </w:rPr>
            </w:pPr>
          </w:p>
        </w:tc>
      </w:tr>
      <w:tr>
        <w:trPr>
          <w:trHeight w:val="20"/>
        </w:trPr>
        <w:tc>
          <w:tcPr>
            <w:tcW w:w="34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45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no material changes to contract asset balances for the year ended December 31, 2025 as a result of changes in estimates or impairments. The change in the contract liability balance from December 31, 2024 to December 31, 2025 was primarily due to upfront support billings to be recognized over the support term. During the year ended December 31, 2025, the Company recognized $98.2 million of revenue related to contract liabilities recorded as of December 31, 2024.</w:t>
      </w:r>
    </w:p>
    <w:p>
      <w:pPr>
        <w:spacing w:after="0" w:line="284"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operating type leases for real estate, equipment and vehicles both in the U.S. and internationally. As of December 31, 2025 and 2024, the Company had no finance type leases. Operating lease expense was $25.6 million, $26.5 million and $32.7 million for the years ended December 31, 2025, 2024 and 2023, respectively. Operating lease expense included period cost for short-term, cancellable and variable leases that were not included in lease liabilities of $4.6 million, $9.4 million and $16.7 million for the years ended December 31, 2025, 2024 and 2023, respectively.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occasionally subleases all or a portion of certain unutilized real estate facilities. As of December 31, 2025, the Company’s sublease arrangements were classified as operating type leases and the income amounts were not material for the years ended December 31,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which includes both continuing operations and discontinued operations: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49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cash paid to settle lease liabilities</w:t>
            </w:r>
          </w:p>
        </w:tc>
        <w:tc>
          <w:tcPr>
            <w:tcW w:w="2840" w:type="dxa"/>
            <w:vAlign w:val="bottom"/>
            <w:gridSpan w:val="2"/>
            <w:shd w:val="clear" w:color="auto" w:fill="CCEC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5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shd w:val="clear" w:color="auto" w:fill="CCECFF"/>
          </w:tcPr>
          <w:p>
            <w:pPr>
              <w:spacing w:after="0"/>
              <w:rPr>
                <w:sz w:val="18"/>
                <w:szCs w:val="18"/>
                <w:color w:val="auto"/>
              </w:rPr>
            </w:pPr>
          </w:p>
        </w:tc>
        <w:tc>
          <w:tcPr>
            <w:tcW w:w="3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CFF"/>
          </w:tcPr>
          <w:p>
            <w:pPr>
              <w:spacing w:after="0"/>
              <w:rPr>
                <w:sz w:val="18"/>
                <w:szCs w:val="18"/>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 additions in exchange for lease liabilities</w:t>
            </w: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20"/>
                <w:szCs w:val="20"/>
                <w:color w:val="auto"/>
              </w:rPr>
            </w:pPr>
          </w:p>
        </w:tc>
      </w:tr>
      <w:tr>
        <w:trPr>
          <w:trHeight w:val="846"/>
        </w:trPr>
        <w:tc>
          <w:tcPr>
            <w:tcW w:w="4900" w:type="dxa"/>
            <w:vAlign w:val="bottom"/>
          </w:tcPr>
          <w:p>
            <w:pPr>
              <w:spacing w:after="0"/>
              <w:rPr>
                <w:sz w:val="24"/>
                <w:szCs w:val="24"/>
                <w:color w:val="auto"/>
              </w:rPr>
            </w:pPr>
          </w:p>
        </w:tc>
        <w:tc>
          <w:tcPr>
            <w:tcW w:w="20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82</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9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8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8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8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7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82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5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820" w:type="dxa"/>
            <w:vAlign w:val="bottom"/>
            <w:shd w:val="clear" w:color="auto" w:fill="CCECFF"/>
          </w:tcPr>
          <w:p>
            <w:pPr>
              <w:spacing w:after="0"/>
              <w:rPr>
                <w:sz w:val="21"/>
                <w:szCs w:val="21"/>
                <w:color w:val="auto"/>
              </w:rPr>
            </w:pPr>
          </w:p>
        </w:tc>
        <w:tc>
          <w:tcPr>
            <w:tcW w:w="5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74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602"/>
        </w:trPr>
        <w:tc>
          <w:tcPr>
            <w:tcW w:w="4740" w:type="dxa"/>
            <w:vAlign w:val="bottom"/>
            <w:tcBorders>
              <w:top w:val="single" w:sz="8" w:color="CCECFF"/>
            </w:tcBorders>
          </w:tcPr>
          <w:p>
            <w:pPr>
              <w:spacing w:after="0"/>
              <w:rPr>
                <w:sz w:val="24"/>
                <w:szCs w:val="24"/>
                <w:color w:val="auto"/>
              </w:rPr>
            </w:pPr>
          </w:p>
        </w:tc>
        <w:tc>
          <w:tcPr>
            <w:tcW w:w="2820" w:type="dxa"/>
            <w:vAlign w:val="bottom"/>
            <w:tcBorders>
              <w:top w:val="single" w:sz="8" w:color="CCECFF"/>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8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1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10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-705485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-688340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-705485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-688340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2025 are as follows:</w:t>
      </w:r>
    </w:p>
    <w:p>
      <w:pPr>
        <w:spacing w:after="0" w:line="232" w:lineRule="exact"/>
        <w:rPr>
          <w:sz w:val="20"/>
          <w:szCs w:val="20"/>
          <w:color w:val="auto"/>
        </w:rPr>
      </w:pPr>
    </w:p>
    <w:tbl>
      <w:tblPr>
        <w:tblLayout w:type="fixed"/>
        <w:tblInd w:w="34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5"/>
                <w:szCs w:val="15"/>
                <w:color w:val="auto"/>
              </w:rPr>
            </w:pPr>
          </w:p>
        </w:tc>
      </w:tr>
      <w:tr>
        <w:trPr>
          <w:trHeight w:val="21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gridSpan w:val="2"/>
            <w:shd w:val="clear" w:color="auto" w:fill="CCEC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C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r>
      <w:tr>
        <w:trPr>
          <w:trHeight w:val="216"/>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C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r>
      <w:tr>
        <w:trPr>
          <w:trHeight w:val="216"/>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C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r>
      <w:tr>
        <w:trPr>
          <w:trHeight w:val="209"/>
        </w:trPr>
        <w:tc>
          <w:tcPr>
            <w:tcW w:w="26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40" w:type="dxa"/>
            <w:vAlign w:val="bottom"/>
            <w:tcBorders>
              <w:bottom w:val="single" w:sz="8" w:color="CCECFF"/>
            </w:tcBorders>
            <w:shd w:val="clear" w:color="auto" w:fill="CCECFF"/>
          </w:tcPr>
          <w:p>
            <w:pPr>
              <w:spacing w:after="0"/>
              <w:rPr>
                <w:sz w:val="18"/>
                <w:szCs w:val="18"/>
                <w:color w:val="auto"/>
              </w:rPr>
            </w:pPr>
          </w:p>
        </w:tc>
        <w:tc>
          <w:tcPr>
            <w:tcW w:w="44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1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6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gridSpan w:val="2"/>
            <w:shd w:val="clear" w:color="auto" w:fill="CCEC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CFF"/>
          </w:tcPr>
          <w:p>
            <w:pPr>
              <w:spacing w:after="0"/>
              <w:rPr>
                <w:sz w:val="19"/>
                <w:szCs w:val="19"/>
                <w:color w:val="auto"/>
              </w:rPr>
            </w:pPr>
          </w:p>
        </w:tc>
      </w:tr>
      <w:tr>
        <w:trPr>
          <w:trHeight w:val="20"/>
        </w:trPr>
        <w:tc>
          <w:tcPr>
            <w:tcW w:w="268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CCECFF"/>
            </w:tcBorders>
            <w:shd w:val="clear" w:color="auto" w:fill="CCEC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-316865</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5940" w:firstLine="8"/>
        <w:spacing w:after="0" w:line="412" w:lineRule="auto"/>
        <w:tabs>
          <w:tab w:leader="none" w:pos="1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FINANCIAL STATEMENT INFORMATION Inventories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9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CFF"/>
          </w:tcPr>
          <w:p>
            <w:pPr>
              <w:spacing w:after="0"/>
              <w:rPr>
                <w:sz w:val="18"/>
                <w:szCs w:val="18"/>
                <w:color w:val="auto"/>
              </w:rPr>
            </w:pPr>
          </w:p>
        </w:tc>
        <w:tc>
          <w:tcPr>
            <w:tcW w:w="17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spacing w:after="0"/>
              <w:rPr>
                <w:sz w:val="18"/>
                <w:szCs w:val="18"/>
                <w:color w:val="auto"/>
              </w:rPr>
            </w:pPr>
          </w:p>
        </w:tc>
        <w:tc>
          <w:tcPr>
            <w:tcW w:w="1700" w:type="dxa"/>
            <w:vAlign w:val="bottom"/>
            <w:tcBorders>
              <w:bottom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right w:val="single" w:sz="8" w:color="CCECFF"/>
            </w:tcBorders>
            <w:shd w:val="clear" w:color="auto" w:fill="CCECFF"/>
          </w:tcPr>
          <w:p>
            <w:pPr>
              <w:spacing w:after="0"/>
              <w:rPr>
                <w:sz w:val="18"/>
                <w:szCs w:val="18"/>
                <w:color w:val="auto"/>
              </w:rPr>
            </w:pPr>
          </w:p>
        </w:tc>
        <w:tc>
          <w:tcPr>
            <w:tcW w:w="580" w:type="dxa"/>
            <w:vAlign w:val="bottom"/>
            <w:tcBorders>
              <w:bottom w:val="single" w:sz="8" w:color="auto"/>
            </w:tcBorders>
            <w:shd w:val="clear" w:color="auto" w:fill="CCECFF"/>
          </w:tcPr>
          <w:p>
            <w:pPr>
              <w:spacing w:after="0"/>
              <w:rPr>
                <w:sz w:val="18"/>
                <w:szCs w:val="18"/>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00" w:type="dxa"/>
            <w:vAlign w:val="bottom"/>
          </w:tcPr>
          <w:p>
            <w:pPr>
              <w:spacing w:after="0"/>
              <w:rPr>
                <w:sz w:val="18"/>
                <w:szCs w:val="18"/>
                <w:color w:val="auto"/>
              </w:rPr>
            </w:pP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640" w:type="dxa"/>
            <w:vAlign w:val="bottom"/>
            <w:gridSpan w:val="2"/>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7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0" w:type="dxa"/>
            <w:vAlign w:val="bottom"/>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7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00" w:type="dxa"/>
            <w:vAlign w:val="bottom"/>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58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(174.5)</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shd w:val="clear" w:color="auto" w:fill="CCECFF"/>
          </w:tcPr>
          <w:p>
            <w:pPr>
              <w:spacing w:after="0"/>
              <w:rPr>
                <w:sz w:val="19"/>
                <w:szCs w:val="19"/>
                <w:color w:val="auto"/>
              </w:rPr>
            </w:pP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CECFF"/>
          </w:tcPr>
          <w:p>
            <w:pPr>
              <w:spacing w:after="0"/>
              <w:rPr>
                <w:sz w:val="19"/>
                <w:szCs w:val="19"/>
                <w:color w:val="auto"/>
              </w:rPr>
            </w:pPr>
          </w:p>
        </w:tc>
        <w:tc>
          <w:tcPr>
            <w:tcW w:w="760" w:type="dxa"/>
            <w:vAlign w:val="bottom"/>
            <w:gridSpan w:val="2"/>
            <w:shd w:val="clear" w:color="auto" w:fill="CCEC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-1876425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3"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2025, the Company wrote off approximately $25.4 million of gross cost and accumulated depreciation related to fully depreciated property, plant and equipment.</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Depreciation expense was $21.2 million, $31.5 million and $46.4 million during the years ended December 31, 2025, 2024 and 2023, respectively. No interest was capitalized during the years ended December 31, 2025, 2024 or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and Other Liabilities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Compensation and employee benefit liabilities</w:t>
            </w:r>
          </w:p>
        </w:tc>
        <w:tc>
          <w:tcPr>
            <w:tcW w:w="1160" w:type="dxa"/>
            <w:vAlign w:val="bottom"/>
            <w:shd w:val="clear" w:color="auto" w:fill="CCEC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CFF"/>
          </w:tcPr>
          <w:p>
            <w:pPr>
              <w:spacing w:after="0"/>
              <w:rPr>
                <w:sz w:val="18"/>
                <w:szCs w:val="18"/>
                <w:color w:val="auto"/>
              </w:rPr>
            </w:pPr>
          </w:p>
        </w:tc>
        <w:tc>
          <w:tcPr>
            <w:tcW w:w="780" w:type="dxa"/>
            <w:vAlign w:val="bottom"/>
            <w:shd w:val="clear" w:color="auto" w:fill="CCECFF"/>
          </w:tcPr>
          <w:p>
            <w:pPr>
              <w:jc w:val="right"/>
              <w:ind w:right="35"/>
              <w:spacing w:after="0"/>
              <w:rPr>
                <w:sz w:val="20"/>
                <w:szCs w:val="20"/>
                <w:color w:val="auto"/>
              </w:rPr>
            </w:pPr>
            <w:r>
              <w:rPr>
                <w:rFonts w:ascii="Times New Roman" w:cs="Times New Roman" w:eastAsia="Times New Roman" w:hAnsi="Times New Roman"/>
                <w:sz w:val="18"/>
                <w:szCs w:val="18"/>
                <w:color w:val="auto"/>
              </w:rPr>
              <w:t>162.7</w:t>
            </w:r>
          </w:p>
        </w:tc>
        <w:tc>
          <w:tcPr>
            <w:tcW w:w="5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1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780" w:type="dxa"/>
            <w:vAlign w:val="bottom"/>
            <w:shd w:val="clear" w:color="auto" w:fill="CCECFF"/>
          </w:tcPr>
          <w:p>
            <w:pPr>
              <w:jc w:val="right"/>
              <w:ind w:right="35"/>
              <w:spacing w:after="0"/>
              <w:rPr>
                <w:sz w:val="20"/>
                <w:szCs w:val="20"/>
                <w:color w:val="auto"/>
              </w:rPr>
            </w:pPr>
            <w:r>
              <w:rPr>
                <w:rFonts w:ascii="Times New Roman" w:cs="Times New Roman" w:eastAsia="Times New Roman" w:hAnsi="Times New Roman"/>
                <w:sz w:val="18"/>
                <w:szCs w:val="18"/>
                <w:color w:val="auto"/>
              </w:rPr>
              <w:t>78.1</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Product warranty accrual</w:t>
            </w:r>
          </w:p>
        </w:tc>
        <w:tc>
          <w:tcPr>
            <w:tcW w:w="11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780" w:type="dxa"/>
            <w:vAlign w:val="bottom"/>
            <w:shd w:val="clear" w:color="auto" w:fill="CCECFF"/>
          </w:tcPr>
          <w:p>
            <w:pPr>
              <w:jc w:val="right"/>
              <w:ind w:right="35"/>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120.7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160" w:type="dxa"/>
            <w:vAlign w:val="bottom"/>
            <w:shd w:val="clear" w:color="auto" w:fill="CCEC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CFF"/>
          </w:tcPr>
          <w:p>
            <w:pPr>
              <w:spacing w:after="0"/>
              <w:rPr>
                <w:sz w:val="21"/>
                <w:szCs w:val="21"/>
                <w:color w:val="auto"/>
              </w:rPr>
            </w:pPr>
          </w:p>
        </w:tc>
        <w:tc>
          <w:tcPr>
            <w:tcW w:w="780" w:type="dxa"/>
            <w:vAlign w:val="bottom"/>
            <w:shd w:val="clear" w:color="auto" w:fill="CCECFF"/>
          </w:tcPr>
          <w:p>
            <w:pPr>
              <w:jc w:val="right"/>
              <w:ind w:right="35"/>
              <w:spacing w:after="0"/>
              <w:rPr>
                <w:sz w:val="20"/>
                <w:szCs w:val="20"/>
                <w:color w:val="auto"/>
              </w:rPr>
            </w:pPr>
            <w:r>
              <w:rPr>
                <w:rFonts w:ascii="Times New Roman" w:cs="Times New Roman" w:eastAsia="Times New Roman" w:hAnsi="Times New Roman"/>
                <w:sz w:val="18"/>
                <w:szCs w:val="18"/>
                <w:color w:val="auto"/>
              </w:rPr>
              <w:t>498.3</w:t>
            </w:r>
          </w:p>
        </w:tc>
        <w:tc>
          <w:tcPr>
            <w:tcW w:w="5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380" w:type="dxa"/>
            <w:vAlign w:val="bottom"/>
            <w:tcBorders>
              <w:top w:val="single" w:sz="8" w:color="CCEC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(AOCL)</w:t>
            </w:r>
          </w:p>
        </w:tc>
        <w:tc>
          <w:tcPr>
            <w:tcW w:w="1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changes in AOCL, net of tax:</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7"/>
            <w:vMerge w:val="restart"/>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380" w:type="dxa"/>
            <w:vAlign w:val="bottom"/>
            <w:gridSpan w:val="4"/>
            <w:shd w:val="clear" w:color="auto" w:fill="CCECFF"/>
          </w:tcPr>
          <w:p>
            <w:pPr>
              <w:spacing w:after="0" w:line="169"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3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20" w:type="dxa"/>
            <w:vAlign w:val="bottom"/>
            <w:tcBorders>
              <w:top w:val="single" w:sz="8" w:color="auto"/>
            </w:tcBorders>
            <w:shd w:val="clear" w:color="auto" w:fill="CCECFF"/>
          </w:tcPr>
          <w:p>
            <w:pPr>
              <w:spacing w:after="0" w:line="20" w:lineRule="exact"/>
              <w:rPr>
                <w:sz w:val="1"/>
                <w:szCs w:val="1"/>
                <w:color w:val="auto"/>
              </w:rPr>
            </w:pPr>
          </w:p>
        </w:tc>
        <w:tc>
          <w:tcPr>
            <w:tcW w:w="520" w:type="dxa"/>
            <w:vAlign w:val="bottom"/>
            <w:tcBorders>
              <w:top w:val="single" w:sz="8" w:color="auto"/>
            </w:tcBorders>
            <w:shd w:val="clear" w:color="auto" w:fill="CCECFF"/>
          </w:tcPr>
          <w:p>
            <w:pPr>
              <w:spacing w:after="0" w:line="20" w:lineRule="exact"/>
              <w:rPr>
                <w:sz w:val="1"/>
                <w:szCs w:val="1"/>
                <w:color w:val="auto"/>
              </w:rPr>
            </w:pPr>
          </w:p>
        </w:tc>
        <w:tc>
          <w:tcPr>
            <w:tcW w:w="40" w:type="dxa"/>
            <w:vAlign w:val="bottom"/>
            <w:tcBorders>
              <w:top w:val="single" w:sz="8" w:color="CCECFF"/>
            </w:tcBorders>
            <w:shd w:val="clear" w:color="auto" w:fill="CCECFF"/>
          </w:tcPr>
          <w:p>
            <w:pPr>
              <w:spacing w:after="0" w:line="20" w:lineRule="exact"/>
              <w:rPr>
                <w:sz w:val="1"/>
                <w:szCs w:val="1"/>
                <w:color w:val="auto"/>
              </w:rPr>
            </w:pPr>
          </w:p>
        </w:tc>
        <w:tc>
          <w:tcPr>
            <w:tcW w:w="4300" w:type="dxa"/>
            <w:vAlign w:val="bottom"/>
            <w:tcBorders>
              <w:top w:val="single" w:sz="8" w:color="CCECFF"/>
            </w:tcBorders>
            <w:shd w:val="clear" w:color="auto" w:fill="CCECFF"/>
          </w:tcPr>
          <w:p>
            <w:pPr>
              <w:spacing w:after="0" w:line="20" w:lineRule="exact"/>
              <w:rPr>
                <w:sz w:val="1"/>
                <w:szCs w:val="1"/>
                <w:color w:val="auto"/>
              </w:rPr>
            </w:pPr>
          </w:p>
        </w:tc>
        <w:tc>
          <w:tcPr>
            <w:tcW w:w="116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7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3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(308.8)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5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126.9</w:t>
            </w:r>
          </w:p>
        </w:tc>
        <w:tc>
          <w:tcPr>
            <w:tcW w:w="3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CFF"/>
          </w:tcPr>
          <w:p>
            <w:pPr>
              <w:spacing w:after="0"/>
              <w:rPr>
                <w:sz w:val="18"/>
                <w:szCs w:val="18"/>
                <w:color w:val="auto"/>
              </w:rPr>
            </w:pPr>
          </w:p>
        </w:tc>
        <w:tc>
          <w:tcPr>
            <w:tcW w:w="88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10"/>
        </w:trPr>
        <w:tc>
          <w:tcPr>
            <w:tcW w:w="1520" w:type="dxa"/>
            <w:vAlign w:val="bottom"/>
            <w:tcBorders>
              <w:top w:val="single" w:sz="8" w:color="CCECFF"/>
            </w:tcBorders>
          </w:tcPr>
          <w:p>
            <w:pPr>
              <w:spacing w:after="0"/>
              <w:rPr>
                <w:sz w:val="18"/>
                <w:szCs w:val="18"/>
                <w:color w:val="auto"/>
              </w:rPr>
            </w:pPr>
          </w:p>
        </w:tc>
        <w:tc>
          <w:tcPr>
            <w:tcW w:w="520" w:type="dxa"/>
            <w:vAlign w:val="bottom"/>
            <w:tcBorders>
              <w:top w:val="single" w:sz="8" w:color="CCECFF"/>
            </w:tcBorders>
          </w:tcPr>
          <w:p>
            <w:pPr>
              <w:spacing w:after="0"/>
              <w:rPr>
                <w:sz w:val="18"/>
                <w:szCs w:val="18"/>
                <w:color w:val="auto"/>
              </w:rPr>
            </w:pPr>
          </w:p>
        </w:tc>
        <w:tc>
          <w:tcPr>
            <w:tcW w:w="40" w:type="dxa"/>
            <w:vAlign w:val="bottom"/>
            <w:tcBorders>
              <w:top w:val="single" w:sz="8" w:color="CCECFF"/>
            </w:tcBorders>
          </w:tcPr>
          <w:p>
            <w:pPr>
              <w:spacing w:after="0"/>
              <w:rPr>
                <w:sz w:val="18"/>
                <w:szCs w:val="18"/>
                <w:color w:val="auto"/>
              </w:rPr>
            </w:pPr>
          </w:p>
        </w:tc>
        <w:tc>
          <w:tcPr>
            <w:tcW w:w="4300" w:type="dxa"/>
            <w:vAlign w:val="bottom"/>
            <w:tcBorders>
              <w:top w:val="single" w:sz="8" w:color="CCECFF"/>
            </w:tcBorders>
          </w:tcPr>
          <w:p>
            <w:pPr>
              <w:spacing w:after="0"/>
              <w:rPr>
                <w:sz w:val="18"/>
                <w:szCs w:val="18"/>
                <w:color w:val="auto"/>
              </w:rPr>
            </w:pPr>
          </w:p>
        </w:tc>
        <w:tc>
          <w:tcPr>
            <w:tcW w:w="1160" w:type="dxa"/>
            <w:vAlign w:val="bottom"/>
            <w:tcBorders>
              <w:top w:val="single" w:sz="8" w:color="CCEC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gridSpan w:val="3"/>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w w:val="99"/>
              </w:rPr>
              <w:t>Defined benefit plan activity</w:t>
            </w:r>
          </w:p>
        </w:tc>
        <w:tc>
          <w:tcPr>
            <w:tcW w:w="4300" w:type="dxa"/>
            <w:vAlign w:val="bottom"/>
            <w:tcBorders>
              <w:bottom w:val="single" w:sz="8" w:color="CCECFF"/>
            </w:tcBorders>
            <w:shd w:val="clear" w:color="auto" w:fill="CCECFF"/>
          </w:tcPr>
          <w:p>
            <w:pPr>
              <w:spacing w:after="0"/>
              <w:rPr>
                <w:sz w:val="17"/>
                <w:szCs w:val="17"/>
                <w:color w:val="auto"/>
              </w:rPr>
            </w:pPr>
          </w:p>
        </w:tc>
        <w:tc>
          <w:tcPr>
            <w:tcW w:w="116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CCECFF"/>
            </w:tcBorders>
            <w:shd w:val="clear" w:color="auto" w:fill="CCECFF"/>
          </w:tcPr>
          <w:p>
            <w:pPr>
              <w:spacing w:after="0"/>
              <w:rPr>
                <w:sz w:val="17"/>
                <w:szCs w:val="17"/>
                <w:color w:val="auto"/>
              </w:rPr>
            </w:pPr>
          </w:p>
        </w:tc>
        <w:tc>
          <w:tcPr>
            <w:tcW w:w="78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138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88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CFF"/>
          </w:tcPr>
          <w:p>
            <w:pPr>
              <w:spacing w:after="0"/>
              <w:rPr>
                <w:sz w:val="18"/>
                <w:szCs w:val="18"/>
                <w:color w:val="auto"/>
              </w:rPr>
            </w:pPr>
          </w:p>
        </w:tc>
        <w:tc>
          <w:tcPr>
            <w:tcW w:w="1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CFF"/>
          </w:tcPr>
          <w:p>
            <w:pPr>
              <w:spacing w:after="0"/>
              <w:rPr>
                <w:sz w:val="18"/>
                <w:szCs w:val="18"/>
                <w:color w:val="auto"/>
              </w:rPr>
            </w:pPr>
          </w:p>
        </w:tc>
        <w:tc>
          <w:tcPr>
            <w:tcW w:w="88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0"/>
        </w:trPr>
        <w:tc>
          <w:tcPr>
            <w:tcW w:w="1520" w:type="dxa"/>
            <w:vAlign w:val="bottom"/>
            <w:tcBorders>
              <w:top w:val="single" w:sz="8" w:color="CCECFF"/>
            </w:tcBorders>
          </w:tcPr>
          <w:p>
            <w:pPr>
              <w:spacing w:after="0"/>
              <w:rPr>
                <w:sz w:val="18"/>
                <w:szCs w:val="18"/>
                <w:color w:val="auto"/>
              </w:rPr>
            </w:pPr>
          </w:p>
        </w:tc>
        <w:tc>
          <w:tcPr>
            <w:tcW w:w="520" w:type="dxa"/>
            <w:vAlign w:val="bottom"/>
            <w:tcBorders>
              <w:top w:val="single" w:sz="8" w:color="CCECFF"/>
            </w:tcBorders>
          </w:tcPr>
          <w:p>
            <w:pPr>
              <w:spacing w:after="0"/>
              <w:rPr>
                <w:sz w:val="18"/>
                <w:szCs w:val="18"/>
                <w:color w:val="auto"/>
              </w:rPr>
            </w:pPr>
          </w:p>
        </w:tc>
        <w:tc>
          <w:tcPr>
            <w:tcW w:w="40" w:type="dxa"/>
            <w:vAlign w:val="bottom"/>
            <w:tcBorders>
              <w:top w:val="single" w:sz="8" w:color="CCECFF"/>
            </w:tcBorders>
          </w:tcPr>
          <w:p>
            <w:pPr>
              <w:spacing w:after="0"/>
              <w:rPr>
                <w:sz w:val="18"/>
                <w:szCs w:val="18"/>
                <w:color w:val="auto"/>
              </w:rPr>
            </w:pPr>
          </w:p>
        </w:tc>
        <w:tc>
          <w:tcPr>
            <w:tcW w:w="4300" w:type="dxa"/>
            <w:vAlign w:val="bottom"/>
            <w:tcBorders>
              <w:top w:val="single" w:sz="8" w:color="CCECFF"/>
            </w:tcBorders>
          </w:tcPr>
          <w:p>
            <w:pPr>
              <w:spacing w:after="0"/>
              <w:rPr>
                <w:sz w:val="18"/>
                <w:szCs w:val="18"/>
                <w:color w:val="auto"/>
              </w:rPr>
            </w:pPr>
          </w:p>
        </w:tc>
        <w:tc>
          <w:tcPr>
            <w:tcW w:w="1160" w:type="dxa"/>
            <w:vAlign w:val="bottom"/>
            <w:tcBorders>
              <w:top w:val="single" w:sz="8" w:color="CCEC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auto"/>
            </w:tcBorders>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w w:val="99"/>
              </w:rPr>
              <w:t>Hedging instruments</w:t>
            </w:r>
          </w:p>
        </w:tc>
        <w:tc>
          <w:tcPr>
            <w:tcW w:w="4860" w:type="dxa"/>
            <w:vAlign w:val="bottom"/>
            <w:tcBorders>
              <w:bottom w:val="single" w:sz="8" w:color="CCECFF"/>
            </w:tcBorders>
            <w:gridSpan w:val="3"/>
            <w:shd w:val="clear" w:color="auto" w:fill="CCECFF"/>
          </w:tcPr>
          <w:p>
            <w:pPr>
              <w:spacing w:after="0"/>
              <w:rPr>
                <w:sz w:val="17"/>
                <w:szCs w:val="17"/>
                <w:color w:val="auto"/>
              </w:rPr>
            </w:pPr>
          </w:p>
        </w:tc>
        <w:tc>
          <w:tcPr>
            <w:tcW w:w="116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CCECFF"/>
            </w:tcBorders>
            <w:shd w:val="clear" w:color="auto" w:fill="CCECFF"/>
          </w:tcPr>
          <w:p>
            <w:pPr>
              <w:spacing w:after="0"/>
              <w:rPr>
                <w:sz w:val="17"/>
                <w:szCs w:val="17"/>
                <w:color w:val="auto"/>
              </w:rPr>
            </w:pPr>
          </w:p>
        </w:tc>
        <w:tc>
          <w:tcPr>
            <w:tcW w:w="78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3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138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6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88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CFF"/>
          </w:tcPr>
          <w:p>
            <w:pPr>
              <w:spacing w:after="0"/>
              <w:rPr>
                <w:sz w:val="18"/>
                <w:szCs w:val="18"/>
                <w:color w:val="auto"/>
              </w:rPr>
            </w:pPr>
          </w:p>
        </w:tc>
        <w:tc>
          <w:tcPr>
            <w:tcW w:w="1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CFF"/>
          </w:tcPr>
          <w:p>
            <w:pPr>
              <w:spacing w:after="0"/>
              <w:rPr>
                <w:sz w:val="18"/>
                <w:szCs w:val="18"/>
                <w:color w:val="auto"/>
              </w:rPr>
            </w:pPr>
          </w:p>
        </w:tc>
        <w:tc>
          <w:tcPr>
            <w:tcW w:w="88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1520" w:type="dxa"/>
            <w:vAlign w:val="bottom"/>
            <w:shd w:val="clear" w:color="auto" w:fill="CCECFF"/>
          </w:tcPr>
          <w:p>
            <w:pPr>
              <w:spacing w:after="0" w:line="20" w:lineRule="exact"/>
              <w:rPr>
                <w:sz w:val="1"/>
                <w:szCs w:val="1"/>
                <w:color w:val="auto"/>
              </w:rPr>
            </w:pPr>
          </w:p>
        </w:tc>
        <w:tc>
          <w:tcPr>
            <w:tcW w:w="520" w:type="dxa"/>
            <w:vAlign w:val="bottom"/>
            <w:shd w:val="clear" w:color="auto" w:fill="CCECFF"/>
          </w:tcPr>
          <w:p>
            <w:pPr>
              <w:spacing w:after="0" w:line="20" w:lineRule="exact"/>
              <w:rPr>
                <w:sz w:val="1"/>
                <w:szCs w:val="1"/>
                <w:color w:val="auto"/>
              </w:rPr>
            </w:pPr>
          </w:p>
        </w:tc>
        <w:tc>
          <w:tcPr>
            <w:tcW w:w="40" w:type="dxa"/>
            <w:vAlign w:val="bottom"/>
            <w:shd w:val="clear" w:color="auto" w:fill="CCECFF"/>
          </w:tcPr>
          <w:p>
            <w:pPr>
              <w:spacing w:after="0" w:line="20" w:lineRule="exact"/>
              <w:rPr>
                <w:sz w:val="1"/>
                <w:szCs w:val="1"/>
                <w:color w:val="auto"/>
              </w:rPr>
            </w:pPr>
          </w:p>
        </w:tc>
        <w:tc>
          <w:tcPr>
            <w:tcW w:w="4300" w:type="dxa"/>
            <w:vAlign w:val="bottom"/>
            <w:shd w:val="clear" w:color="auto" w:fill="CCECFF"/>
          </w:tcPr>
          <w:p>
            <w:pPr>
              <w:spacing w:after="0" w:line="20" w:lineRule="exact"/>
              <w:rPr>
                <w:sz w:val="1"/>
                <w:szCs w:val="1"/>
                <w:color w:val="auto"/>
              </w:rPr>
            </w:pPr>
          </w:p>
        </w:tc>
        <w:tc>
          <w:tcPr>
            <w:tcW w:w="116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AOCL at end of period</w:t>
            </w:r>
          </w:p>
        </w:tc>
        <w:tc>
          <w:tcPr>
            <w:tcW w:w="1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(118.7)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-3325495</wp:posOffset>
            </wp:positionV>
            <wp:extent cx="1714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-3308350</wp:posOffset>
            </wp:positionV>
            <wp:extent cx="1714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-1851025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-1010920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$2.2 million of foreign currency translation related to the divestiture of the OneCell business was reclassified from net AOCL and recorded in other on the Consolidated Statements of Operations. During the year ended December 31, 2025 and 2024, $97.9 million and $27.4 million, respectively, of foreign currency translation related to the divestitures of the Company’s discontinued operations were reclassified from net AOCL and recorded in the gain (loss) on disposal of discontinued operations before income taxes, included in income (loss) from discontinued operations, net of income taxes, on the Consolidated Statements of Operations. In addition, $2.3 million of net losses remaining as a component of net AOCL related to the discontinued interest rate hedging instruments, was reclassified from net AOCL and recorded in interest expense, included in income (loss) from discontinued operations, net of income taxes on the Consolidated Statements of Operations. For further discussions of the Company’s divestitures, see Note 4 included in these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2"/>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60" w:type="dxa"/>
            <w:vAlign w:val="bottom"/>
            <w:tcBorders>
              <w:top w:val="single" w:sz="8" w:color="auto"/>
            </w:tcBorders>
            <w:shd w:val="clear" w:color="auto" w:fill="CCECFF"/>
          </w:tcPr>
          <w:p>
            <w:pPr>
              <w:spacing w:after="0"/>
              <w:rPr>
                <w:sz w:val="18"/>
                <w:szCs w:val="18"/>
                <w:color w:val="auto"/>
              </w:rPr>
            </w:pPr>
          </w:p>
        </w:tc>
        <w:tc>
          <w:tcPr>
            <w:tcW w:w="20" w:type="dxa"/>
            <w:vAlign w:val="bottom"/>
            <w:tcBorders>
              <w:top w:val="single" w:sz="8" w:color="auto"/>
            </w:tcBorders>
            <w:shd w:val="clear" w:color="auto" w:fill="CCECFF"/>
          </w:tcPr>
          <w:p>
            <w:pPr>
              <w:spacing w:after="0"/>
              <w:rPr>
                <w:sz w:val="18"/>
                <w:szCs w:val="18"/>
                <w:color w:val="auto"/>
              </w:rPr>
            </w:pPr>
          </w:p>
        </w:tc>
        <w:tc>
          <w:tcPr>
            <w:tcW w:w="560" w:type="dxa"/>
            <w:vAlign w:val="bottom"/>
            <w:tcBorders>
              <w:top w:val="single" w:sz="8" w:color="auto"/>
            </w:tcBorders>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00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22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34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100.4</w:t>
            </w:r>
          </w:p>
        </w:tc>
        <w:tc>
          <w:tcPr>
            <w:tcW w:w="2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shd w:val="clear" w:color="auto" w:fill="CCECFF"/>
          </w:tcPr>
          <w:p>
            <w:pPr>
              <w:spacing w:after="0"/>
              <w:rPr>
                <w:sz w:val="18"/>
                <w:szCs w:val="18"/>
                <w:color w:val="auto"/>
              </w:rPr>
            </w:pPr>
          </w:p>
        </w:tc>
        <w:tc>
          <w:tcPr>
            <w:tcW w:w="5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34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4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649.8</w:t>
            </w: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8"/>
                <w:szCs w:val="18"/>
                <w:color w:val="auto"/>
              </w:rPr>
              <w:t>Equity method investment from divestiture</w:t>
            </w:r>
          </w:p>
        </w:tc>
        <w:tc>
          <w:tcPr>
            <w:tcW w:w="86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4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FINANCING</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42"/>
        </w:trPr>
        <w:tc>
          <w:tcPr>
            <w:tcW w:w="6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r>
      <w:tr>
        <w:trPr>
          <w:trHeight w:val="210"/>
        </w:trPr>
        <w:tc>
          <w:tcPr>
            <w:tcW w:w="6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7.125% senior notes due July 2028</w:t>
            </w:r>
          </w:p>
        </w:tc>
        <w:tc>
          <w:tcPr>
            <w:tcW w:w="860" w:type="dxa"/>
            <w:vAlign w:val="bottom"/>
            <w:shd w:val="clear" w:color="auto" w:fill="CCECFF"/>
          </w:tcPr>
          <w:p>
            <w:pPr>
              <w:spacing w:after="0"/>
              <w:rPr>
                <w:sz w:val="18"/>
                <w:szCs w:val="18"/>
                <w:color w:val="auto"/>
              </w:rPr>
            </w:pPr>
          </w:p>
        </w:tc>
        <w:tc>
          <w:tcPr>
            <w:tcW w:w="580" w:type="dxa"/>
            <w:vAlign w:val="bottom"/>
            <w:gridSpan w:val="2"/>
            <w:shd w:val="clear" w:color="auto" w:fill="CCEC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5.00% senior notes due March 2027</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8.25% senior notes due March 2027</w:t>
            </w:r>
          </w:p>
        </w:tc>
        <w:tc>
          <w:tcPr>
            <w:tcW w:w="86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9.50% senior secured notes due December 2031</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4.75% senior secured notes due September 2029</w:t>
            </w:r>
          </w:p>
        </w:tc>
        <w:tc>
          <w:tcPr>
            <w:tcW w:w="86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6.00% senior secured notes due March 2026</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6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Senior secured term loan due December 2029</w:t>
            </w:r>
          </w:p>
        </w:tc>
        <w:tc>
          <w:tcPr>
            <w:tcW w:w="86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tcPr>
          <w:p>
            <w:pPr>
              <w:spacing w:after="0"/>
              <w:rPr>
                <w:sz w:val="18"/>
                <w:szCs w:val="18"/>
                <w:color w:val="auto"/>
              </w:rPr>
            </w:pPr>
          </w:p>
        </w:tc>
      </w:tr>
      <w:tr>
        <w:trPr>
          <w:trHeight w:val="210"/>
        </w:trPr>
        <w:tc>
          <w:tcPr>
            <w:tcW w:w="6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86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7,359.5</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9,358.5</w:t>
            </w:r>
          </w:p>
        </w:tc>
        <w:tc>
          <w:tcPr>
            <w:tcW w:w="100" w:type="dxa"/>
            <w:vAlign w:val="bottom"/>
            <w:shd w:val="clear" w:color="auto" w:fill="CCEC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 Original issue discount, net of amortization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61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Less: Debt issuance costs, net of amortization</w:t>
            </w:r>
          </w:p>
        </w:tc>
        <w:tc>
          <w:tcPr>
            <w:tcW w:w="86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44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1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860" w:type="dxa"/>
            <w:vAlign w:val="bottom"/>
            <w:tcBorders>
              <w:bottom w:val="single" w:sz="8" w:color="CCECFF"/>
            </w:tcBorders>
            <w:shd w:val="clear" w:color="auto" w:fill="CCECFF"/>
          </w:tcPr>
          <w:p>
            <w:pPr>
              <w:spacing w:after="0"/>
              <w:rPr>
                <w:sz w:val="21"/>
                <w:szCs w:val="21"/>
                <w:color w:val="auto"/>
              </w:rPr>
            </w:pPr>
          </w:p>
        </w:tc>
        <w:tc>
          <w:tcPr>
            <w:tcW w:w="20" w:type="dxa"/>
            <w:vAlign w:val="bottom"/>
            <w:tcBorders>
              <w:bottom w:val="single" w:sz="8" w:color="CCECFF"/>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7,260.2</w:t>
            </w:r>
          </w:p>
        </w:tc>
        <w:tc>
          <w:tcPr>
            <w:tcW w:w="100" w:type="dxa"/>
            <w:vAlign w:val="bottom"/>
            <w:tcBorders>
              <w:bottom w:val="single" w:sz="8" w:color="auto"/>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9,238.4</w:t>
            </w:r>
          </w:p>
        </w:tc>
        <w:tc>
          <w:tcPr>
            <w:tcW w:w="100" w:type="dxa"/>
            <w:vAlign w:val="bottom"/>
            <w:tcBorders>
              <w:bottom w:val="single" w:sz="8" w:color="auto"/>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1460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14605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January 2025, the Company used the proceeds from the sale of the OWN segment and DAS business unit to pay fees and expenses associated with the transaction and to repay the outstanding amount of $250.0 million under the Company’s asset-based revolving credit facility (the Revolving Credit Facility). In connection with the repayment of all outstanding amounts under the Revolving Credit Facility, the committed amount thereunder was reduced to $750.0 million, subject to borrowing base limitations. In addition, in February 2025, the Company repurchased $299.0 million in aggregate principal amount of the 4.75% senior secured notes due September 1, 2029 (the 2029 Secured Notes) and repurchased in full the $1,500.0 million outstanding amount of the 6.00% senior secured notes due March 1, 2026 (the 2026 Secured Notes) with the proceeds from the sale. Following the repurchases, $951.0 million in aggregate principal amount of the 2029 Secured Notes remained outstanding, and the indenture governing the 2026 Secured Notes was satisfied and discharged. Following the consummation of the repurchases in February 2025, the conditions precedent were met for a 25 basis point reduction in the applicable margin on the senior secured term loan due December 2029 (the 2029 Term Loan).</w:t>
      </w:r>
    </w:p>
    <w:p>
      <w:pPr>
        <w:spacing w:after="0" w:line="18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CCS segment that was completed subsequent to fiscal year end on January 9, 2026, the Company repaid in full all outstanding indebtedness. For further discussion of the sale of the CCS segment, see Note 19 in these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dependent upon the earnings and cash flow of its subsidiaries to make certain payments, including debt and interest payments. Certain subsidiaries may have limitations or restrictions on transferring funds to other subsidiaries that may be necessary to meet those requirements.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effective interest rate on outstanding borrowings, including the impact of the interest rate swap contracts and the amortization of debt issuance costs and original issue discount, was 8.13% and 8.09% at December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December 31, 2025 and 2024 were considered representative of their fair values due to their short terms to maturity. The fair values of the Company’s debt instruments, interest rate swap contracts and foreign currency contracts were based on indicative quotes.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the Company’s debt instruments, interest rate derivatives and foreign currency contracts as of December 31, 2025 and 2024,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9"/>
        </w:trPr>
        <w:tc>
          <w:tcPr>
            <w:tcW w:w="49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1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7.125% senior notes due 2028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5.00% senior notes due 2027</w:t>
            </w:r>
          </w:p>
        </w:tc>
        <w:tc>
          <w:tcPr>
            <w:tcW w:w="1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300" w:type="dxa"/>
            <w:vAlign w:val="bottom"/>
            <w:shd w:val="clear" w:color="auto" w:fill="CCECFF"/>
          </w:tcPr>
          <w:p>
            <w:pPr>
              <w:spacing w:after="0"/>
              <w:rPr>
                <w:sz w:val="18"/>
                <w:szCs w:val="1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8.25% senior notes due 2027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9.50% senior secured notes due 2031</w:t>
            </w:r>
          </w:p>
        </w:tc>
        <w:tc>
          <w:tcPr>
            <w:tcW w:w="1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300" w:type="dxa"/>
            <w:vAlign w:val="bottom"/>
            <w:shd w:val="clear" w:color="auto" w:fill="CCECFF"/>
          </w:tcPr>
          <w:p>
            <w:pPr>
              <w:spacing w:after="0"/>
              <w:rPr>
                <w:sz w:val="18"/>
                <w:szCs w:val="1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4.75% senior secured notes due 2029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6.00% senior secured notes due 2026</w:t>
            </w:r>
          </w:p>
        </w:tc>
        <w:tc>
          <w:tcPr>
            <w:tcW w:w="1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300" w:type="dxa"/>
            <w:vAlign w:val="bottom"/>
            <w:shd w:val="clear" w:color="auto" w:fill="CCECFF"/>
          </w:tcPr>
          <w:p>
            <w:pPr>
              <w:spacing w:after="0"/>
              <w:rPr>
                <w:sz w:val="18"/>
                <w:szCs w:val="1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secured term loan due 2029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3,189.4</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00" w:type="dxa"/>
            <w:vAlign w:val="bottom"/>
            <w:shd w:val="clear" w:color="auto" w:fill="CCECFF"/>
          </w:tcPr>
          <w:p>
            <w:pPr>
              <w:spacing w:after="0"/>
              <w:rPr>
                <w:sz w:val="18"/>
                <w:szCs w:val="1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9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CFF"/>
          </w:tcPr>
          <w:p>
            <w:pPr>
              <w:spacing w:after="0"/>
              <w:rPr>
                <w:sz w:val="18"/>
                <w:szCs w:val="18"/>
                <w:color w:val="auto"/>
              </w:rPr>
            </w:pP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non-recurring fair value measurement discussions related to the discontinued operations, see Note 4 in these consolidated financial statements.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recognized a loss on impairment of unutilized real estate within restructuring costs, net on the Consolidated Statements of Operations. The fair value was determined using Level 3 valuation inputs.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recorded the assets acquired and liabilities assumed from the Casa transaction during the second quarter of 2024, as well as the respective measurement adjustments in the third and fourth quarters of 2024, and first quarter of 2025. The fair values were determined using Level 3 valuation inputs. See Note 3 in these consolidated financial statements.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RESTRUCTURING COSTS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net pretax restructuring activity included in restructuring costs, net on the Consolidated Statements of Operations, by segment, was as follows:</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50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RUCKUS</w:t>
            </w:r>
          </w:p>
        </w:tc>
        <w:tc>
          <w:tcPr>
            <w:tcW w:w="740" w:type="dxa"/>
            <w:vAlign w:val="bottom"/>
            <w:gridSpan w:val="2"/>
            <w:shd w:val="clear" w:color="auto" w:fill="CCECFF"/>
          </w:tcPr>
          <w:p>
            <w:pPr>
              <w:jc w:val="right"/>
              <w:ind w:right="58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CFF"/>
          </w:tcPr>
          <w:p>
            <w:pPr>
              <w:spacing w:after="0"/>
              <w:rPr>
                <w:sz w:val="18"/>
                <w:szCs w:val="18"/>
                <w:color w:val="auto"/>
              </w:rPr>
            </w:pPr>
          </w:p>
        </w:tc>
        <w:tc>
          <w:tcPr>
            <w:tcW w:w="2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C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Aurora</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060" w:type="dxa"/>
            <w:vAlign w:val="bottom"/>
            <w:tcBorders>
              <w:bottom w:val="single" w:sz="8" w:color="CCECFF"/>
            </w:tcBorders>
            <w:shd w:val="clear" w:color="auto" w:fill="CCEC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CCECFF"/>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auto"/>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58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-170815</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51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28" w:lineRule="exact"/>
        <w:rPr>
          <w:sz w:val="20"/>
          <w:szCs w:val="20"/>
          <w:color w:val="auto"/>
        </w:rPr>
      </w:pPr>
    </w:p>
    <w:p>
      <w:pPr>
        <w:ind w:left="1560" w:right="40" w:hanging="504"/>
        <w:spacing w:after="0" w:line="254" w:lineRule="auto"/>
        <w:tabs>
          <w:tab w:leader="none" w:pos="15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line item above reflects general corporate restructuring costs that were previously allocated to the CCS segment, OWN segment, DAS business unit and Home segment. These indirect expenses have been classified as continuing operations for all periods presented since the costs were not directly attributable to these discontinued operations. Beginning in the first quarter of 2024, the corporate and other costs related to the Home segment have been reallocated to the Company’s remaining segments and partially offset by income from the Vantiva TSA.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will be reallocated to the Company’s remaining segments beginning in the first quarter of 2026.</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make cash payments of $4.6 million in 2026 and $0.3 million during 2027 to settle these restructuring actions. Additional restructuring actions related to the transformation initiative are expected to be identified, and the resulting charges and cash requirements could be material.</w:t>
      </w:r>
    </w:p>
    <w:p>
      <w:pPr>
        <w:spacing w:after="0" w:line="266" w:lineRule="exact"/>
        <w:rPr>
          <w:sz w:val="20"/>
          <w:szCs w:val="20"/>
          <w:color w:val="auto"/>
        </w:rPr>
      </w:pPr>
    </w:p>
    <w:p>
      <w:pPr>
        <w:ind w:right="8320" w:firstLine="8"/>
        <w:spacing w:after="0" w:line="378" w:lineRule="auto"/>
        <w:tabs>
          <w:tab w:leader="none" w:pos="40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Defined Contribution Plans</w:t>
      </w: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and certain of its subsidiaries have defined contribution retirement savings plans, the most significant of which is a 401(k) plan in the U.S. These plans allow employees meeting certain requirements to contribute a portion of their compensation on a pretax and/or after-tax basis in accordance with guidelines established by the plans and the Internal Revenue Service or other tax authorities. The Company matches a percentage of the employee contributions up to certain limits. During the years ended December 31, 2025, 2024 and 2023, the Company made contributions to defined contribution retirement savings plans of $8.4 million, $13.4 million and $8.9 million, respectively.</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also maintains noncontributory and contributory deferred compensation plans. During the years ended December 31, 2025, 2024 and 2023, the Company recognized pretax costs (benefits) of $(0.1) million, $(0.8) million and $0.7 million, respectively, related to these plans. The liability related to these plans was $7.3 million and $9.5 million as of December 31, 2025 and 2024, respectively.</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includes the results from domestic and international operations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U.S. companies</w:t>
            </w:r>
          </w:p>
        </w:tc>
        <w:tc>
          <w:tcPr>
            <w:tcW w:w="2800" w:type="dxa"/>
            <w:vAlign w:val="bottom"/>
            <w:gridSpan w:val="2"/>
            <w:shd w:val="clear" w:color="auto" w:fill="CCEC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(298.9)</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(575.1)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Non-U.S. companies</w:t>
            </w:r>
          </w:p>
        </w:tc>
        <w:tc>
          <w:tcPr>
            <w:tcW w:w="20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50"/>
        </w:trPr>
        <w:tc>
          <w:tcPr>
            <w:tcW w:w="5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800" w:type="dxa"/>
            <w:vAlign w:val="bottom"/>
            <w:gridSpan w:val="2"/>
            <w:shd w:val="clear" w:color="auto" w:fill="CCEC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5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(272.9)</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(573.0)</w:t>
            </w:r>
          </w:p>
        </w:tc>
      </w:tr>
      <w:tr>
        <w:trPr>
          <w:trHeight w:val="844"/>
        </w:trPr>
        <w:tc>
          <w:tcPr>
            <w:tcW w:w="5020" w:type="dxa"/>
            <w:vAlign w:val="bottom"/>
            <w:tcBorders>
              <w:top w:val="single" w:sz="8" w:color="CCECFF"/>
            </w:tcBorders>
          </w:tcPr>
          <w:p>
            <w:pPr>
              <w:spacing w:after="0"/>
              <w:rPr>
                <w:sz w:val="24"/>
                <w:szCs w:val="24"/>
                <w:color w:val="auto"/>
              </w:rPr>
            </w:pPr>
          </w:p>
        </w:tc>
        <w:tc>
          <w:tcPr>
            <w:tcW w:w="2000" w:type="dxa"/>
            <w:vAlign w:val="bottom"/>
            <w:tcBorders>
              <w:top w:val="single" w:sz="8" w:color="CCECFF"/>
            </w:tcBorders>
          </w:tcPr>
          <w:p>
            <w:pPr>
              <w:jc w:val="right"/>
              <w:ind w:right="1210"/>
              <w:spacing w:after="0"/>
              <w:rPr>
                <w:sz w:val="20"/>
                <w:szCs w:val="20"/>
                <w:color w:val="auto"/>
              </w:rPr>
            </w:pPr>
            <w:r>
              <w:rPr>
                <w:rFonts w:ascii="Times New Roman" w:cs="Times New Roman" w:eastAsia="Times New Roman" w:hAnsi="Times New Roman"/>
                <w:sz w:val="18"/>
                <w:szCs w:val="18"/>
                <w:color w:val="auto"/>
              </w:rPr>
              <w:t>87</w:t>
            </w:r>
          </w:p>
        </w:tc>
        <w:tc>
          <w:tcPr>
            <w:tcW w:w="8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2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763"/>
        </w:trPr>
        <w:tc>
          <w:tcPr>
            <w:tcW w:w="50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-1070610</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-1053465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-1070610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-1053465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(benefit)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Current:</w:t>
            </w:r>
          </w:p>
        </w:tc>
        <w:tc>
          <w:tcPr>
            <w:tcW w:w="2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(130.5)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8"/>
                <w:szCs w:val="18"/>
                <w:color w:val="auto"/>
              </w:rPr>
            </w:pPr>
          </w:p>
        </w:tc>
      </w:tr>
      <w:tr>
        <w:trPr>
          <w:trHeight w:val="216"/>
        </w:trPr>
        <w:tc>
          <w:tcPr>
            <w:tcW w:w="4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CFF"/>
          </w:tcPr>
          <w:p>
            <w:pPr>
              <w:spacing w:after="0"/>
              <w:rPr>
                <w:sz w:val="18"/>
                <w:szCs w:val="18"/>
                <w:color w:val="auto"/>
              </w:rPr>
            </w:pPr>
          </w:p>
        </w:tc>
      </w:tr>
      <w:tr>
        <w:trPr>
          <w:trHeight w:val="216"/>
        </w:trPr>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8"/>
                <w:szCs w:val="18"/>
                <w:color w:val="auto"/>
              </w:rPr>
              <w:t>(121.7)</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(77.5)</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CFF"/>
          </w:tcPr>
          <w:p>
            <w:pPr>
              <w:spacing w:after="0"/>
              <w:rPr>
                <w:sz w:val="18"/>
                <w:szCs w:val="18"/>
                <w:color w:val="auto"/>
              </w:rPr>
            </w:pPr>
          </w:p>
        </w:tc>
      </w:tr>
      <w:tr>
        <w:trPr>
          <w:trHeight w:val="209"/>
        </w:trPr>
        <w:tc>
          <w:tcPr>
            <w:tcW w:w="492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2100" w:type="dxa"/>
            <w:vAlign w:val="bottom"/>
            <w:tcBorders>
              <w:top w:val="single" w:sz="8" w:color="CCEC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C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C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r>
      <w:tr>
        <w:trPr>
          <w:trHeight w:val="216"/>
        </w:trPr>
        <w:tc>
          <w:tcPr>
            <w:tcW w:w="4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49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21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CFF"/>
          </w:tcPr>
          <w:p>
            <w:pPr>
              <w:spacing w:after="0"/>
              <w:rPr>
                <w:sz w:val="18"/>
                <w:szCs w:val="18"/>
                <w:color w:val="auto"/>
              </w:rPr>
            </w:pPr>
          </w:p>
        </w:tc>
      </w:tr>
      <w:tr>
        <w:trPr>
          <w:trHeight w:val="20"/>
        </w:trPr>
        <w:tc>
          <w:tcPr>
            <w:tcW w:w="4920" w:type="dxa"/>
            <w:vAlign w:val="bottom"/>
            <w:shd w:val="clear" w:color="auto" w:fill="CCECFF"/>
          </w:tcPr>
          <w:p>
            <w:pPr>
              <w:spacing w:after="0" w:line="20" w:lineRule="exact"/>
              <w:rPr>
                <w:sz w:val="1"/>
                <w:szCs w:val="1"/>
                <w:color w:val="auto"/>
              </w:rPr>
            </w:pPr>
          </w:p>
        </w:tc>
        <w:tc>
          <w:tcPr>
            <w:tcW w:w="21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(147.7)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4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8"/>
                <w:szCs w:val="18"/>
                <w:color w:val="auto"/>
              </w:rPr>
              <w:t>(269.4)</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(66.9)</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CFF"/>
          </w:tcPr>
          <w:p>
            <w:pPr>
              <w:spacing w:after="0"/>
              <w:rPr>
                <w:sz w:val="19"/>
                <w:szCs w:val="19"/>
                <w:color w:val="auto"/>
              </w:rPr>
            </w:pPr>
          </w:p>
        </w:tc>
      </w:tr>
      <w:tr>
        <w:trPr>
          <w:trHeight w:val="20"/>
        </w:trPr>
        <w:tc>
          <w:tcPr>
            <w:tcW w:w="4920" w:type="dxa"/>
            <w:vAlign w:val="bottom"/>
            <w:tcBorders>
              <w:top w:val="single" w:sz="8" w:color="CCECFF"/>
            </w:tcBorders>
            <w:shd w:val="clear" w:color="auto" w:fill="CCECFF"/>
          </w:tcPr>
          <w:p>
            <w:pPr>
              <w:spacing w:after="0" w:line="20" w:lineRule="exact"/>
              <w:rPr>
                <w:sz w:val="1"/>
                <w:szCs w:val="1"/>
                <w:color w:val="auto"/>
              </w:rPr>
            </w:pPr>
          </w:p>
        </w:tc>
        <w:tc>
          <w:tcPr>
            <w:tcW w:w="21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-873760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-873760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-316230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-316230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effective income tax rate reconciliation for the year ended December 31, 2025 (ASU 2023-09) (Prospective Adoption):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 Statutory</w:t>
            </w: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209"/>
        </w:trPr>
        <w:tc>
          <w:tcPr>
            <w:tcW w:w="8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Pre-tax book income</w:t>
            </w:r>
          </w:p>
        </w:tc>
        <w:tc>
          <w:tcPr>
            <w:tcW w:w="260" w:type="dxa"/>
            <w:vAlign w:val="bottom"/>
            <w:tcBorders>
              <w:top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CECFF"/>
          </w:tcPr>
          <w:p>
            <w:pPr>
              <w:spacing w:after="0"/>
              <w:rPr>
                <w:sz w:val="18"/>
                <w:szCs w:val="18"/>
                <w:color w:val="auto"/>
              </w:rPr>
            </w:pPr>
          </w:p>
        </w:tc>
        <w:tc>
          <w:tcPr>
            <w:tcW w:w="1420" w:type="dxa"/>
            <w:vAlign w:val="bottom"/>
            <w:tcBorders>
              <w:top w:val="single" w:sz="8" w:color="auto"/>
            </w:tcBorders>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6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CFF"/>
          </w:tcPr>
          <w:p>
            <w:pPr>
              <w:spacing w:after="0"/>
              <w:rPr>
                <w:sz w:val="18"/>
                <w:szCs w:val="18"/>
                <w:color w:val="auto"/>
              </w:rPr>
            </w:pPr>
          </w:p>
        </w:tc>
        <w:tc>
          <w:tcPr>
            <w:tcW w:w="1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6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Statutory tax rate difference between United Kingdom &amp; United States</w:t>
            </w:r>
          </w:p>
        </w:tc>
        <w:tc>
          <w:tcPr>
            <w:tcW w:w="26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CFF"/>
          </w:tcPr>
          <w:p>
            <w:pPr>
              <w:spacing w:after="0"/>
              <w:rPr>
                <w:sz w:val="18"/>
                <w:szCs w:val="18"/>
                <w:color w:val="auto"/>
              </w:rPr>
            </w:pPr>
          </w:p>
        </w:tc>
        <w:tc>
          <w:tcPr>
            <w:tcW w:w="1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tax credit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CFF"/>
          </w:tcPr>
          <w:p>
            <w:pPr>
              <w:spacing w:after="0"/>
              <w:rPr>
                <w:sz w:val="18"/>
                <w:szCs w:val="18"/>
                <w:color w:val="auto"/>
              </w:rPr>
            </w:pPr>
          </w:p>
        </w:tc>
        <w:tc>
          <w:tcPr>
            <w:tcW w:w="1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Subpart F income net of U.S. foreign tax credits</w:t>
            </w:r>
          </w:p>
        </w:tc>
        <w:tc>
          <w:tcPr>
            <w:tcW w:w="26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CFF"/>
          </w:tcPr>
          <w:p>
            <w:pPr>
              <w:spacing w:after="0"/>
              <w:rPr>
                <w:sz w:val="18"/>
                <w:szCs w:val="18"/>
                <w:color w:val="auto"/>
              </w:rPr>
            </w:pPr>
          </w:p>
        </w:tc>
        <w:tc>
          <w:tcPr>
            <w:tcW w:w="1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Unremitted earnings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R&amp;D credit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U.S. foreign tax credits</w:t>
            </w:r>
          </w:p>
        </w:tc>
        <w:tc>
          <w:tcPr>
            <w:tcW w:w="260" w:type="dxa"/>
            <w:vAlign w:val="bottom"/>
            <w:shd w:val="clear" w:color="auto" w:fill="CCECFF"/>
          </w:tcPr>
          <w:p>
            <w:pPr>
              <w:spacing w:after="0"/>
              <w:rPr>
                <w:sz w:val="18"/>
                <w:szCs w:val="18"/>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Equity-based compensation awards</w:t>
            </w:r>
          </w:p>
        </w:tc>
        <w:tc>
          <w:tcPr>
            <w:tcW w:w="260" w:type="dxa"/>
            <w:vAlign w:val="bottom"/>
            <w:shd w:val="clear" w:color="auto" w:fill="CCECFF"/>
          </w:tcPr>
          <w:p>
            <w:pPr>
              <w:spacing w:after="0"/>
              <w:rPr>
                <w:sz w:val="18"/>
                <w:szCs w:val="18"/>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8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6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CFF"/>
          </w:tcPr>
          <w:p>
            <w:pPr>
              <w:spacing w:after="0"/>
              <w:rPr>
                <w:sz w:val="18"/>
                <w:szCs w:val="18"/>
                <w:color w:val="auto"/>
              </w:rPr>
            </w:pPr>
          </w:p>
        </w:tc>
        <w:tc>
          <w:tcPr>
            <w:tcW w:w="16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20" w:right="560" w:hanging="512"/>
        <w:spacing w:after="0" w:line="281" w:lineRule="auto"/>
        <w:tabs>
          <w:tab w:leader="none" w:pos="5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states and local jurisdictions that contribute to the majority (greater than 50%) of the tax effect in this category include California, Georgia, Illinois, New Jersey and Tennessee.</w:t>
      </w:r>
    </w:p>
    <w:p>
      <w:pPr>
        <w:spacing w:after="0" w:line="12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The Company adopted ASU 2023-09 prospectively beginning in fiscal year 2025. As permitted by the standard, prior-period disclosures have not been retrospectively adjusted. The reconciliation of income taxes attributable to operations at the applicable U.S. federal statutory tax rates to income tax expense for periods prior to adoption reflects the presentation required under legacy ASC 740 and is not directly comparable to the current year presentation.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Provision for income taxes at federal statutory rate</w:t>
            </w:r>
          </w:p>
        </w:tc>
        <w:tc>
          <w:tcPr>
            <w:tcW w:w="1080" w:type="dxa"/>
            <w:vAlign w:val="bottom"/>
            <w:gridSpan w:val="2"/>
            <w:shd w:val="clear" w:color="auto" w:fill="CCECFF"/>
          </w:tcPr>
          <w:p>
            <w:pPr>
              <w:jc w:val="right"/>
              <w:ind w:right="92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(56.7)</w:t>
            </w:r>
          </w:p>
        </w:tc>
        <w:tc>
          <w:tcPr>
            <w:tcW w:w="700" w:type="dxa"/>
            <w:vAlign w:val="bottom"/>
            <w:shd w:val="clear" w:color="auto" w:fill="CCEC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7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2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C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7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changes in tax laws and tax rulings</w:t>
            </w:r>
          </w:p>
        </w:tc>
        <w:tc>
          <w:tcPr>
            <w:tcW w:w="2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Goodwill related items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8"/>
                <w:szCs w:val="18"/>
                <w:color w:val="auto"/>
              </w:rPr>
            </w:pPr>
          </w:p>
        </w:tc>
      </w:tr>
      <w:tr>
        <w:trPr>
          <w:trHeight w:val="216"/>
        </w:trPr>
        <w:tc>
          <w:tcPr>
            <w:tcW w:w="7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Base erosion and anti-abuse tax</w:t>
            </w:r>
          </w:p>
        </w:tc>
        <w:tc>
          <w:tcPr>
            <w:tcW w:w="2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7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7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2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70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taxes and Subpart F income, net of foreign tax credits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r>
      <w:tr>
        <w:trPr>
          <w:trHeight w:val="216"/>
        </w:trPr>
        <w:tc>
          <w:tcPr>
            <w:tcW w:w="7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 earnings taxed at other than federal rate</w:t>
            </w:r>
          </w:p>
        </w:tc>
        <w:tc>
          <w:tcPr>
            <w:tcW w:w="2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70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C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Tax provision adjustments and revisions to prior years</w:t>
            </w:r>
            <w:r>
              <w:rPr>
                <w:rFonts w:ascii="Arial" w:cs="Arial" w:eastAsia="Arial" w:hAnsi="Arial"/>
                <w:sz w:val="18"/>
                <w:szCs w:val="18"/>
                <w:color w:val="auto"/>
              </w:rPr>
              <w:t>ʾ</w:t>
            </w:r>
            <w:r>
              <w:rPr>
                <w:rFonts w:ascii="Times New Roman" w:cs="Times New Roman" w:eastAsia="Times New Roman" w:hAnsi="Times New Roman"/>
                <w:sz w:val="18"/>
                <w:szCs w:val="18"/>
                <w:color w:val="auto"/>
              </w:rPr>
              <w:t xml:space="preserve"> returns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72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bottom w:val="single" w:sz="8" w:color="CCECFF"/>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spacing w:after="0"/>
              <w:rPr>
                <w:sz w:val="18"/>
                <w:szCs w:val="18"/>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80" w:type="dxa"/>
            <w:vAlign w:val="bottom"/>
            <w:gridSpan w:val="2"/>
          </w:tcPr>
          <w:p>
            <w:pPr>
              <w:jc w:val="right"/>
              <w:ind w:right="92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(66.9)</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received by jurisdiction pursuant to the disclosure requirements of ASU 2023-09,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7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Federal</w:t>
            </w:r>
          </w:p>
        </w:tc>
        <w:tc>
          <w:tcPr>
            <w:tcW w:w="46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C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r>
      <w:tr>
        <w:trPr>
          <w:trHeight w:val="216"/>
        </w:trPr>
        <w:tc>
          <w:tcPr>
            <w:tcW w:w="4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w:t>
            </w:r>
          </w:p>
        </w:tc>
        <w:tc>
          <w:tcPr>
            <w:tcW w:w="45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r>
      <w:tr>
        <w:trPr>
          <w:trHeight w:val="216"/>
        </w:trPr>
        <w:tc>
          <w:tcPr>
            <w:tcW w:w="470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c>
          <w:tcPr>
            <w:tcW w:w="45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C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r>
      <w:tr>
        <w:trPr>
          <w:trHeight w:val="250"/>
        </w:trPr>
        <w:tc>
          <w:tcPr>
            <w:tcW w:w="47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46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CECFF"/>
          </w:tcPr>
          <w:p>
            <w:pPr>
              <w:spacing w:after="0"/>
              <w:rPr>
                <w:sz w:val="21"/>
                <w:szCs w:val="21"/>
                <w:color w:val="auto"/>
              </w:rPr>
            </w:pPr>
          </w:p>
        </w:tc>
      </w:tr>
      <w:tr>
        <w:trPr>
          <w:trHeight w:val="845"/>
        </w:trPr>
        <w:tc>
          <w:tcPr>
            <w:tcW w:w="4700" w:type="dxa"/>
            <w:vAlign w:val="bottom"/>
            <w:tcBorders>
              <w:top w:val="single" w:sz="8" w:color="CCECFF"/>
            </w:tcBorders>
          </w:tcPr>
          <w:p>
            <w:pPr>
              <w:spacing w:after="0"/>
              <w:rPr>
                <w:sz w:val="24"/>
                <w:szCs w:val="24"/>
                <w:color w:val="auto"/>
              </w:rPr>
            </w:pPr>
          </w:p>
        </w:tc>
        <w:tc>
          <w:tcPr>
            <w:tcW w:w="4500" w:type="dxa"/>
            <w:vAlign w:val="bottom"/>
            <w:tcBorders>
              <w:top w:val="single" w:sz="8" w:color="CCECFF"/>
            </w:tcBorders>
          </w:tcPr>
          <w:p>
            <w:pPr>
              <w:jc w:val="right"/>
              <w:ind w:right="339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income tax assets and liabilities and the classification of deferred tax balances on the balance sheet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inventory and warranty reserves</w:t>
            </w:r>
          </w:p>
        </w:tc>
        <w:tc>
          <w:tcPr>
            <w:tcW w:w="2860" w:type="dxa"/>
            <w:vAlign w:val="bottom"/>
            <w:gridSpan w:val="2"/>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18"/>
                <w:szCs w:val="18"/>
                <w:color w:val="auto"/>
              </w:rPr>
            </w:pP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benefits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Foreign net operating loss and tax credit carryforwards</w:t>
            </w:r>
          </w:p>
        </w:tc>
        <w:tc>
          <w:tcPr>
            <w:tcW w:w="20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net operating loss and tax credit carryforwards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State net operating loss and tax credit carryforwards</w:t>
            </w:r>
          </w:p>
        </w:tc>
        <w:tc>
          <w:tcPr>
            <w:tcW w:w="20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limitation</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0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Basis difference in U.S. subsidiaries </w:t>
            </w:r>
            <w:r>
              <w:rPr>
                <w:rFonts w:ascii="Times New Roman" w:cs="Times New Roman" w:eastAsia="Times New Roman" w:hAnsi="Times New Roman"/>
                <w:sz w:val="24"/>
                <w:szCs w:val="24"/>
                <w:color w:val="auto"/>
                <w:vertAlign w:val="superscript"/>
              </w:rPr>
              <w:t>(1)</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1,337.9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CFF"/>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1,977.0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09"/>
        </w:trPr>
        <w:tc>
          <w:tcPr>
            <w:tcW w:w="604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020" w:type="dxa"/>
            <w:vAlign w:val="bottom"/>
            <w:tcBorders>
              <w:top w:val="single" w:sz="8" w:color="CCEC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1,880.0</w:t>
            </w:r>
          </w:p>
        </w:tc>
        <w:tc>
          <w:tcPr>
            <w:tcW w:w="180" w:type="dxa"/>
            <w:vAlign w:val="bottom"/>
            <w:tcBorders>
              <w:top w:val="single" w:sz="8" w:color="CCECFF"/>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CFF"/>
          </w:tcPr>
          <w:p>
            <w:pPr>
              <w:spacing w:after="0"/>
              <w:rPr>
                <w:sz w:val="18"/>
                <w:szCs w:val="18"/>
                <w:color w:val="auto"/>
              </w:rPr>
            </w:pPr>
          </w:p>
        </w:tc>
        <w:tc>
          <w:tcPr>
            <w:tcW w:w="20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860" w:type="dxa"/>
            <w:vAlign w:val="bottom"/>
            <w:gridSpan w:val="2"/>
            <w:shd w:val="clear" w:color="auto" w:fill="CCEC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520" w:type="dxa"/>
            <w:vAlign w:val="bottom"/>
            <w:gridSpan w:val="2"/>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20" w:type="dxa"/>
            <w:vAlign w:val="bottom"/>
            <w:shd w:val="clear" w:color="auto" w:fill="CCEC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shd w:val="clear" w:color="auto" w:fill="CCECFF"/>
          </w:tcPr>
          <w:p>
            <w:pPr>
              <w:spacing w:after="0"/>
              <w:rPr>
                <w:sz w:val="18"/>
                <w:szCs w:val="18"/>
                <w:color w:val="auto"/>
              </w:rPr>
            </w:pPr>
          </w:p>
        </w:tc>
        <w:tc>
          <w:tcPr>
            <w:tcW w:w="202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tcBorders>
              <w:top w:val="single" w:sz="8" w:color="CCEC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1,698.7</w:t>
            </w:r>
          </w:p>
        </w:tc>
        <w:tc>
          <w:tcPr>
            <w:tcW w:w="180" w:type="dxa"/>
            <w:vAlign w:val="bottom"/>
            <w:tcBorders>
              <w:top w:val="single" w:sz="8" w:color="CCECFF"/>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CFF"/>
          </w:tcPr>
          <w:p>
            <w:pPr>
              <w:spacing w:after="0"/>
              <w:rPr>
                <w:sz w:val="17"/>
                <w:szCs w:val="17"/>
                <w:color w:val="auto"/>
              </w:rPr>
            </w:pPr>
          </w:p>
        </w:tc>
        <w:tc>
          <w:tcPr>
            <w:tcW w:w="202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56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400" w:type="dxa"/>
            <w:vAlign w:val="bottom"/>
            <w:shd w:val="clear" w:color="auto" w:fill="CCECFF"/>
          </w:tcPr>
          <w:p>
            <w:pPr>
              <w:spacing w:after="0"/>
              <w:rPr>
                <w:sz w:val="17"/>
                <w:szCs w:val="17"/>
                <w:color w:val="auto"/>
              </w:rPr>
            </w:pPr>
          </w:p>
        </w:tc>
        <w:tc>
          <w:tcPr>
            <w:tcW w:w="9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recognized on the balance sheet:</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2860" w:type="dxa"/>
            <w:vAlign w:val="bottom"/>
            <w:gridSpan w:val="2"/>
            <w:shd w:val="clear" w:color="auto" w:fill="CCEC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6"/>
              </w:rPr>
              <w:t>1,765.9</w:t>
            </w:r>
          </w:p>
        </w:tc>
        <w:tc>
          <w:tcPr>
            <w:tcW w:w="180" w:type="dxa"/>
            <w:vAlign w:val="bottom"/>
            <w:shd w:val="clear" w:color="auto" w:fill="CCECFF"/>
          </w:tcPr>
          <w:p>
            <w:pPr>
              <w:spacing w:after="0"/>
              <w:rPr>
                <w:sz w:val="18"/>
                <w:szCs w:val="18"/>
                <w:color w:val="auto"/>
              </w:rPr>
            </w:pPr>
          </w:p>
        </w:tc>
        <w:tc>
          <w:tcPr>
            <w:tcW w:w="520" w:type="dxa"/>
            <w:vAlign w:val="bottom"/>
            <w:gridSpan w:val="2"/>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tcBorders>
              <w:bottom w:val="single" w:sz="8" w:color="CCECFF"/>
            </w:tcBorders>
            <w:shd w:val="clear" w:color="auto" w:fill="CCECFF"/>
          </w:tcPr>
          <w:p>
            <w:pPr>
              <w:spacing w:after="0"/>
              <w:rPr>
                <w:sz w:val="21"/>
                <w:szCs w:val="21"/>
                <w:color w:val="auto"/>
              </w:rPr>
            </w:pPr>
          </w:p>
        </w:tc>
        <w:tc>
          <w:tcPr>
            <w:tcW w:w="840" w:type="dxa"/>
            <w:vAlign w:val="bottom"/>
            <w:tcBorders>
              <w:top w:val="single" w:sz="8" w:color="auto"/>
              <w:bottom w:val="single" w:sz="8" w:color="auto"/>
            </w:tcBorders>
            <w:shd w:val="clear" w:color="auto" w:fill="CCEC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6"/>
              </w:rPr>
              <w:t>1,698.7</w:t>
            </w:r>
          </w:p>
        </w:tc>
        <w:tc>
          <w:tcPr>
            <w:tcW w:w="18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-2022475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-1739265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520" w:hanging="512"/>
        <w:spacing w:after="0" w:line="255" w:lineRule="auto"/>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deferred tax asset for the basis difference in U.S. subsidiaries as of December 31, 2025 relates to the difference between the carrying value of the net assets comprising the CCS segment classified as held for sale and the tax basis of the Company’s investment in the U.S. subsidiaries being sold. Because the basis difference was directly attributable to the CCS segment, the Company recognized the related income tax benefit within income from discontinued operations, net of income taxes, in the fourth quarter of 2025, as it was probable the associated tax benefit would be realized upon sale of the CCS segment in the first quarter of 2026. The deferred tax asset will remain with and be settled by the Company; therefore, it is classified as a deferred income tax asset on the Consolidated Balance Sheet as of December 31, 2025.</w:t>
      </w:r>
    </w:p>
    <w:p>
      <w:pPr>
        <w:spacing w:after="0" w:line="1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deferred tax asset for foreign net operating loss and tax credit carryforwards as of December 31, 2025 includes foreign net operating loss carryforwards (net of federal tax effects) of $5.1 million, which have no expiration date, and foreign tax credit carryforwards (net of federal tax effects) of $1.4 million, which begin to expire in 2026. Certain of these foreign net operating loss carryforwards are subject to local restrictions limiting their utilization. Valuation allowances of $3.7 million have been established related to these foreign deferred tax assets.</w:t>
      </w:r>
    </w:p>
    <w:p>
      <w:pPr>
        <w:spacing w:after="0" w:line="18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deferred tax asset for federal net operating loss and tax credit carryforwards as of December 31, 2025 relates to $2.2 million of net operating loss carryforwards, which begin to expire in 2032, and $1.1 million of U.S. foreign tax credit carryforwards, which begin to expire in 2029. A valuation allowance of $0.1 million has been established against these deferred tax assets.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deferred tax asset for state net operating loss and tax credit carryforwards as of December 31, 2025 includes state net operating loss carryforwards (net of federal tax impact) of $35.6 million, which begin to expire in 2026, and state tax credit carryforwards (net of federal tax impact) of $58.3 million, which begin to expire in 2026. A valuation allowance of $91.0 million has been established against these and other state income tax related deferred tax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deferred tax asset for federal and state interest limitation carryforwards as of December 31, 2025 is $236.7 million, which has an indefinite carryforward. A valuation allowance of $1.8 million has been established against the state deferred tax assets.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2025, the Company released approximately $260.0 million of valuation allowance that had been established against federal and state deferred tax assets primarily related to interest limitation carryforwards.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current U.S. tax regulations, repatriation of foreign earnings to the U.S. can generally be completed with no incremental U.S. tax. However, repatriation of foreign earnings could subject the Company to U.S. state and non-U.S. jurisdictional taxes (including withholding taxes) on distributions. As of December 31, 2025, the Company has a deferred tax liability of $5.0 million for the estimated foreign costs associated with the expected repatriation of the Company’s undistributed foreign earnings. The unrecorded deferred tax liability for foreign costs associated with earnings considered permanently reinvested is not material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 reconciliation of the beginning to ending period amounts of gross unrecognized tax benefits, excluding interest and penalties: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40" w:type="dxa"/>
            <w:vAlign w:val="bottom"/>
            <w:gridSpan w:val="2"/>
            <w:shd w:val="clear" w:color="auto" w:fill="CCECFF"/>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146.3</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3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C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prior periods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r>
      <w:tr>
        <w:trPr>
          <w:trHeight w:val="216"/>
        </w:trPr>
        <w:tc>
          <w:tcPr>
            <w:tcW w:w="7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Decrease related to prior periods</w:t>
            </w:r>
          </w:p>
        </w:tc>
        <w:tc>
          <w:tcPr>
            <w:tcW w:w="2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current periods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r>
      <w:tr>
        <w:trPr>
          <w:trHeight w:val="216"/>
        </w:trPr>
        <w:tc>
          <w:tcPr>
            <w:tcW w:w="7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Decrease related to settlements with taxing authorities</w:t>
            </w:r>
          </w:p>
        </w:tc>
        <w:tc>
          <w:tcPr>
            <w:tcW w:w="2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lapse in statutes of limitations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0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Decrease related to divestitures</w:t>
            </w:r>
          </w:p>
        </w:tc>
        <w:tc>
          <w:tcPr>
            <w:tcW w:w="2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140.1</w:t>
            </w: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liability for unrecognized tax benefits that, if recognized, would favorably affect the effective tax rate in future periods was $130.1 million as of December 31, 2025. The Company operates in numerous jurisdictions worldwide and is subject to routine tax audits on a regular basis. The determination of the Company’s unrecognized tax benefits involves significant management judgment regarding interpretation of relevant facts and tax laws in each of these jurisdictions.</w:t>
      </w:r>
    </w:p>
    <w:p>
      <w:pPr>
        <w:spacing w:after="0" w:line="18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Company provides for interest and penalties related to unrecognized tax benefits as income tax expense. The Company accrued $7.1 million and $5.9 million for interest and penalties as of December 31, 2025 and 2024, respectively. During the years ended December 31, 2025, 2024 and 2023, the net expense (benefit) for interest and penalties recognized through income tax expense (benefit) was $3.1 million, $0.5 million and $(4.0) million, respectively.</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files federal, state and local tax returns with statutes of limitation generally ranging from 3 to 4 years. The Company is currently undergoing a U.S. federal income tax audit for the 2019 tax year and is generally no longer subject to state and local tax examinations for years prior to 2021. Tax returns filed by the Company’s significant foreign subsidiaries are generally subject to statutes of limitation of 3 to 7 years and are generally no longer subject to examination for years prior to 2019. In many jurisdictions, tax authorities retain the ability to review prior years’ tax returns and to adjust any net operating loss or tax credit carryforwards from these years that are available to be utilized in subsequent periods. During 2025, the Company recognized $(8.6) million (net of payments) related to the lapse of applicable statutes of limitations and the conclusion of various domestic and foreign examinations.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proposed a global minimum tax of 15% under its Pillar Two Model Rules. Beginning in 2023, many countries began to incorporate Pillar Two into their domestic laws with Pillar Two becoming effective in some countries beginning in 2024. In 2025, the company incurred insignificant tax expense in connection with Pillar Two. On January 5, 2026, the OECD released a comprehensive package for a “side-by-side arrangement” with respect to Pillar Two. Notably, once adopted, this new guidance will prevent other countries from imposing tax on the U.S. profits of American companies. The Company will continue to monitor U.S. and international legislative developments, including further announcements on the side-by-side package, to assess any potential impacts on its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July 4, 2025, U.S. legislation formally titled “An Act to Provide for Reconciliation Pursuant to Title II of H. Con. Res. 14” (the Act), commonly referred to as the One Big Beautiful Bill Act, was signed into law. The Act, among other provisions, extended certain key elements of the 2017 Tax Cuts and Jobs Act and introduced targeted changes to the U.S. federal income tax regime. The effects of OBBBA are reflected in the consolidated financial statements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 expense (benefit) related to amounts presented in other comprehensive income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80" w:type="dxa"/>
            <w:vAlign w:val="bottom"/>
            <w:gridSpan w:val="2"/>
            <w:shd w:val="clear" w:color="auto" w:fill="CCEC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plans</w:t>
            </w:r>
          </w:p>
        </w:tc>
        <w:tc>
          <w:tcPr>
            <w:tcW w:w="2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4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gridSpan w:val="2"/>
            <w:shd w:val="clear" w:color="auto" w:fill="CCEC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540" w:type="dxa"/>
            <w:vAlign w:val="bottom"/>
            <w:tcBorders>
              <w:top w:val="single" w:sz="8" w:color="CCECFF"/>
            </w:tcBorders>
            <w:shd w:val="clear" w:color="auto" w:fill="CCECFF"/>
          </w:tcPr>
          <w:p>
            <w:pPr>
              <w:spacing w:after="0" w:line="20" w:lineRule="exact"/>
              <w:rPr>
                <w:sz w:val="1"/>
                <w:szCs w:val="1"/>
                <w:color w:val="auto"/>
              </w:rPr>
            </w:pPr>
          </w:p>
        </w:tc>
        <w:tc>
          <w:tcPr>
            <w:tcW w:w="248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A CONVERTIBLE PREFERRED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4, 2019, the Company issued and sold 1,000,000 shares of the Series A Convertible Preferred Stock (Convertible Preferred Stock) for $1.0 billion, or $1,000 per share, pursuant to an Investment Agreement between the Company and The Carlyle Group (Carlyle), dated November 8, 2018 (the Investment Agreement). As of December 31, 2025, the Company had authorized 1,400,000 shares of Convertible Preferred Stock.</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CCS segment that was completed subsequent to fiscal year end on January 9, 2026, the Company has redeemed its Convertible Preferred Stock. For further discussion of the sale of the CCS segment, see Note 19 in these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Convertible Preferred Stock ranked senior to the shares of the Company’s common stock with respect to dividend rights and rights on the distribution of assets on any voluntary or involuntary liquidation, dissolution or winding up of the affairs of the Company. The Convertible Preferred Stock had a liquidation preference of $1,000 per share. Holders of the Convertible Preferred Stock were entitled to a cumulative dividend at the rate of 5.5% per year, payable quarterly in arrears. If the Company did not declare and pay a dividend, the dividend rate would increase by 2.5% to 8.0% per year (and that rate would increase by an additional 0.50% every three months until such unpaid dividend is declared and paid, subject to a cap of 11.0% per year) until all accrued but unpaid dividends have been paid in full. Dividends were payable in cash, in-kind through the issuance of additional shares of Convertible Preferred Stock or any combination of the two, at the Company’s option.</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paid dividends in-kind of $51.3 million, $65.2 million and $61.8 million, respectively, which were recorded as additional Convertible Preferred Stock on the Consolidated Balance Sheets. The Company paid a cash dividend of $17.6 million for the year ended December 31, 2025 but did not pay cash dividends for each of the years ended December 31, 2024 and 2023.</w:t>
      </w:r>
    </w:p>
    <w:p>
      <w:pPr>
        <w:spacing w:after="0" w:line="280" w:lineRule="exact"/>
        <w:rPr>
          <w:sz w:val="20"/>
          <w:szCs w:val="20"/>
          <w:color w:val="auto"/>
        </w:rPr>
      </w:pPr>
    </w:p>
    <w:p>
      <w:pPr>
        <w:ind w:right="8500" w:firstLine="8"/>
        <w:spacing w:after="0" w:line="378" w:lineRule="auto"/>
        <w:tabs>
          <w:tab w:leader="none" w:pos="40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Equity-Based Compensation Plans</w:t>
      </w:r>
    </w:p>
    <w:p>
      <w:pPr>
        <w:ind w:right="20"/>
        <w:spacing w:after="0" w:line="255" w:lineRule="auto"/>
        <w:rPr>
          <w:sz w:val="20"/>
          <w:szCs w:val="20"/>
          <w:color w:val="auto"/>
        </w:rPr>
      </w:pPr>
      <w:r>
        <w:rPr>
          <w:rFonts w:ascii="Times New Roman" w:cs="Times New Roman" w:eastAsia="Times New Roman" w:hAnsi="Times New Roman"/>
          <w:sz w:val="18"/>
          <w:szCs w:val="18"/>
          <w:color w:val="auto"/>
        </w:rPr>
        <w:t>In 2019, the Company’s stockholders approved the 2019 Long-Term Incentive Plan authorizing 8.0 million shares for issuance, plus additional shares underlying awards outstanding under the predecessor plans. Subsequently, in each of the years 2020 through 2025, the Company’s stockholders approved the Amended and Restated 2019 Long-Term Incentive Plan (the 2019 Plan) and authorized an additional aggregate 40.25 million shares for issuance. All future equity awards will be made from the 2019 Plan. Awards under the 2019 Plan may include stock options, stock appreciation rights, restricted stock, stock units (including RSUs) and deferred stock units), performance awards (represents any of the awards already listed with a performance-vesting component), other stock-based awards and cash-based awards. As of December 31, 2025, there were 9.2 million shares available for future grants under the 2019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2025, $29.1 million of total unrecognized compensation expense related to unvested stock options, RSUs and performance share units (PSUs) is expected to be recognized over a remaining weighted average period of 1.9 years. There were no significant capitalized equity-based compensation costs at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the equity-based compensation expense included on the Consolidated Statements of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96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6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shd w:val="clear" w:color="auto" w:fill="CCEC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CFF"/>
          </w:tcPr>
          <w:p>
            <w:pPr>
              <w:spacing w:after="0"/>
              <w:rPr>
                <w:sz w:val="18"/>
                <w:szCs w:val="18"/>
                <w:color w:val="auto"/>
              </w:rPr>
            </w:pPr>
          </w:p>
        </w:tc>
        <w:tc>
          <w:tcPr>
            <w:tcW w:w="4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C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r>
      <w:tr>
        <w:trPr>
          <w:trHeight w:val="216"/>
        </w:trPr>
        <w:tc>
          <w:tcPr>
            <w:tcW w:w="62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Borders>
              <w:bottom w:val="single" w:sz="8" w:color="auto"/>
            </w:tcBorders>
            <w:shd w:val="clear" w:color="auto" w:fill="CCECFF"/>
          </w:tcPr>
          <w:p>
            <w:pPr>
              <w:spacing w:after="0"/>
              <w:rPr>
                <w:sz w:val="18"/>
                <w:szCs w:val="18"/>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CFF"/>
            </w:tcBorders>
            <w:shd w:val="clear" w:color="auto" w:fill="CCECFF"/>
          </w:tcPr>
          <w:p>
            <w:pPr>
              <w:spacing w:after="0"/>
              <w:rPr>
                <w:sz w:val="18"/>
                <w:szCs w:val="18"/>
                <w:color w:val="auto"/>
              </w:rPr>
            </w:pPr>
          </w:p>
        </w:tc>
      </w:tr>
      <w:tr>
        <w:trPr>
          <w:trHeight w:val="21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-170815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believes the valuation techniques and the approaches utilized to develop the underlying assumptions are appropriate in estimating the fair values of its equity-based compensation. Estimates of fair value are not intended to predict actual future events or the value ultimately realized by employees who receive equity awards. Subsequent events are not indicative of the reasonableness of the original estimates of fair value made by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Stock options are awards that allow the recipient to purchase shares of the Company’s common stock at a fixed price. Stock options are granted at an exercise price equal to the Company’s stock price at the date of grant. The Company uses the Black-Scholes model to estimate the fair value of stock options at the date of grant. These awards generally vest over five years following the grant date and have a contractual term of ten years. There were 0.3 million options outstanding as of December 31, 2025 with no intrinsic value and the majority were vested. There were no stock options granted during the years ended December 31, 2025, 2024 or 2023. The intrinsic value of options exercised during the years ended December 31, 2025, 2024 and 2023 was not material.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RSUs entitle the holder to shares of common stock after a vesting period of generally three years. The fair value of the awards is determined on the grant date based on the Company’s stock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(in millions, except per share data):</w:t>
      </w:r>
    </w:p>
    <w:p>
      <w:pPr>
        <w:spacing w:after="0" w:line="166" w:lineRule="exact"/>
        <w:rPr>
          <w:sz w:val="20"/>
          <w:szCs w:val="20"/>
          <w:color w:val="auto"/>
        </w:rPr>
      </w:pPr>
    </w:p>
    <w:tbl>
      <w:tblPr>
        <w:tblLayout w:type="fixed"/>
        <w:tblInd w:w="684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92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920" w:type="dxa"/>
            <w:vAlign w:val="bottom"/>
          </w:tcPr>
          <w:p>
            <w:pPr>
              <w:jc w:val="center"/>
              <w:ind w:left="88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1660" w:type="dxa"/>
            <w:vAlign w:val="bottom"/>
            <w:vMerge w:val="continue"/>
          </w:tcPr>
          <w:p>
            <w:pPr>
              <w:spacing w:after="0"/>
              <w:rPr>
                <w:sz w:val="12"/>
                <w:szCs w:val="12"/>
                <w:color w:val="auto"/>
              </w:rPr>
            </w:pPr>
          </w:p>
        </w:tc>
        <w:tc>
          <w:tcPr>
            <w:tcW w:w="192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92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65" w:right="339" w:bottom="1440" w:gutter="0" w:footer="0" w:header="0"/>
        </w:sectPr>
      </w:pPr>
    </w:p>
    <w:p>
      <w:pPr>
        <w:ind w:right="1940"/>
        <w:spacing w:after="0" w:line="258" w:lineRule="auto"/>
        <w:rPr>
          <w:sz w:val="20"/>
          <w:szCs w:val="20"/>
          <w:color w:val="auto"/>
        </w:rPr>
      </w:pPr>
      <w:r>
        <w:rPr>
          <w:rFonts w:ascii="Times New Roman" w:cs="Times New Roman" w:eastAsia="Times New Roman" w:hAnsi="Times New Roman"/>
          <w:sz w:val="18"/>
          <w:szCs w:val="18"/>
          <w:color w:val="auto"/>
        </w:rPr>
        <w:t>Non-vested share units at December 31, 2024 Granted</w:t>
      </w:r>
    </w:p>
    <w:p>
      <w:pPr>
        <w:spacing w:after="0"/>
        <w:rPr>
          <w:sz w:val="20"/>
          <w:szCs w:val="20"/>
          <w:color w:val="auto"/>
        </w:rPr>
      </w:pPr>
      <w:r>
        <w:rPr>
          <w:rFonts w:ascii="Times New Roman" w:cs="Times New Roman" w:eastAsia="Times New Roman" w:hAnsi="Times New Roman"/>
          <w:sz w:val="18"/>
          <w:szCs w:val="18"/>
          <w:color w:val="auto"/>
        </w:rPr>
        <w:t>Vested and shares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share units at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11.4</w:t>
            </w:r>
          </w:p>
        </w:tc>
        <w:tc>
          <w:tcPr>
            <w:tcW w:w="340" w:type="dxa"/>
            <w:vAlign w:val="bottom"/>
          </w:tcPr>
          <w:p>
            <w:pPr>
              <w:spacing w:after="0"/>
              <w:rPr>
                <w:sz w:val="16"/>
                <w:szCs w:val="16"/>
                <w:color w:val="auto"/>
              </w:rPr>
            </w:pPr>
          </w:p>
        </w:tc>
        <w:tc>
          <w:tcPr>
            <w:tcW w:w="1060" w:type="dxa"/>
            <w:vAlign w:val="bottom"/>
            <w:tcBorders>
              <w:top w:val="single" w:sz="8" w:color="auto"/>
            </w:tcBorders>
          </w:tcPr>
          <w:p>
            <w:pPr>
              <w:jc w:val="right"/>
              <w:ind w:right="8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2.84</w:t>
            </w:r>
          </w:p>
        </w:tc>
      </w:tr>
      <w:tr>
        <w:trPr>
          <w:trHeight w:val="216"/>
        </w:trPr>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8"/>
                <w:szCs w:val="18"/>
                <w:color w:val="auto"/>
              </w:rPr>
            </w:pP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2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w:t>
            </w: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4"/>
        </w:trPr>
        <w:tc>
          <w:tcPr>
            <w:tcW w:w="2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0"/>
        </w:trPr>
        <w:tc>
          <w:tcPr>
            <w:tcW w:w="2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18"/>
                <w:szCs w:val="18"/>
                <w:color w:val="auto"/>
              </w:rPr>
            </w:pP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-719455</wp:posOffset>
            </wp:positionV>
            <wp:extent cx="713232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-445135</wp:posOffset>
            </wp:positionV>
            <wp:extent cx="713232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132320" cy="1631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40" w:space="720"/>
            <w:col w:w="5280"/>
          </w:cols>
          <w:pgMar w:left="320" w:top="765" w:right="339" w:bottom="1440" w:gutter="0" w:footer="0" w:header="0"/>
          <w:type w:val="continuous"/>
        </w:sect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unit of these awards granted during the years ended December 31, 2025, 2024 and 2023 was $6.14, $1.40 and $4.68, respectively. The total fair value of RSUs that vested during the years ended December 31, 2025, 2024 and 2023 was $21.0 million, $25.7 million and $40.0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 Units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PSUs are stock awards in which the number of shares ultimately received by the employee depends on achievement toward a performance measure. Certain of the Company’s PSUs have an internal performance measure and vest at the end of three years, with the number of shares issued varying between 0% and 200% of the units granted. Beginning in 2025, the Company also granted PSUs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that vest over three years but are earned based on annual performance periods; these awards are divided into three equal tranches, each tied to the applicable annual internal performance measure, with each tranche payable between 0% and 200% of the units granted. The fair value of all such awards is determined on the date of grant based on the Company’s stock price.</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also has PSUs with a market condition based on the Company’s total stockholder return (TSR) ranking relative to the S&amp;P 500 TSR for a three-year period. The number of shares issued under these awards can vary between 0% to 200% of the number of PSUs granted. The Company uses a Monte Carlo simulation model to estimate the fair value of PSUs with a market condition performance measure at the date of grant. Key assumptions used in the model include the risk-free interest rate, which reflects the yield on zero-coupon U.S. treasury securities, and stock price volatility, which is derived based on the historical volatility of the Company’s stock.</w:t>
      </w:r>
    </w:p>
    <w:p>
      <w:pPr>
        <w:spacing w:after="0" w:line="183" w:lineRule="exact"/>
        <w:rPr>
          <w:sz w:val="20"/>
          <w:szCs w:val="20"/>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 xml:space="preserve">During the year ended December 31, 2025, certain </w:t>
      </w:r>
      <w:r>
        <w:rPr>
          <w:rFonts w:ascii="Times New Roman" w:cs="Times New Roman" w:eastAsia="Times New Roman" w:hAnsi="Times New Roman"/>
          <w:sz w:val="18"/>
          <w:szCs w:val="18"/>
          <w:color w:val="242424"/>
        </w:rPr>
        <w:t>PSUs expired as the</w:t>
      </w:r>
      <w:r>
        <w:rPr>
          <w:rFonts w:ascii="Times New Roman" w:cs="Times New Roman" w:eastAsia="Times New Roman" w:hAnsi="Times New Roman"/>
          <w:sz w:val="18"/>
          <w:szCs w:val="18"/>
          <w:color w:val="auto"/>
        </w:rPr>
        <w:t xml:space="preserve"> market condition based on the Company’s TSR ranking relative to the S&amp;P 500 TSR </w:t>
      </w:r>
      <w:r>
        <w:rPr>
          <w:rFonts w:ascii="Times New Roman" w:cs="Times New Roman" w:eastAsia="Times New Roman" w:hAnsi="Times New Roman"/>
          <w:sz w:val="18"/>
          <w:szCs w:val="18"/>
          <w:color w:val="242424"/>
        </w:rPr>
        <w:t>was not met. Consequently, no shares were issued related to these awards.</w:t>
      </w:r>
      <w:r>
        <w:rPr>
          <w:rFonts w:ascii="Times New Roman" w:cs="Times New Roman" w:eastAsia="Times New Roman" w:hAnsi="Times New Roman"/>
          <w:sz w:val="18"/>
          <w:szCs w:val="18"/>
          <w:color w:val="auto"/>
        </w:rPr>
        <w:t xml:space="preserve"> In addition, in 2025, we recognized incremental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certain TSR awards for which the service condition was accelerated, resulting in total performance attainment of 175% for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PSU activity (in millions,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64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64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Non-vested share units at December 31, 2024</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Performance award achievement adjustment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shares issued</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Expired</w:t>
            </w:r>
          </w:p>
        </w:tc>
        <w:tc>
          <w:tcPr>
            <w:tcW w:w="8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Non-vested share units at December 31, 2025</w:t>
            </w:r>
          </w:p>
        </w:tc>
        <w:tc>
          <w:tcPr>
            <w:tcW w:w="1640" w:type="dxa"/>
            <w:vAlign w:val="bottom"/>
            <w:tcBorders>
              <w:top w:val="single" w:sz="8" w:color="auto"/>
              <w:bottom w:val="single" w:sz="8" w:color="auto"/>
            </w:tcBorders>
            <w:shd w:val="clear" w:color="auto" w:fill="CCECFF"/>
          </w:tcPr>
          <w:p>
            <w:pPr>
              <w:spacing w:after="0"/>
              <w:rPr>
                <w:sz w:val="21"/>
                <w:szCs w:val="21"/>
                <w:color w:val="auto"/>
              </w:rPr>
            </w:pPr>
          </w:p>
        </w:tc>
        <w:tc>
          <w:tcPr>
            <w:tcW w:w="4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per unit of these awards granted during the years ended December 31, 2025 and 2023 was $6.33 and $6.14, respectively. No PSUs were granted during the year ended December 31, 2024. The total fair value of PSUs that vested during the year ended December 31, 2025 was $16.4 million. No PSUs vested during the year ended December 31, 2024. The total fair value of PSUs that vested during the year ended December 31, 2023, was not material.</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product warranty accrual, included in accrued and other liabilities and other noncurrent liabilities: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warranty accrual,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warranty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claims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warranty accrual, end of period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91"/>
        </w:trPr>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6"/>
                <w:szCs w:val="16"/>
                <w:color w:val="auto"/>
              </w:rPr>
            </w:pPr>
          </w:p>
        </w:tc>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23.8</w:t>
            </w:r>
          </w:p>
        </w:tc>
        <w:tc>
          <w:tcPr>
            <w:tcW w:w="6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3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0"/>
                <w:szCs w:val="20"/>
                <w:color w:val="auto"/>
              </w:rPr>
            </w:pPr>
          </w:p>
        </w:tc>
      </w:tr>
      <w:tr>
        <w:trPr>
          <w:trHeight w:val="210"/>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-719455</wp:posOffset>
            </wp:positionV>
            <wp:extent cx="713232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-445135</wp:posOffset>
            </wp:positionV>
            <wp:extent cx="713232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-161925</wp:posOffset>
            </wp:positionV>
            <wp:extent cx="7132320" cy="162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600"/>
          </w:cols>
          <w:pgMar w:left="320" w:top="76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intellectual property claims. Gain contingencies, if any, are recognized when they are realized.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80" w:lineRule="exact"/>
        <w:rPr>
          <w:sz w:val="20"/>
          <w:szCs w:val="20"/>
          <w:color w:val="auto"/>
        </w:rPr>
      </w:pPr>
    </w:p>
    <w:p>
      <w:pPr>
        <w:ind w:right="700" w:firstLine="8"/>
        <w:spacing w:after="0" w:line="378" w:lineRule="auto"/>
        <w:tabs>
          <w:tab w:leader="none" w:pos="40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INDUSTRY SEGMENTS, MAJOR CUSTOMERS, RELATED PARTY TRANSACTIONS AND GEOGRAPHIC INFORMATION Segment Information</w:t>
      </w:r>
    </w:p>
    <w:p>
      <w:pPr>
        <w:spacing w:after="0"/>
        <w:rPr>
          <w:sz w:val="20"/>
          <w:szCs w:val="20"/>
          <w:color w:val="auto"/>
        </w:rPr>
      </w:pPr>
      <w:r>
        <w:rPr>
          <w:rFonts w:ascii="Times New Roman" w:cs="Times New Roman" w:eastAsia="Times New Roman" w:hAnsi="Times New Roman"/>
          <w:sz w:val="18"/>
          <w:szCs w:val="18"/>
          <w:color w:val="auto"/>
        </w:rPr>
        <w:t>The following is a brief description of the activities of the Company's reportable segments:</w:t>
      </w:r>
    </w:p>
    <w:p>
      <w:pPr>
        <w:spacing w:after="0" w:line="11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RUCKUS </w:t>
      </w:r>
      <w:r>
        <w:rPr>
          <w:rFonts w:ascii="Times New Roman" w:cs="Times New Roman" w:eastAsia="Times New Roman" w:hAnsi="Times New Roman"/>
          <w:sz w:val="18"/>
          <w:szCs w:val="18"/>
          <w:color w:val="auto"/>
        </w:rPr>
        <w:t>- The segment provides wireless networks for enterprises and service providers. Product offerings include indoor cellular solutions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spacing w:after="0" w:line="17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Aurora </w:t>
      </w:r>
      <w:r>
        <w:rPr>
          <w:rFonts w:ascii="Times New Roman" w:cs="Times New Roman" w:eastAsia="Times New Roman" w:hAnsi="Times New Roman"/>
          <w:sz w:val="18"/>
          <w:szCs w:val="18"/>
          <w:color w:val="auto"/>
        </w:rPr>
        <w:t>- The segment’s product solutions include cable modem termination systems, video infrastructure, public key infrastructure solutions,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transmission equipment and cloud solutions that enable facility-based service providers to construct a state-of-the-art residential and metro distribution network.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for discussion of product shifts and divestitures impacting the Company’s operating and reportable segment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summary financial information by reportable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8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C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Identifiable segment-related assets: </w:t>
            </w:r>
            <w:r>
              <w:rPr>
                <w:rFonts w:ascii="Times New Roman" w:cs="Times New Roman" w:eastAsia="Times New Roman" w:hAnsi="Times New Roman"/>
                <w:sz w:val="24"/>
                <w:szCs w:val="24"/>
                <w:color w:val="auto"/>
                <w:vertAlign w:val="superscript"/>
              </w:rPr>
              <w:t>(1)</w:t>
            </w:r>
          </w:p>
        </w:tc>
        <w:tc>
          <w:tcPr>
            <w:tcW w:w="230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5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RUCKUS</w:t>
            </w:r>
          </w:p>
        </w:tc>
        <w:tc>
          <w:tcPr>
            <w:tcW w:w="3660" w:type="dxa"/>
            <w:vAlign w:val="bottom"/>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Aurora</w:t>
            </w:r>
          </w:p>
        </w:tc>
        <w:tc>
          <w:tcPr>
            <w:tcW w:w="2300" w:type="dxa"/>
            <w:vAlign w:val="bottom"/>
            <w:tcBorders>
              <w:bottom w:val="single" w:sz="8" w:color="CCECFF"/>
            </w:tcBorders>
            <w:shd w:val="clear" w:color="auto" w:fill="CCECFF"/>
          </w:tcPr>
          <w:p>
            <w:pPr>
              <w:spacing w:after="0"/>
              <w:rPr>
                <w:sz w:val="18"/>
                <w:szCs w:val="18"/>
                <w:color w:val="auto"/>
              </w:rPr>
            </w:pPr>
          </w:p>
        </w:tc>
        <w:tc>
          <w:tcPr>
            <w:tcW w:w="136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10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spacing w:after="0"/>
              <w:rPr>
                <w:sz w:val="18"/>
                <w:szCs w:val="18"/>
                <w:color w:val="auto"/>
              </w:rPr>
            </w:pPr>
          </w:p>
        </w:tc>
        <w:tc>
          <w:tcPr>
            <w:tcW w:w="520" w:type="dxa"/>
            <w:vAlign w:val="bottom"/>
            <w:tcBorders>
              <w:bottom w:val="single" w:sz="8" w:color="auto"/>
            </w:tcBorders>
            <w:shd w:val="clear" w:color="auto" w:fill="CCECFF"/>
          </w:tcPr>
          <w:p>
            <w:pPr>
              <w:spacing w:after="0"/>
              <w:rPr>
                <w:sz w:val="18"/>
                <w:szCs w:val="18"/>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segment-related assets</w:t>
            </w: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Reconciliation to total assets:</w:t>
            </w:r>
          </w:p>
        </w:tc>
        <w:tc>
          <w:tcPr>
            <w:tcW w:w="230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5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30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1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Divested and other business assets </w:t>
            </w:r>
            <w:r>
              <w:rPr>
                <w:rFonts w:ascii="Times New Roman" w:cs="Times New Roman" w:eastAsia="Times New Roman" w:hAnsi="Times New Roman"/>
                <w:sz w:val="24"/>
                <w:szCs w:val="24"/>
                <w:color w:val="auto"/>
                <w:vertAlign w:val="superscript"/>
              </w:rPr>
              <w:t>(2)</w:t>
            </w: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Assets held for sale</w:t>
            </w:r>
          </w:p>
        </w:tc>
        <w:tc>
          <w:tcPr>
            <w:tcW w:w="2300" w:type="dxa"/>
            <w:vAlign w:val="bottom"/>
            <w:tcBorders>
              <w:bottom w:val="single" w:sz="8" w:color="CCECFF"/>
            </w:tcBorders>
            <w:shd w:val="clear" w:color="auto" w:fill="CCECFF"/>
          </w:tcPr>
          <w:p>
            <w:pPr>
              <w:spacing w:after="0"/>
              <w:rPr>
                <w:sz w:val="18"/>
                <w:szCs w:val="18"/>
                <w:color w:val="auto"/>
              </w:rPr>
            </w:pPr>
          </w:p>
        </w:tc>
        <w:tc>
          <w:tcPr>
            <w:tcW w:w="136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4,324.5</w:t>
            </w:r>
          </w:p>
        </w:tc>
        <w:tc>
          <w:tcPr>
            <w:tcW w:w="10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spacing w:after="0"/>
              <w:rPr>
                <w:sz w:val="18"/>
                <w:szCs w:val="18"/>
                <w:color w:val="auto"/>
              </w:rPr>
            </w:pPr>
          </w:p>
        </w:tc>
        <w:tc>
          <w:tcPr>
            <w:tcW w:w="520" w:type="dxa"/>
            <w:vAlign w:val="bottom"/>
            <w:tcBorders>
              <w:bottom w:val="single" w:sz="8" w:color="auto"/>
            </w:tcBorders>
            <w:shd w:val="clear" w:color="auto" w:fill="CCECFF"/>
          </w:tcPr>
          <w:p>
            <w:pPr>
              <w:spacing w:after="0"/>
              <w:rPr>
                <w:sz w:val="18"/>
                <w:szCs w:val="18"/>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5,196.1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60" w:type="dxa"/>
            <w:vAlign w:val="bottom"/>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9,371.0</w:t>
            </w: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3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-2583815</wp:posOffset>
            </wp:positionV>
            <wp:extent cx="93980" cy="1365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-2583815</wp:posOffset>
            </wp:positionV>
            <wp:extent cx="93980" cy="1365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-2047875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-1216660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11" w:lineRule="exact"/>
        <w:rPr>
          <w:sz w:val="20"/>
          <w:szCs w:val="20"/>
          <w:color w:val="auto"/>
        </w:rPr>
      </w:pPr>
    </w:p>
    <w:p>
      <w:pPr>
        <w:ind w:left="520" w:right="40" w:hanging="512"/>
        <w:spacing w:after="0" w:line="259" w:lineRule="auto"/>
        <w:tabs>
          <w:tab w:leader="none" w:pos="5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related to reportable segments largely include accounts receivable, inventories, property, plant and equipment, goodwill, intangible assets and certain limited other assets. All other items are reflected in Corporate and other. Accounts receivable and inventory are ascribed based on underlying sales or activity. Property, plant and equipment are attributed to a particular business segment based on that item’s primary user and reflect an allocation of certain corporate-shared assets. Intangible assets and goodwill are largely directly associated with a particular reporting unit and attributed on that basis.</w:t>
      </w:r>
    </w:p>
    <w:p>
      <w:pPr>
        <w:spacing w:after="0" w:line="20" w:lineRule="exact"/>
        <w:rPr>
          <w:rFonts w:ascii="Times New Roman" w:cs="Times New Roman" w:eastAsia="Times New Roman" w:hAnsi="Times New Roman"/>
          <w:sz w:val="17"/>
          <w:szCs w:val="17"/>
          <w:color w:val="auto"/>
        </w:rPr>
      </w:pPr>
    </w:p>
    <w:p>
      <w:pPr>
        <w:ind w:left="520" w:right="120" w:hanging="512"/>
        <w:spacing w:after="0" w:line="258" w:lineRule="auto"/>
        <w:tabs>
          <w:tab w:leader="none" w:pos="5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divested and other business assets line item above reflects certain inventory retained by the Company related to continuing involvement in divested businesses pursuant to the Vantiva Supply Agreement and the Amphenol MSA, as discussed in Note 4, as well as other corporate assets. As of December 31, 2025, inventory of $16.6 million related to the OWN segment and DAS business unit, $4.4 million related to the Passive Optical Network (PON) business line within the CCS segment that was not divested with the sale of the CCS segment and $36.3 million related to corporate and other assets. As of December 31, 2024, inventory of $14.5 million related to the Home business, $20.3 million related to the PON business and $105.6 million related to corporate and other assets.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organizes its reportable segments based on the nature of products and services offered. Segment information is presented on the same basis that the Company's Chief Executive Officer, who is the CODM, uses to manage its segments, evaluate financials results and make key operating decisions. 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recurring business.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financial metrics are used to view operating trends, perform analytical comparisons and benchmark performance between periods and among geographic regions and monitor budget-to-actual variances on a monthly basis. To manage operations and make decisions regarding resource allocations, the Company’s CODM is regularly provided and reviews expense information at a consolidated level for each segment. Each segment has a manager responsible for executing the Company’s strategic initiatives.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net sales, cost of sales, total operating expenses, adjusted EBITDA, depreciation expense and additions to property, plant and equipment by reportable segment for the year ended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5"/>
              </w:rPr>
              <w:t xml:space="preserve">RUCKUS </w:t>
            </w:r>
            <w:r>
              <w:rPr>
                <w:rFonts w:ascii="Times New Roman" w:cs="Times New Roman" w:eastAsia="Times New Roman" w:hAnsi="Times New Roman"/>
                <w:sz w:val="19"/>
                <w:szCs w:val="19"/>
                <w:b w:val="1"/>
                <w:bCs w:val="1"/>
                <w:color w:val="auto"/>
                <w:w w:val="95"/>
                <w:vertAlign w:val="superscript"/>
              </w:rPr>
              <w:t>(1)</w:t>
            </w:r>
          </w:p>
        </w:tc>
        <w:tc>
          <w:tcPr>
            <w:tcW w:w="3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Aurora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54"/>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and other </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Segment cost of sales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Addback: Depreciation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4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4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Borders>
              <w:top w:val="single" w:sz="8" w:color="CCECFF"/>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920" w:type="dxa"/>
            <w:vAlign w:val="bottom"/>
            <w:tcBorders>
              <w:top w:val="single" w:sz="8" w:color="CCECFF"/>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200" w:type="dxa"/>
            <w:vAlign w:val="bottom"/>
            <w:tcBorders>
              <w:top w:val="single" w:sz="8" w:color="CCECFF"/>
            </w:tcBorders>
          </w:tcPr>
          <w:p>
            <w:pPr>
              <w:spacing w:after="0"/>
              <w:rPr>
                <w:sz w:val="18"/>
                <w:szCs w:val="18"/>
                <w:color w:val="auto"/>
              </w:rPr>
            </w:pPr>
          </w:p>
        </w:tc>
        <w:tc>
          <w:tcPr>
            <w:tcW w:w="260" w:type="dxa"/>
            <w:vAlign w:val="bottom"/>
            <w:tcBorders>
              <w:top w:val="single" w:sz="8" w:color="CCECFF"/>
            </w:tcBorders>
          </w:tcPr>
          <w:p>
            <w:pPr>
              <w:spacing w:after="0"/>
              <w:rPr>
                <w:sz w:val="18"/>
                <w:szCs w:val="18"/>
                <w:color w:val="auto"/>
              </w:rPr>
            </w:pPr>
          </w:p>
        </w:tc>
        <w:tc>
          <w:tcPr>
            <w:tcW w:w="1060" w:type="dxa"/>
            <w:vAlign w:val="bottom"/>
            <w:tcBorders>
              <w:top w:val="single" w:sz="8" w:color="CCECFF"/>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180" w:type="dxa"/>
            <w:vAlign w:val="bottom"/>
            <w:tcBorders>
              <w:top w:val="single" w:sz="8" w:color="CCECFF"/>
            </w:tcBorders>
          </w:tcPr>
          <w:p>
            <w:pPr>
              <w:spacing w:after="0"/>
              <w:rPr>
                <w:sz w:val="18"/>
                <w:szCs w:val="18"/>
                <w:color w:val="auto"/>
              </w:rPr>
            </w:pPr>
          </w:p>
        </w:tc>
        <w:tc>
          <w:tcPr>
            <w:tcW w:w="200" w:type="dxa"/>
            <w:vAlign w:val="bottom"/>
            <w:tcBorders>
              <w:top w:val="single" w:sz="8" w:color="CCECFF"/>
            </w:tcBorders>
          </w:tcPr>
          <w:p>
            <w:pPr>
              <w:spacing w:after="0"/>
              <w:rPr>
                <w:sz w:val="18"/>
                <w:szCs w:val="18"/>
                <w:color w:val="auto"/>
              </w:rPr>
            </w:pPr>
          </w:p>
        </w:tc>
        <w:tc>
          <w:tcPr>
            <w:tcW w:w="1200" w:type="dxa"/>
            <w:vAlign w:val="bottom"/>
            <w:tcBorders>
              <w:top w:val="single" w:sz="8" w:color="CCECFF"/>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12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taxes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-694055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right"/>
        <w:ind w:left="5540" w:right="5520" w:hanging="5532"/>
        <w:spacing w:after="0" w:line="830" w:lineRule="auto"/>
        <w:tabs>
          <w:tab w:leader="none" w:pos="52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activity of the OneCell business for periods prior to its disposition.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57" w:lineRule="exact"/>
        <w:rPr>
          <w:sz w:val="20"/>
          <w:szCs w:val="20"/>
          <w:color w:val="auto"/>
        </w:rPr>
      </w:pPr>
    </w:p>
    <w:p>
      <w:pPr>
        <w:ind w:left="520" w:right="20" w:hanging="512"/>
        <w:spacing w:after="0" w:line="256" w:lineRule="auto"/>
        <w:tabs>
          <w:tab w:leader="none" w:pos="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category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will be reallocated to the Company’s remaining segments beginning in the first quarter of 2026.</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net sales, cost of sales, total operating expenses, adjusted EBITDA, depreciation expense and additions to property, plant and equipment by reportable segment for the year ended December 31,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5"/>
              </w:rPr>
              <w:t xml:space="preserve">RUCKUS </w:t>
            </w:r>
            <w:r>
              <w:rPr>
                <w:rFonts w:ascii="Times New Roman" w:cs="Times New Roman" w:eastAsia="Times New Roman" w:hAnsi="Times New Roman"/>
                <w:sz w:val="19"/>
                <w:szCs w:val="19"/>
                <w:b w:val="1"/>
                <w:bCs w:val="1"/>
                <w:color w:val="auto"/>
                <w:w w:val="95"/>
                <w:vertAlign w:val="superscript"/>
              </w:rPr>
              <w:t>(1)</w:t>
            </w:r>
          </w:p>
        </w:tc>
        <w:tc>
          <w:tcPr>
            <w:tcW w:w="3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Aurora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54"/>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and other </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7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Segment cost of sales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7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Addback: Depreciation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7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7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7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7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2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197"/>
        </w:trPr>
        <w:tc>
          <w:tcPr>
            <w:tcW w:w="4580" w:type="dxa"/>
            <w:vAlign w:val="bottom"/>
            <w:tcBorders>
              <w:top w:val="single" w:sz="8" w:color="CCECFF"/>
            </w:tcBorders>
          </w:tcPr>
          <w:p>
            <w:pPr>
              <w:spacing w:after="0"/>
              <w:rPr>
                <w:sz w:val="17"/>
                <w:szCs w:val="17"/>
                <w:color w:val="auto"/>
              </w:rPr>
            </w:pPr>
          </w:p>
        </w:tc>
        <w:tc>
          <w:tcPr>
            <w:tcW w:w="74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92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200" w:type="dxa"/>
            <w:vAlign w:val="bottom"/>
            <w:tcBorders>
              <w:top w:val="single" w:sz="8" w:color="CCECFF"/>
            </w:tcBorders>
          </w:tcPr>
          <w:p>
            <w:pPr>
              <w:spacing w:after="0"/>
              <w:rPr>
                <w:sz w:val="17"/>
                <w:szCs w:val="17"/>
                <w:color w:val="auto"/>
              </w:rPr>
            </w:pPr>
          </w:p>
        </w:tc>
        <w:tc>
          <w:tcPr>
            <w:tcW w:w="260" w:type="dxa"/>
            <w:vAlign w:val="bottom"/>
            <w:tcBorders>
              <w:top w:val="single" w:sz="8" w:color="CCECFF"/>
            </w:tcBorders>
          </w:tcPr>
          <w:p>
            <w:pPr>
              <w:spacing w:after="0"/>
              <w:rPr>
                <w:sz w:val="17"/>
                <w:szCs w:val="17"/>
                <w:color w:val="auto"/>
              </w:rPr>
            </w:pPr>
          </w:p>
        </w:tc>
        <w:tc>
          <w:tcPr>
            <w:tcW w:w="1060" w:type="dxa"/>
            <w:vAlign w:val="bottom"/>
            <w:tcBorders>
              <w:top w:val="single" w:sz="8" w:color="CCECFF"/>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180" w:type="dxa"/>
            <w:vAlign w:val="bottom"/>
            <w:tcBorders>
              <w:top w:val="single" w:sz="8" w:color="CCECFF"/>
            </w:tcBorders>
          </w:tcPr>
          <w:p>
            <w:pPr>
              <w:spacing w:after="0"/>
              <w:rPr>
                <w:sz w:val="17"/>
                <w:szCs w:val="17"/>
                <w:color w:val="auto"/>
              </w:rPr>
            </w:pPr>
          </w:p>
        </w:tc>
        <w:tc>
          <w:tcPr>
            <w:tcW w:w="200" w:type="dxa"/>
            <w:vAlign w:val="bottom"/>
            <w:tcBorders>
              <w:top w:val="single" w:sz="8" w:color="CCECFF"/>
            </w:tcBorders>
          </w:tcPr>
          <w:p>
            <w:pPr>
              <w:spacing w:after="0"/>
              <w:rPr>
                <w:sz w:val="17"/>
                <w:szCs w:val="17"/>
                <w:color w:val="auto"/>
              </w:rPr>
            </w:pPr>
          </w:p>
        </w:tc>
        <w:tc>
          <w:tcPr>
            <w:tcW w:w="1200" w:type="dxa"/>
            <w:vAlign w:val="bottom"/>
            <w:tcBorders>
              <w:top w:val="single" w:sz="8" w:color="CCECFF"/>
            </w:tcBorders>
          </w:tcPr>
          <w:p>
            <w:pPr>
              <w:spacing w:after="0"/>
              <w:rPr>
                <w:sz w:val="17"/>
                <w:szCs w:val="17"/>
                <w:color w:val="auto"/>
              </w:rPr>
            </w:pPr>
          </w:p>
        </w:tc>
        <w:tc>
          <w:tcPr>
            <w:tcW w:w="160" w:type="dxa"/>
            <w:vAlign w:val="bottom"/>
            <w:tcBorders>
              <w:top w:val="single" w:sz="8" w:color="CCECFF"/>
            </w:tcBorders>
          </w:tcPr>
          <w:p>
            <w:pPr>
              <w:spacing w:after="0"/>
              <w:rPr>
                <w:sz w:val="17"/>
                <w:szCs w:val="17"/>
                <w:color w:val="auto"/>
              </w:rPr>
            </w:pPr>
          </w:p>
        </w:tc>
        <w:tc>
          <w:tcPr>
            <w:tcW w:w="120" w:type="dxa"/>
            <w:vAlign w:val="bottom"/>
            <w:tcBorders>
              <w:top w:val="single" w:sz="8" w:color="CCEC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8"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activity of the OneCell business for periods prior to its disposition.</w:t>
      </w:r>
    </w:p>
    <w:p>
      <w:pPr>
        <w:spacing w:after="0" w:line="61" w:lineRule="exact"/>
        <w:rPr>
          <w:rFonts w:ascii="Times New Roman" w:cs="Times New Roman" w:eastAsia="Times New Roman" w:hAnsi="Times New Roman"/>
          <w:sz w:val="17"/>
          <w:szCs w:val="17"/>
          <w:color w:val="auto"/>
        </w:rPr>
      </w:pPr>
    </w:p>
    <w:p>
      <w:pPr>
        <w:ind w:left="520" w:right="20" w:hanging="512"/>
        <w:spacing w:after="0" w:line="256" w:lineRule="auto"/>
        <w:tabs>
          <w:tab w:leader="none" w:pos="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category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will be reallocated to the Company’s remaining segments beginning in the first quarter of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net sales, cost of sales, total operating expenses, adjusted EBITDA, depreciation expense and additions to property, plant and equipment by reportable segment for the year ended December 31,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5"/>
              </w:rPr>
              <w:t xml:space="preserve">RUCKUS </w:t>
            </w:r>
            <w:r>
              <w:rPr>
                <w:rFonts w:ascii="Times New Roman" w:cs="Times New Roman" w:eastAsia="Times New Roman" w:hAnsi="Times New Roman"/>
                <w:sz w:val="19"/>
                <w:szCs w:val="19"/>
                <w:b w:val="1"/>
                <w:bCs w:val="1"/>
                <w:color w:val="auto"/>
                <w:w w:val="95"/>
                <w:vertAlign w:val="superscript"/>
              </w:rPr>
              <w:t>(1)</w:t>
            </w:r>
          </w:p>
        </w:tc>
        <w:tc>
          <w:tcPr>
            <w:tcW w:w="3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Aurora</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53"/>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and other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CFF"/>
          </w:tcPr>
          <w:p>
            <w:pPr>
              <w:spacing w:after="0"/>
              <w:rPr>
                <w:sz w:val="18"/>
                <w:szCs w:val="18"/>
                <w:color w:val="auto"/>
              </w:rPr>
            </w:pPr>
          </w:p>
        </w:tc>
        <w:tc>
          <w:tcPr>
            <w:tcW w:w="4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1,863.8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Acquisition-related adjustments </w:t>
            </w:r>
            <w:r>
              <w:rPr>
                <w:rFonts w:ascii="Times New Roman" w:cs="Times New Roman" w:eastAsia="Times New Roman" w:hAnsi="Times New Roman"/>
                <w:sz w:val="24"/>
                <w:szCs w:val="24"/>
                <w:color w:val="auto"/>
                <w:vertAlign w:val="superscript"/>
              </w:rPr>
              <w:t>(3)</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net sales</w:t>
            </w:r>
          </w:p>
        </w:tc>
        <w:tc>
          <w:tcPr>
            <w:tcW w:w="900" w:type="dxa"/>
            <w:vAlign w:val="bottom"/>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0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Segment cost of sales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Addback: Depreciation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(182.3)</w:t>
            </w: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16"/>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Restructuring costs, net</w:t>
            </w: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Cyber incident costs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442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9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2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(659.6)</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9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120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Loss from continuing operations before income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(573.0)</w:t>
            </w:r>
          </w:p>
        </w:tc>
        <w:tc>
          <w:tcPr>
            <w:tcW w:w="0" w:type="dxa"/>
            <w:vAlign w:val="bottom"/>
          </w:tcPr>
          <w:p>
            <w:pPr>
              <w:spacing w:after="0"/>
              <w:rPr>
                <w:sz w:val="1"/>
                <w:szCs w:val="1"/>
                <w:color w:val="auto"/>
              </w:rPr>
            </w:pPr>
          </w:p>
        </w:tc>
      </w:tr>
      <w:tr>
        <w:trPr>
          <w:trHeight w:val="194"/>
        </w:trPr>
        <w:tc>
          <w:tcPr>
            <w:tcW w:w="44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taxes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CFF"/>
          </w:tcPr>
          <w:p>
            <w:pPr>
              <w:spacing w:after="0"/>
              <w:rPr>
                <w:sz w:val="18"/>
                <w:szCs w:val="18"/>
                <w:color w:val="auto"/>
              </w:rPr>
            </w:pPr>
          </w:p>
        </w:tc>
        <w:tc>
          <w:tcPr>
            <w:tcW w:w="4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activity of the OneCell business for periods prior to its disposition.</w:t>
      </w:r>
    </w:p>
    <w:p>
      <w:pPr>
        <w:spacing w:after="0" w:line="61" w:lineRule="exact"/>
        <w:rPr>
          <w:rFonts w:ascii="Times New Roman" w:cs="Times New Roman" w:eastAsia="Times New Roman" w:hAnsi="Times New Roman"/>
          <w:sz w:val="17"/>
          <w:szCs w:val="17"/>
          <w:color w:val="auto"/>
        </w:rPr>
      </w:pPr>
    </w:p>
    <w:p>
      <w:pPr>
        <w:ind w:left="520" w:right="60" w:hanging="512"/>
        <w:spacing w:after="0" w:line="254" w:lineRule="auto"/>
        <w:tabs>
          <w:tab w:leader="none" w:pos="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category above primarily reflects general corporate costs that were previously allocated to the CCS segment, OWN segment, DAS business unit and Home segment. These indirect expenses have been classified as continuing operations, since the costs were not directly attributable to these discontinued operations. Beginning in the first quarter of 2024, the corporate and other costs related to the Home segment have been reallocated to the Company’s remaining segments and partially offset by income from the Vantiva TSA. Beginning in the first quarter of 2025, the corporate and other costs related to the OWN segment and DAS business unit have been reallocated to the Company’s remaining segments and partially offset by income from the Amphenol TSA. The corporate and other costs related to the CCS segment will be reallocated to the Company’s remaining segments beginning in the first quarter of 2026.</w:t>
      </w:r>
    </w:p>
    <w:p>
      <w:pPr>
        <w:spacing w:after="0" w:line="23"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ARRIS acquisition accounting adjustments related to reducing deferred revenue to its estimated fair value.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and Supplier Information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sales to Comcast Corporation and affiliates (Comcast) accounted for approximately 35%, 21% and 20% for the years ended December 31, 2025, 2024 and 2023, respectively. Net sales to Charter Communications, Inc. (Charter) accounted for approximately 13% and 14% for the years ended December 31, 2024 and 2023, respectively. Other than Comcast and Charter, no direct customer accounted for 10% or more of the Company’s total net sales during the years ended December 31, 2025, 2024 or 2023. Accounts receivable from Comcast and TD Synnex Corporation (TD Synnex) represented approximately 42% and 11%, respectively, of accounts receivable as of December 31, 2025, and 25% and 16%, respectively, as of December 31, 2024. Other than Comcast and TD Synnex, no direct customer accounted for 10% or more of the Company’s accounts receivable as of December 31, 2025 or 2024. Comcast and Charter are customers of the Aurora and RUCKUS segments, and TD Synnex is a customer of the RUCKUS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a discussion of the Convertible Preferred Stock issued to Carlyle to finance the ARRIS acquisition, see Note 14 in these consolidated financial statements. Other than transactions related to the Convertible Preferred Stock and the Company’s continuing involvement with Vantiva discussed in Note 4, there were no material related party transactions for the years ended December 31, 2025, 2024 or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Sales to customers located outside of the U.S. comprised 28.5%, 33.3% and 31.0% of total net sales during the years ended December 31, 2025, 2024 and 2023, respectively. Sales by geographic region, based on the destination of product shipments or service provided,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RUCKUS </w:t>
            </w:r>
            <w:r>
              <w:rPr>
                <w:rFonts w:ascii="Times New Roman" w:cs="Times New Roman" w:eastAsia="Times New Roman" w:hAnsi="Times New Roman"/>
                <w:sz w:val="19"/>
                <w:szCs w:val="19"/>
                <w:b w:val="1"/>
                <w:bCs w:val="1"/>
                <w:color w:val="auto"/>
                <w:vertAlign w:val="superscript"/>
              </w:rPr>
              <w:t>(1)</w:t>
            </w:r>
          </w:p>
        </w:tc>
        <w:tc>
          <w:tcPr>
            <w:tcW w:w="440" w:type="dxa"/>
            <w:vAlign w:val="bottom"/>
          </w:tcPr>
          <w:p>
            <w:pPr>
              <w:spacing w:after="0"/>
              <w:rPr>
                <w:sz w:val="16"/>
                <w:szCs w:val="16"/>
                <w:color w:val="auto"/>
              </w:rPr>
            </w:pPr>
          </w:p>
        </w:tc>
        <w:tc>
          <w:tcPr>
            <w:tcW w:w="204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Aurora</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12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20" w:type="dxa"/>
            <w:vAlign w:val="bottom"/>
            <w:tcBorders>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418.5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2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144.6</w:t>
            </w:r>
          </w:p>
        </w:tc>
        <w:tc>
          <w:tcPr>
            <w:tcW w:w="3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12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5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12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8"/>
              </w:rPr>
              <w:t>698.9</w:t>
            </w:r>
          </w:p>
        </w:tc>
        <w:tc>
          <w:tcPr>
            <w:tcW w:w="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80" w:type="dxa"/>
            <w:vAlign w:val="bottom"/>
            <w:shd w:val="clear" w:color="auto" w:fill="CCECFF"/>
          </w:tcPr>
          <w:p>
            <w:pPr>
              <w:spacing w:after="0"/>
              <w:rPr>
                <w:sz w:val="21"/>
                <w:szCs w:val="21"/>
                <w:color w:val="auto"/>
              </w:rPr>
            </w:pPr>
          </w:p>
        </w:tc>
        <w:tc>
          <w:tcPr>
            <w:tcW w:w="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21"/>
                <w:szCs w:val="21"/>
                <w:color w:val="auto"/>
              </w:rPr>
            </w:pPr>
          </w:p>
        </w:tc>
        <w:tc>
          <w:tcPr>
            <w:tcW w:w="11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36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7"/>
                <w:szCs w:val="17"/>
                <w:color w:val="auto"/>
              </w:rPr>
              <w:t>(1)</w:t>
            </w:r>
          </w:p>
        </w:tc>
        <w:tc>
          <w:tcPr>
            <w:tcW w:w="5380" w:type="dxa"/>
            <w:vAlign w:val="bottom"/>
            <w:tcBorders>
              <w:top w:val="single" w:sz="8" w:color="CCECFF"/>
            </w:tcBorders>
            <w:gridSpan w:val="4"/>
          </w:tcPr>
          <w:p>
            <w:pPr>
              <w:ind w:left="160"/>
              <w:spacing w:after="0"/>
              <w:rPr>
                <w:sz w:val="20"/>
                <w:szCs w:val="20"/>
                <w:color w:val="auto"/>
              </w:rPr>
            </w:pPr>
            <w:r>
              <w:rPr>
                <w:rFonts w:ascii="Times New Roman" w:cs="Times New Roman" w:eastAsia="Times New Roman" w:hAnsi="Times New Roman"/>
                <w:sz w:val="17"/>
                <w:szCs w:val="17"/>
                <w:color w:val="auto"/>
              </w:rPr>
              <w:t>Includes activity of the OneCell business for periods prior to its disposition.</w:t>
            </w:r>
          </w:p>
        </w:tc>
        <w:tc>
          <w:tcPr>
            <w:tcW w:w="5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Borders>
              <w:top w:val="single" w:sz="8" w:color="CCEC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c>
          <w:tcPr>
            <w:tcW w:w="160" w:type="dxa"/>
            <w:vAlign w:val="bottom"/>
            <w:tcBorders>
              <w:top w:val="single" w:sz="8" w:color="CCEC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xml:space="preserve">RUCKUS </w:t>
            </w:r>
            <w:r>
              <w:rPr>
                <w:rFonts w:ascii="Times New Roman" w:cs="Times New Roman" w:eastAsia="Times New Roman" w:hAnsi="Times New Roman"/>
                <w:sz w:val="19"/>
                <w:szCs w:val="19"/>
                <w:b w:val="1"/>
                <w:bCs w:val="1"/>
                <w:color w:val="auto"/>
                <w:vertAlign w:val="superscript"/>
              </w:rPr>
              <w:t>(1)</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Aurora</w:t>
            </w:r>
          </w:p>
        </w:tc>
        <w:tc>
          <w:tcPr>
            <w:tcW w:w="300" w:type="dxa"/>
            <w:vAlign w:val="bottom"/>
          </w:tcPr>
          <w:p>
            <w:pPr>
              <w:spacing w:after="0"/>
              <w:rPr>
                <w:sz w:val="10"/>
                <w:szCs w:val="10"/>
                <w:color w:val="auto"/>
              </w:rPr>
            </w:pPr>
          </w:p>
        </w:tc>
        <w:tc>
          <w:tcPr>
            <w:tcW w:w="1260" w:type="dxa"/>
            <w:vAlign w:val="bottom"/>
            <w:gridSpan w:val="3"/>
          </w:tcPr>
          <w:p>
            <w:pPr>
              <w:jc w:val="right"/>
              <w:ind w:right="320"/>
              <w:spacing w:after="0" w:line="120"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5"/>
              </w:rPr>
              <w:t>(2)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1280" w:type="dxa"/>
            <w:vAlign w:val="bottom"/>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680" w:type="dxa"/>
            <w:vAlign w:val="bottom"/>
            <w:tcBorders>
              <w:top w:val="single" w:sz="8" w:color="auto"/>
            </w:tcBorders>
            <w:shd w:val="clear" w:color="auto" w:fill="CCECFF"/>
          </w:tcPr>
          <w:p>
            <w:pPr>
              <w:spacing w:after="0"/>
              <w:rPr>
                <w:sz w:val="18"/>
                <w:szCs w:val="18"/>
                <w:color w:val="auto"/>
              </w:rPr>
            </w:pPr>
          </w:p>
        </w:tc>
        <w:tc>
          <w:tcPr>
            <w:tcW w:w="520" w:type="dxa"/>
            <w:vAlign w:val="bottom"/>
            <w:tcBorders>
              <w:top w:val="single" w:sz="8" w:color="auto"/>
            </w:tcBorders>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360" w:type="dxa"/>
            <w:vAlign w:val="bottom"/>
            <w:tcBorders>
              <w:top w:val="single" w:sz="8" w:color="auto"/>
            </w:tcBorders>
            <w:shd w:val="clear" w:color="auto" w:fill="CCECFF"/>
          </w:tcPr>
          <w:p>
            <w:pPr>
              <w:spacing w:after="0"/>
              <w:rPr>
                <w:sz w:val="18"/>
                <w:szCs w:val="18"/>
                <w:color w:val="auto"/>
              </w:rPr>
            </w:pPr>
          </w:p>
        </w:tc>
        <w:tc>
          <w:tcPr>
            <w:tcW w:w="440" w:type="dxa"/>
            <w:vAlign w:val="bottom"/>
            <w:tcBorders>
              <w:top w:val="single" w:sz="8" w:color="auto"/>
            </w:tcBorders>
            <w:shd w:val="clear" w:color="auto" w:fill="CCECFF"/>
          </w:tcPr>
          <w:p>
            <w:pPr>
              <w:spacing w:after="0"/>
              <w:rPr>
                <w:sz w:val="18"/>
                <w:szCs w:val="18"/>
                <w:color w:val="auto"/>
              </w:rPr>
            </w:pPr>
          </w:p>
        </w:tc>
        <w:tc>
          <w:tcPr>
            <w:tcW w:w="340" w:type="dxa"/>
            <w:vAlign w:val="bottom"/>
            <w:tcBorders>
              <w:top w:val="single" w:sz="8" w:color="auto"/>
            </w:tcBorders>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880" w:type="dxa"/>
            <w:vAlign w:val="bottom"/>
            <w:tcBorders>
              <w:top w:val="single" w:sz="8" w:color="auto"/>
            </w:tcBorders>
            <w:shd w:val="clear" w:color="auto" w:fill="CCECFF"/>
          </w:tcPr>
          <w:p>
            <w:pPr>
              <w:spacing w:after="0"/>
              <w:rPr>
                <w:sz w:val="18"/>
                <w:szCs w:val="18"/>
                <w:color w:val="auto"/>
              </w:rPr>
            </w:pPr>
          </w:p>
        </w:tc>
        <w:tc>
          <w:tcPr>
            <w:tcW w:w="200" w:type="dxa"/>
            <w:vAlign w:val="bottom"/>
            <w:tcBorders>
              <w:top w:val="single" w:sz="8" w:color="auto"/>
            </w:tcBorders>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1120" w:type="dxa"/>
            <w:vAlign w:val="bottom"/>
            <w:tcBorders>
              <w:top w:val="single" w:sz="8" w:color="auto"/>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595.1</w:t>
            </w:r>
          </w:p>
        </w:tc>
        <w:tc>
          <w:tcPr>
            <w:tcW w:w="11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2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4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12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4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1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w:t>
            </w:r>
          </w:p>
        </w:tc>
        <w:tc>
          <w:tcPr>
            <w:tcW w:w="3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14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7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CFF"/>
          </w:tcPr>
          <w:p>
            <w:pPr>
              <w:spacing w:after="0"/>
              <w:rPr>
                <w:sz w:val="19"/>
                <w:szCs w:val="19"/>
                <w:color w:val="auto"/>
              </w:rPr>
            </w:pPr>
          </w:p>
        </w:tc>
        <w:tc>
          <w:tcPr>
            <w:tcW w:w="4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835.8</w:t>
            </w:r>
          </w:p>
        </w:tc>
        <w:tc>
          <w:tcPr>
            <w:tcW w:w="1180" w:type="dxa"/>
            <w:vAlign w:val="bottom"/>
            <w:gridSpan w:val="2"/>
            <w:shd w:val="clear" w:color="auto" w:fill="CCEC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CECFF"/>
            </w:tcBorders>
            <w:shd w:val="clear" w:color="auto" w:fill="CCECFF"/>
          </w:tcPr>
          <w:p>
            <w:pPr>
              <w:spacing w:after="0" w:line="20" w:lineRule="exact"/>
              <w:rPr>
                <w:sz w:val="1"/>
                <w:szCs w:val="1"/>
                <w:color w:val="auto"/>
              </w:rPr>
            </w:pPr>
          </w:p>
        </w:tc>
        <w:tc>
          <w:tcPr>
            <w:tcW w:w="3220" w:type="dxa"/>
            <w:vAlign w:val="bottom"/>
            <w:tcBorders>
              <w:top w:val="single" w:sz="8" w:color="CCECFF"/>
            </w:tcBorders>
            <w:shd w:val="clear" w:color="auto" w:fill="CCECFF"/>
          </w:tcPr>
          <w:p>
            <w:pPr>
              <w:spacing w:after="0" w:line="20" w:lineRule="exact"/>
              <w:rPr>
                <w:sz w:val="1"/>
                <w:szCs w:val="1"/>
                <w:color w:val="auto"/>
              </w:rPr>
            </w:pPr>
          </w:p>
        </w:tc>
        <w:tc>
          <w:tcPr>
            <w:tcW w:w="128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-2767965</wp:posOffset>
            </wp:positionV>
            <wp:extent cx="342011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-1688465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-1671320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-1688465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-1671320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-1688465</wp:posOffset>
            </wp:positionV>
            <wp:extent cx="7747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-1671320</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activity of the OneCell business for periods prior to its disposition.</w:t>
      </w:r>
    </w:p>
    <w:p>
      <w:pPr>
        <w:spacing w:after="0" w:line="61" w:lineRule="exact"/>
        <w:rPr>
          <w:rFonts w:ascii="Times New Roman" w:cs="Times New Roman" w:eastAsia="Times New Roman" w:hAnsi="Times New Roman"/>
          <w:sz w:val="17"/>
          <w:szCs w:val="17"/>
          <w:color w:val="auto"/>
        </w:rPr>
      </w:pPr>
    </w:p>
    <w:p>
      <w:pPr>
        <w:ind w:left="520" w:right="280" w:hanging="512"/>
        <w:spacing w:after="0" w:line="281" w:lineRule="auto"/>
        <w:tabs>
          <w:tab w:leader="none" w:pos="5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corporate and other category above includes the activity from a business line within the CCS segment that was not divested with the sale of the CCS segment.</w:t>
      </w:r>
    </w:p>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Long-lived assets, excluding intangible assets, consist substantially of property, plant and equipment and right of use assets. The Company’s long-lived assets, excluding intangible assets, located in the U.S., EMEA, APAC and CALA regions represented the following percentages of such long-lived assets: 80%, 2%, 10% and 8%, respectively, as of December 31, 2025 and 71%, 6%, 17% and 6%, respectively, as of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QUARTERLY FINANCIAL DATA (UNAUDITED)</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unaudited interim financial information below has been recast to reflect the discontinuation of the CCS segment, OWN segment, DAS business unit and Home business. For further information on discontinued operations, see Note 4 in these consolidated financial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Pr>
          <w:p>
            <w:pPr>
              <w:spacing w:after="0"/>
              <w:rPr>
                <w:sz w:val="13"/>
                <w:szCs w:val="13"/>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120" w:type="dxa"/>
            <w:vAlign w:val="bottom"/>
          </w:tcPr>
          <w:p>
            <w:pPr>
              <w:spacing w:after="0"/>
              <w:rPr>
                <w:sz w:val="13"/>
                <w:szCs w:val="13"/>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48"/>
        </w:trPr>
        <w:tc>
          <w:tcPr>
            <w:tcW w:w="5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r>
      <w:tr>
        <w:trPr>
          <w:trHeight w:val="173"/>
        </w:trPr>
        <w:tc>
          <w:tcPr>
            <w:tcW w:w="5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209"/>
        </w:trPr>
        <w:tc>
          <w:tcPr>
            <w:tcW w:w="5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shd w:val="clear" w:color="auto" w:fill="CCECFF"/>
          </w:tcPr>
          <w:p>
            <w:pPr>
              <w:spacing w:after="0"/>
              <w:rPr>
                <w:sz w:val="18"/>
                <w:szCs w:val="18"/>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8"/>
                <w:szCs w:val="18"/>
                <w:color w:val="auto"/>
              </w:rPr>
            </w:pPr>
          </w:p>
        </w:tc>
      </w:tr>
      <w:tr>
        <w:trPr>
          <w:trHeight w:val="216"/>
        </w:trPr>
        <w:tc>
          <w:tcPr>
            <w:tcW w:w="5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5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00" w:type="dxa"/>
            <w:vAlign w:val="bottom"/>
            <w:shd w:val="clear" w:color="auto" w:fill="CCECFF"/>
          </w:tcPr>
          <w:p>
            <w:pPr>
              <w:spacing w:after="0"/>
              <w:rPr>
                <w:sz w:val="18"/>
                <w:szCs w:val="18"/>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tcPr>
          <w:p>
            <w:pPr>
              <w:spacing w:after="0"/>
              <w:rPr>
                <w:sz w:val="18"/>
                <w:szCs w:val="18"/>
                <w:color w:val="auto"/>
              </w:rPr>
            </w:pPr>
          </w:p>
        </w:tc>
      </w:tr>
      <w:tr>
        <w:trPr>
          <w:trHeight w:val="216"/>
        </w:trPr>
        <w:tc>
          <w:tcPr>
            <w:tcW w:w="5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Basic earnings (loss) from continuing operations per share</w:t>
            </w:r>
          </w:p>
        </w:tc>
        <w:tc>
          <w:tcPr>
            <w:tcW w:w="12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r>
      <w:tr>
        <w:trPr>
          <w:trHeight w:val="234"/>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 earnings (loss) from continuing operations per share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r>
      <w:tr>
        <w:trPr>
          <w:trHeight w:val="321"/>
        </w:trPr>
        <w:tc>
          <w:tcPr>
            <w:tcW w:w="5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Pr>
          <w:p>
            <w:pPr>
              <w:spacing w:after="0"/>
              <w:rPr>
                <w:sz w:val="24"/>
                <w:szCs w:val="24"/>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120" w:type="dxa"/>
            <w:vAlign w:val="bottom"/>
          </w:tcPr>
          <w:p>
            <w:pPr>
              <w:spacing w:after="0"/>
              <w:rPr>
                <w:sz w:val="24"/>
                <w:szCs w:val="24"/>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48"/>
        </w:trPr>
        <w:tc>
          <w:tcPr>
            <w:tcW w:w="5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Quarter</w:t>
            </w:r>
          </w:p>
        </w:tc>
      </w:tr>
      <w:tr>
        <w:trPr>
          <w:trHeight w:val="173"/>
        </w:trPr>
        <w:tc>
          <w:tcPr>
            <w:tcW w:w="5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10"/>
        </w:trPr>
        <w:tc>
          <w:tcPr>
            <w:tcW w:w="5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30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shd w:val="clear" w:color="auto" w:fill="CCECFF"/>
          </w:tcPr>
          <w:p>
            <w:pPr>
              <w:spacing w:after="0"/>
              <w:rPr>
                <w:sz w:val="18"/>
                <w:szCs w:val="18"/>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8"/>
                <w:szCs w:val="18"/>
                <w:color w:val="auto"/>
              </w:rPr>
            </w:pPr>
          </w:p>
        </w:tc>
      </w:tr>
      <w:tr>
        <w:trPr>
          <w:trHeight w:val="216"/>
        </w:trPr>
        <w:tc>
          <w:tcPr>
            <w:tcW w:w="5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(333.7)</w:t>
            </w:r>
          </w:p>
        </w:tc>
        <w:tc>
          <w:tcPr>
            <w:tcW w:w="12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CFF"/>
          </w:tcPr>
          <w:p>
            <w:pPr>
              <w:spacing w:after="0"/>
              <w:rPr>
                <w:sz w:val="18"/>
                <w:szCs w:val="18"/>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Basic loss from continuing operations per share</w:t>
            </w:r>
          </w:p>
        </w:tc>
        <w:tc>
          <w:tcPr>
            <w:tcW w:w="12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34"/>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 loss from continuing operations per share</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bl>
    <w:p>
      <w:pPr>
        <w:spacing w:after="0" w:line="200" w:lineRule="exact"/>
        <w:rPr>
          <w:sz w:val="20"/>
          <w:szCs w:val="20"/>
          <w:color w:val="auto"/>
        </w:rPr>
      </w:pPr>
    </w:p>
    <w:p>
      <w:pPr>
        <w:spacing w:after="0" w:line="2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January 9, 2026, the Company completed the previously announced sale of its CCS segment to Amphenol pursuant to the Purchase Agreement, dated as of August 3, 2025, in which Amphenol acquired the CCS segment on a cash-free, debt-free basis, in exchange for approximately $10.5 billion in cash, subject to certain adjustments.</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on the closing date, the Company repaid in full all outstanding indebtedness using a portion of the proceeds from the transaction and terminated all outstanding commitments under each of its Revolving Credit Agreement dated as of April 4, 2019, which provided for the Revolving Credit Facility in an aggregate principal amount of up to $750.0 million, and Term Loan Credit Agreement dated as of December 17, 2024, which provided for the 2029 Term Loan in an aggregate outstanding principal amount of $3,150 million.</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on the closing date, the Company satisfied and discharged the indentures governing the (1) $1,000.0 million in outstanding aggregate principal amount of the 2031 Secured Notes, (2) $951.0 million in outstanding aggregate principal amount of the 2029 Secured Notes, (3) $641.6 million in outstanding aggregate principal amount of the 2028 Notes, (4) $866.9 million in outstanding aggregate principal amount of the 8.25% 2027 Notes and (5) $750.0 million in outstanding aggregate principal amount of the 5.00% 2027 Notes (Notes). In connection therewith, on the closing date, notices of full redemption were issued to holders of all of the outstanding Notes, calling all outstanding Notes for redemption on January 26, 2026 using a portion of the proceeds from the transaction, and all outstanding Notes were redeemed on that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Vistance Networks, Inc.</w:t>
      </w:r>
    </w:p>
    <w:p>
      <w:pPr>
        <w:spacing w:after="0" w:line="3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on the closing date, 100% of the Convertible Preferred Stock was redeemed by the Company for cash in accordance with the terms of the Certificate of Designations. Simultaneously with the consummation of the redemption, the Investment Agreement, dated as of November 8, 2018, by and among the Company and Carlyle pursuant to which such Convertible Preferred Stock was initially purchased, and all rights and obligations of the parties under the Investment Agreement, were terminated.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13, 2026, the Company filed with the Secretary of State of the State of Delaware a Second Amended and Restated Certificate of Incorporation to change the Company’s corporate name from CommScope Holding Company, Inc. to Vistance Networks, Inc., effective January 14, 2026. The Company’s common stock will continue to trade on the NASDAQ Stock Market, but effective as of January 14, 2026, it is trading under the ticker symbol “VISN”.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765" w:right="1139" w:bottom="1440" w:gutter="0" w:footer="0" w:header="0"/>
        </w:sectPr>
      </w:pPr>
    </w:p>
    <w:bookmarkStart w:id="101" w:name="page102"/>
    <w:bookmarkEnd w:id="101"/>
    <w:p>
      <w:pPr>
        <w:ind w:right="1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the Chief Executive Officer (CEO) and Chief Financial Officer (CFO), evaluated the effectiveness of our disclosure controls and procedures (as defined in Rules 13a-15(e) and 15d-15(e) under the Securities Exchange Act of 1934, as amended (the Exchange Act)) as of the end of the period covered by this report.</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Based on this evaluation, our CEO and CFO have concluded that, as of the end of the period covered by this report, these disclosure controls and procedures were effective and operating to provide reasonable assurance that information that we are required to disclose in the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CEO and CFO, as appropriate, to allow timely decisions regarding required disclosure.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1020" w:right="2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jc w:val="both"/>
        <w:ind w:left="1020" w:right="62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54"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In making this assessment, our management used the criteria set forth by the Committee of Sponsoring Organizations of the Treadway Commission (COSO) in Internal Control – Integrated Framework (2013). Based on this assessment, management concluded that, as of December 31, 2025, our internal control over financial reporting is effective based on the COSO internal control criteria.</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issued an attestation report on the effectiveness of our internal control over financial reporting, which is included in Item 8 of this Annual Report on Form 10-K.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controls over financial reporting during the quarter ended December 31, 2025 that have materially affected, or are reasonably likely to materially affect, the Company’s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Disclosure Controls and Internal Control over Financial Reporting</w:t>
      </w:r>
    </w:p>
    <w:p>
      <w:pPr>
        <w:spacing w:after="0" w:line="12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all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officers and directors did not enter into, modify or terminate any Rule 10b5-1 trading arrangements or non-Rule 10b5-1 trading arrangements (each as defined in Item 408(c) of Regulation S-K) during the quarter ended December 31, 2025.</w:t>
      </w:r>
    </w:p>
    <w:p>
      <w:pPr>
        <w:spacing w:after="0" w:line="266" w:lineRule="exact"/>
        <w:rPr>
          <w:sz w:val="20"/>
          <w:szCs w:val="20"/>
          <w:color w:val="auto"/>
        </w:rPr>
      </w:pPr>
    </w:p>
    <w:p>
      <w:pPr>
        <w:ind w:right="28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for Principal Executive and Senior Financial and Accounting Officers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the Vistance Networks, Inc. Code of Ethics for Principal Executive and Senior Financial and Accounting Officers (the Senior Officer Code of Ethics), a code of ethics that applies to our Chief Executive Officer, Chief Financial Officer and Chief Accounting Officer. The Senior Officer Code of Ethics is publicly available on our website at </w:t>
      </w:r>
      <w:r>
        <w:rPr>
          <w:rFonts w:ascii="Times New Roman" w:cs="Times New Roman" w:eastAsia="Times New Roman" w:hAnsi="Times New Roman"/>
          <w:sz w:val="18"/>
          <w:szCs w:val="18"/>
          <w:i w:val="1"/>
          <w:iCs w:val="1"/>
          <w:color w:val="auto"/>
        </w:rPr>
        <w:t>www.vistancenetworks.com</w:t>
      </w:r>
      <w:r>
        <w:rPr>
          <w:rFonts w:ascii="Times New Roman" w:cs="Times New Roman" w:eastAsia="Times New Roman" w:hAnsi="Times New Roman"/>
          <w:sz w:val="18"/>
          <w:szCs w:val="18"/>
          <w:color w:val="auto"/>
        </w:rPr>
        <w:t>. If we make an amendment to, or grant a waiver from, a provision of the Senior Officer Code of Ethics, we will disclose the nature of such waiver or amendment on our website.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and/or other dispositions of our securities by our directors, officers and other employees (and certain other persons). We believe these policies and procedures are reasonably designed to promote compliance with insider trading laws, rules and regulations and applicable listing standards. A copy of our insider trading policy is included as Exhibit 19.1 to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3" w:name="page104"/>
    <w:bookmarkEnd w:id="103"/>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2026 annual meeting of stockholders to be filed with the Securities and Exchange Commission pursuant to Regulation 14A not later than 120 days after the end of the fiscal year covered by this Annual Report on Form 10-K.</w:t>
      </w: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15"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Audited Consolidated Financial Statements</w:t>
      </w:r>
    </w:p>
    <w:p>
      <w:pPr>
        <w:spacing w:after="0" w:line="11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of Vistance Networks, Inc. are included under Part II, Item 8:</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2024 and 2023</w:t>
      </w:r>
    </w:p>
    <w:p>
      <w:pPr>
        <w:spacing w:after="0" w:line="9" w:lineRule="exact"/>
        <w:rPr>
          <w:sz w:val="20"/>
          <w:szCs w:val="20"/>
          <w:color w:val="auto"/>
        </w:rPr>
      </w:pPr>
    </w:p>
    <w:p>
      <w:pPr>
        <w:ind w:left="1280" w:right="1500"/>
        <w:spacing w:after="0" w:line="250" w:lineRule="auto"/>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2025, 2024 and 2023 Consolidated Balance Sheets as of December 31, 2025 and 2024</w:t>
      </w:r>
    </w:p>
    <w:p>
      <w:pPr>
        <w:spacing w:after="0" w:line="1" w:lineRule="exact"/>
        <w:rPr>
          <w:sz w:val="20"/>
          <w:szCs w:val="20"/>
          <w:color w:val="auto"/>
        </w:rPr>
      </w:pPr>
    </w:p>
    <w:p>
      <w:pPr>
        <w:ind w:left="1280" w:right="2220"/>
        <w:spacing w:after="0" w:line="255" w:lineRule="auto"/>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 Consolidated Statements of Stockholders' Deficit for the Years Ended December 31, 2025, 2024 and 2023 Notes to Consolidated Financial Statements</w:t>
      </w:r>
    </w:p>
    <w:p>
      <w:pPr>
        <w:spacing w:after="0" w:line="76" w:lineRule="exact"/>
        <w:rPr>
          <w:sz w:val="20"/>
          <w:szCs w:val="20"/>
          <w:color w:val="auto"/>
        </w:rPr>
      </w:pPr>
    </w:p>
    <w:p>
      <w:pPr>
        <w:ind w:left="1020" w:hanging="35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115"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 of Exhibits. </w:t>
      </w:r>
      <w:r>
        <w:rPr>
          <w:rFonts w:ascii="Times New Roman" w:cs="Times New Roman" w:eastAsia="Times New Roman" w:hAnsi="Times New Roman"/>
          <w:sz w:val="18"/>
          <w:szCs w:val="18"/>
          <w:color w:val="auto"/>
        </w:rPr>
        <w:t>See Index of Exhibits included herein.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60" w:type="dxa"/>
            <w:vAlign w:val="bottom"/>
            <w:gridSpan w:val="18"/>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Index of Exhibits</w:t>
            </w:r>
          </w:p>
        </w:tc>
      </w:tr>
      <w:tr>
        <w:trPr>
          <w:trHeight w:val="364"/>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16"/>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291"/>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58">
              <w:r>
                <w:rPr>
                  <w:rFonts w:ascii="Times New Roman" w:cs="Times New Roman" w:eastAsia="Times New Roman" w:hAnsi="Times New Roman"/>
                  <w:sz w:val="18"/>
                  <w:szCs w:val="18"/>
                  <w:color w:val="auto"/>
                </w:rPr>
                <w:t>Purchase Agreement, dated as of July 18, 2024, by and between Vistance Networks, Inc. (f/k/a CommScope Holding Company,</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w w:val="99"/>
              </w:rPr>
            </w:pPr>
            <w:hyperlink r:id="rId458">
              <w:r>
                <w:rPr>
                  <w:rFonts w:ascii="Times New Roman" w:cs="Times New Roman" w:eastAsia="Times New Roman" w:hAnsi="Times New Roman"/>
                  <w:sz w:val="18"/>
                  <w:szCs w:val="18"/>
                  <w:color w:val="auto"/>
                  <w:w w:val="99"/>
                </w:rPr>
                <w:t>Inc.) and Amphenol Corporation (Incorporated by reference to Exhibit 2.1 to the Company’s Current Report on Form 8-K filed with</w:t>
              </w:r>
            </w:hyperlink>
          </w:p>
        </w:tc>
        <w:tc>
          <w:tcPr>
            <w:tcW w:w="120" w:type="dxa"/>
            <w:vAlign w:val="bottom"/>
            <w:gridSpan w:val="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458">
              <w:r>
                <w:rPr>
                  <w:rFonts w:ascii="Times New Roman" w:cs="Times New Roman" w:eastAsia="Times New Roman" w:hAnsi="Times New Roman"/>
                  <w:sz w:val="18"/>
                  <w:szCs w:val="18"/>
                  <w:color w:val="auto"/>
                  <w:w w:val="99"/>
                </w:rPr>
                <w:t>the SEC on July 23, 2024).</w:t>
              </w:r>
            </w:hyperlink>
          </w:p>
        </w:tc>
        <w:tc>
          <w:tcPr>
            <w:tcW w:w="7640" w:type="dxa"/>
            <w:vAlign w:val="bottom"/>
            <w:gridSpan w:val="20"/>
          </w:tcPr>
          <w:p>
            <w:pPr>
              <w:spacing w:after="0"/>
              <w:rPr>
                <w:sz w:val="17"/>
                <w:szCs w:val="17"/>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Purchase Agreement, dated August 3, 2025, by and between Vistance Networks, Inc. (f/k/a CommScope Holding Company,</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Inc.) and Amphenol Corporation (Incorporated by reference to Exhibit 2.1 to the Registrant’s Current Report on Form 8-K</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(File No. 001-36146), filed with the SEC on August 7, 2025).</w:t>
              </w:r>
            </w:hyperlink>
          </w:p>
        </w:tc>
      </w:tr>
      <w:tr>
        <w:trPr>
          <w:trHeight w:val="20"/>
        </w:trPr>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20"/>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0">
              <w:r>
                <w:rPr>
                  <w:rFonts w:ascii="Times New Roman" w:cs="Times New Roman" w:eastAsia="Times New Roman" w:hAnsi="Times New Roman"/>
                  <w:sz w:val="18"/>
                  <w:szCs w:val="18"/>
                  <w:color w:val="auto"/>
                </w:rPr>
                <w:t>Second Amended and Restated Certificate of Incorporation of Vistance Networks, Inc. (f/k/a CommScope Holding Company, Inc.)</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0">
              <w:r>
                <w:rPr>
                  <w:rFonts w:ascii="Times New Roman" w:cs="Times New Roman" w:eastAsia="Times New Roman" w:hAnsi="Times New Roman"/>
                  <w:sz w:val="18"/>
                  <w:szCs w:val="18"/>
                  <w:color w:val="auto"/>
                </w:rPr>
                <w:t>(Incorporated by reference to Exhibit 3.1 of the Registrant’s Current Report on Form 8-K (File No. 001-36146), filed with the SEC</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460">
              <w:r>
                <w:rPr>
                  <w:rFonts w:ascii="Times New Roman" w:cs="Times New Roman" w:eastAsia="Times New Roman" w:hAnsi="Times New Roman"/>
                  <w:sz w:val="18"/>
                  <w:szCs w:val="18"/>
                  <w:color w:val="auto"/>
                  <w:w w:val="99"/>
                </w:rPr>
                <w:t>on January 15, 2026).</w:t>
              </w:r>
            </w:hyperlink>
          </w:p>
        </w:tc>
        <w:tc>
          <w:tcPr>
            <w:tcW w:w="8020" w:type="dxa"/>
            <w:vAlign w:val="bottom"/>
            <w:gridSpan w:val="21"/>
          </w:tcPr>
          <w:p>
            <w:pPr>
              <w:spacing w:after="0"/>
              <w:rPr>
                <w:sz w:val="17"/>
                <w:szCs w:val="17"/>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1">
              <w:r>
                <w:rPr>
                  <w:rFonts w:ascii="Times New Roman" w:cs="Times New Roman" w:eastAsia="Times New Roman" w:hAnsi="Times New Roman"/>
                  <w:sz w:val="18"/>
                  <w:szCs w:val="18"/>
                  <w:color w:val="auto"/>
                </w:rPr>
                <w:t>Certificate of Designations Designating Series A Preferred Stock (Incorporated by reference to Exhibit 3.1 to the Registrant’s</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461">
              <w:r>
                <w:rPr>
                  <w:rFonts w:ascii="Times New Roman" w:cs="Times New Roman" w:eastAsia="Times New Roman" w:hAnsi="Times New Roman"/>
                  <w:sz w:val="18"/>
                  <w:szCs w:val="18"/>
                  <w:color w:val="auto"/>
                  <w:w w:val="99"/>
                </w:rPr>
                <w:t>Current Report on Form 8-K filed with the SEC on April 4, 2019).</w:t>
              </w:r>
            </w:hyperlink>
          </w:p>
        </w:tc>
        <w:tc>
          <w:tcPr>
            <w:tcW w:w="4800" w:type="dxa"/>
            <w:vAlign w:val="bottom"/>
            <w:gridSpan w:val="15"/>
          </w:tcPr>
          <w:p>
            <w:pPr>
              <w:spacing w:after="0"/>
              <w:rPr>
                <w:sz w:val="17"/>
                <w:szCs w:val="17"/>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2">
              <w:r>
                <w:rPr>
                  <w:rFonts w:ascii="Times New Roman" w:cs="Times New Roman" w:eastAsia="Times New Roman" w:hAnsi="Times New Roman"/>
                  <w:sz w:val="18"/>
                  <w:szCs w:val="18"/>
                  <w:color w:val="auto"/>
                </w:rPr>
                <w:t>Certificate of Increase of Shares Designated as Series A Convertible Preferred Stock, par value $0.01 (Incorporated by reference to</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462">
              <w:r>
                <w:rPr>
                  <w:rFonts w:ascii="Times New Roman" w:cs="Times New Roman" w:eastAsia="Times New Roman" w:hAnsi="Times New Roman"/>
                  <w:sz w:val="18"/>
                  <w:szCs w:val="18"/>
                  <w:color w:val="auto"/>
                </w:rPr>
                <w:t>Exhibit 3.3 to the Registrant’s Annual Report on Form 10-K (File No. 001-36146), filed with the SEC on February 29, 2024).</w:t>
              </w:r>
            </w:hyperlink>
          </w:p>
        </w:tc>
        <w:tc>
          <w:tcPr>
            <w:tcW w:w="500" w:type="dxa"/>
            <w:vAlign w:val="bottom"/>
            <w:gridSpan w:val="6"/>
          </w:tcPr>
          <w:p>
            <w:pPr>
              <w:spacing w:after="0"/>
              <w:rPr>
                <w:sz w:val="17"/>
                <w:szCs w:val="17"/>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3">
              <w:r>
                <w:rPr>
                  <w:rFonts w:ascii="Times New Roman" w:cs="Times New Roman" w:eastAsia="Times New Roman" w:hAnsi="Times New Roman"/>
                  <w:sz w:val="18"/>
                  <w:szCs w:val="18"/>
                  <w:color w:val="auto"/>
                </w:rPr>
                <w:t>Seventh Amended and Restated By-Laws of Vistance Networks, Inc. (as adopted January 14, 2026) (Incorporated by reference to</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w w:val="99"/>
              </w:rPr>
            </w:pPr>
            <w:hyperlink r:id="rId463">
              <w:r>
                <w:rPr>
                  <w:rFonts w:ascii="Times New Roman" w:cs="Times New Roman" w:eastAsia="Times New Roman" w:hAnsi="Times New Roman"/>
                  <w:sz w:val="18"/>
                  <w:szCs w:val="18"/>
                  <w:color w:val="auto"/>
                  <w:w w:val="99"/>
                </w:rPr>
                <w:t>Exhibit 3.2 of the Registrant’s Current Report on Form 8-K (File No. 001-36146), filed with the SEC on January 15, 2026).</w:t>
              </w:r>
            </w:hyperlink>
          </w:p>
        </w:tc>
        <w:tc>
          <w:tcPr>
            <w:tcW w:w="680" w:type="dxa"/>
            <w:vAlign w:val="bottom"/>
            <w:gridSpan w:val="9"/>
          </w:tcPr>
          <w:p>
            <w:pPr>
              <w:spacing w:after="0"/>
              <w:rPr>
                <w:sz w:val="17"/>
                <w:szCs w:val="17"/>
                <w:color w:val="auto"/>
              </w:rPr>
            </w:pPr>
          </w:p>
        </w:tc>
      </w:tr>
      <w:tr>
        <w:trPr>
          <w:trHeight w:val="345"/>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96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Description of Securities Registered Pursuant to Section 12 of the Exchange Act.</w:t>
            </w:r>
          </w:p>
        </w:tc>
      </w:tr>
      <w:tr>
        <w:trPr>
          <w:trHeight w:val="283"/>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4">
              <w:r>
                <w:rPr>
                  <w:rFonts w:ascii="Times New Roman" w:cs="Times New Roman" w:eastAsia="Times New Roman" w:hAnsi="Times New Roman"/>
                  <w:sz w:val="18"/>
                  <w:szCs w:val="18"/>
                  <w:color w:val="auto"/>
                </w:rPr>
                <w:t>Form of Long-Term Cash Incentive Award Agreement (Incorporated by reference to Exhibit 10.1 to the Company’s Current Report</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3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4">
              <w:r>
                <w:rPr>
                  <w:rFonts w:ascii="Times New Roman" w:cs="Times New Roman" w:eastAsia="Times New Roman" w:hAnsi="Times New Roman"/>
                  <w:sz w:val="18"/>
                  <w:szCs w:val="18"/>
                  <w:color w:val="auto"/>
                </w:rPr>
                <w:t>on Form 8-K filed with the SEC on May 21, 2024).***</w:t>
              </w:r>
            </w:hyperlink>
          </w:p>
        </w:tc>
      </w:tr>
      <w:tr>
        <w:trPr>
          <w:trHeight w:val="20"/>
        </w:trPr>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Form of Success Bonus Agreement between CommScope, LLC and Krista R. Bowen and Charles A. Gilstrap (Incorporated</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by reference to Exhibit 10.2 to the Registrant’s Quarterly Report on Form 10-Q (File No. 001-36146), filed with the SEC on</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October 30, 2025).***</w:t>
              </w:r>
            </w:hyperlink>
          </w:p>
        </w:tc>
      </w:tr>
      <w:tr>
        <w:trPr>
          <w:trHeight w:val="20"/>
        </w:trPr>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6">
              <w:r>
                <w:rPr>
                  <w:rFonts w:ascii="Times New Roman" w:cs="Times New Roman" w:eastAsia="Times New Roman" w:hAnsi="Times New Roman"/>
                  <w:sz w:val="18"/>
                  <w:szCs w:val="18"/>
                  <w:color w:val="auto"/>
                </w:rPr>
                <w:t>Success Bonus Agreement, dated July 22, 2024, between CommScope, LLC and Farid Firouzbakht (Incorporated by</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6">
              <w:r>
                <w:rPr>
                  <w:rFonts w:ascii="Times New Roman" w:cs="Times New Roman" w:eastAsia="Times New Roman" w:hAnsi="Times New Roman"/>
                  <w:sz w:val="18"/>
                  <w:szCs w:val="18"/>
                  <w:color w:val="auto"/>
                </w:rPr>
                <w:t>reference to Exhibit 10.2 to the Registrant's Quarterly Report on Form 10-Q (File No. 001-36146), filed with the SEC on</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6">
              <w:r>
                <w:rPr>
                  <w:rFonts w:ascii="Times New Roman" w:cs="Times New Roman" w:eastAsia="Times New Roman" w:hAnsi="Times New Roman"/>
                  <w:sz w:val="18"/>
                  <w:szCs w:val="18"/>
                  <w:color w:val="auto"/>
                </w:rPr>
                <w:t>August 8, 2024).***</w:t>
              </w:r>
            </w:hyperlink>
          </w:p>
        </w:tc>
      </w:tr>
      <w:tr>
        <w:trPr>
          <w:trHeight w:val="20"/>
        </w:trPr>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7">
              <w:r>
                <w:rPr>
                  <w:rFonts w:ascii="Times New Roman" w:cs="Times New Roman" w:eastAsia="Times New Roman" w:hAnsi="Times New Roman"/>
                  <w:sz w:val="18"/>
                  <w:szCs w:val="18"/>
                  <w:color w:val="auto"/>
                </w:rPr>
                <w:t>Employment Agreement between Charles L. Treadway and CommScope, LLC (f/k/a CommScope, Inc.), dated October 1, 2020</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7">
              <w:r>
                <w:rPr>
                  <w:rFonts w:ascii="Times New Roman" w:cs="Times New Roman" w:eastAsia="Times New Roman" w:hAnsi="Times New Roman"/>
                  <w:sz w:val="18"/>
                  <w:szCs w:val="18"/>
                  <w:color w:val="auto"/>
                </w:rPr>
                <w:t>(Incorporated by reference to Exhibit 10.1 to the Registrant’s Current Report on Form 8-K (File No. 001-36146), filed with the SEC</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7">
              <w:r>
                <w:rPr>
                  <w:rFonts w:ascii="Times New Roman" w:cs="Times New Roman" w:eastAsia="Times New Roman" w:hAnsi="Times New Roman"/>
                  <w:sz w:val="18"/>
                  <w:szCs w:val="18"/>
                  <w:color w:val="auto"/>
                </w:rPr>
                <w:t>on October 1, 2020).***</w:t>
              </w:r>
            </w:hyperlink>
          </w:p>
        </w:tc>
      </w:tr>
      <w:tr>
        <w:trPr>
          <w:trHeight w:val="20"/>
        </w:trPr>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8">
              <w:r>
                <w:rPr>
                  <w:rFonts w:ascii="Times New Roman" w:cs="Times New Roman" w:eastAsia="Times New Roman" w:hAnsi="Times New Roman"/>
                  <w:sz w:val="18"/>
                  <w:szCs w:val="18"/>
                  <w:color w:val="auto"/>
                </w:rPr>
                <w:t>Amendment to Employment Agreement between Charles L. Treadway and CommScope, LLC (f/k/a CommScope, Inc.), dated</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8">
              <w:r>
                <w:rPr>
                  <w:rFonts w:ascii="Times New Roman" w:cs="Times New Roman" w:eastAsia="Times New Roman" w:hAnsi="Times New Roman"/>
                  <w:sz w:val="18"/>
                  <w:szCs w:val="18"/>
                  <w:color w:val="auto"/>
                </w:rPr>
                <w:t>October 4, 2022 (Incorporated by reference to Exhibit 10.2 of the Registrant’s Annual Report on Form 10-K (File No. 001-36046),</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8">
              <w:r>
                <w:rPr>
                  <w:rFonts w:ascii="Times New Roman" w:cs="Times New Roman" w:eastAsia="Times New Roman" w:hAnsi="Times New Roman"/>
                  <w:sz w:val="18"/>
                  <w:szCs w:val="18"/>
                  <w:color w:val="auto"/>
                </w:rPr>
                <w:t>filed with the SEC on February 17, 2023).***</w:t>
              </w:r>
            </w:hyperlink>
          </w:p>
        </w:tc>
      </w:tr>
      <w:tr>
        <w:trPr>
          <w:trHeight w:val="20"/>
        </w:trPr>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69">
              <w:r>
                <w:rPr>
                  <w:rFonts w:ascii="Times New Roman" w:cs="Times New Roman" w:eastAsia="Times New Roman" w:hAnsi="Times New Roman"/>
                  <w:sz w:val="18"/>
                  <w:szCs w:val="18"/>
                  <w:color w:val="auto"/>
                </w:rPr>
                <w:t>Employment Agreement between Claudius E. Watts IV and CommScope, LLC (f/k/a CommScope, Inc.), dated October 1, 2020</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8"/>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9">
              <w:r>
                <w:rPr>
                  <w:rFonts w:ascii="Times New Roman" w:cs="Times New Roman" w:eastAsia="Times New Roman" w:hAnsi="Times New Roman"/>
                  <w:sz w:val="18"/>
                  <w:szCs w:val="18"/>
                  <w:color w:val="auto"/>
                </w:rPr>
                <w:t>(Incorporated by reference to Exhibit 10.4 to the Registrant’s Current Report on Form 8-K (File No. 001-36146), filed with the SEC</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8"/>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69">
              <w:r>
                <w:rPr>
                  <w:rFonts w:ascii="Times New Roman" w:cs="Times New Roman" w:eastAsia="Times New Roman" w:hAnsi="Times New Roman"/>
                  <w:sz w:val="18"/>
                  <w:szCs w:val="18"/>
                  <w:color w:val="auto"/>
                </w:rPr>
                <w:t>on October 1, 2020).***</w:t>
              </w:r>
            </w:hyperlink>
          </w:p>
        </w:tc>
      </w:tr>
      <w:tr>
        <w:trPr>
          <w:trHeight w:val="20"/>
        </w:trPr>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70">
              <w:r>
                <w:rPr>
                  <w:rFonts w:ascii="Times New Roman" w:cs="Times New Roman" w:eastAsia="Times New Roman" w:hAnsi="Times New Roman"/>
                  <w:sz w:val="18"/>
                  <w:szCs w:val="18"/>
                  <w:color w:val="auto"/>
                </w:rPr>
                <w:t>Amendment to Employment Agreement between Claudius E. Watts, IV and CommScope, LLC (f/k/a CommScope, Inc.), dated</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8"/>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70">
              <w:r>
                <w:rPr>
                  <w:rFonts w:ascii="Times New Roman" w:cs="Times New Roman" w:eastAsia="Times New Roman" w:hAnsi="Times New Roman"/>
                  <w:sz w:val="18"/>
                  <w:szCs w:val="18"/>
                  <w:color w:val="auto"/>
                </w:rPr>
                <w:t>October 4, 2022 (Incorporated by reference to Exhibit 10.4 of the Registrant’s Annual Report on Form 10-K (File No. 001-36046),</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8"/>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70">
              <w:r>
                <w:rPr>
                  <w:rFonts w:ascii="Times New Roman" w:cs="Times New Roman" w:eastAsia="Times New Roman" w:hAnsi="Times New Roman"/>
                  <w:sz w:val="18"/>
                  <w:szCs w:val="18"/>
                  <w:color w:val="auto"/>
                </w:rPr>
                <w:t>filed with the SEC on February 17, 2023).***</w:t>
              </w:r>
            </w:hyperlink>
          </w:p>
        </w:tc>
      </w:tr>
      <w:tr>
        <w:trPr>
          <w:trHeight w:val="20"/>
        </w:trPr>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0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9600" w:type="dxa"/>
            <w:vAlign w:val="bottom"/>
            <w:gridSpan w:val="27"/>
          </w:tcPr>
          <w:p>
            <w:pPr>
              <w:spacing w:after="0"/>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Form of Severance Protection Agreement among CommScope, LLC (f/k/a CommScope, Inc.) and Kyle D. Lorentzen, Charles A.</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1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Gilstrap, Krista R. Bowen, Bartolomeo A. Giordano and Guy Sucharczuk (Incorporated by reference to Exhibit 10.6 of the</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1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0" w:type="dxa"/>
            <w:vAlign w:val="bottom"/>
            <w:gridSpan w:val="27"/>
          </w:tcPr>
          <w:p>
            <w:pPr>
              <w:spacing w:after="0" w:line="196" w:lineRule="exact"/>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Registrant’s Annual Report on Form 10-K (File No. 001-36046), filed with the SEC on February 17, 2023).***</w:t>
              </w:r>
            </w:hyperlink>
          </w:p>
        </w:tc>
      </w:tr>
      <w:tr>
        <w:trPr>
          <w:trHeight w:val="776"/>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420" w:type="dxa"/>
            <w:vAlign w:val="bottom"/>
            <w:tcBorders>
              <w:top w:val="single" w:sz="8" w:color="0000EE"/>
            </w:tcBorders>
            <w:gridSpan w:val="10"/>
          </w:tcPr>
          <w:p>
            <w:pPr>
              <w:jc w:val="right"/>
              <w:ind w:right="248"/>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Borders>
              <w:top w:val="single" w:sz="8" w:color="0000EE"/>
            </w:tcBorders>
          </w:tcPr>
          <w:p>
            <w:pPr>
              <w:spacing w:after="0"/>
              <w:rPr>
                <w:sz w:val="24"/>
                <w:szCs w:val="24"/>
                <w:color w:val="auto"/>
              </w:rPr>
            </w:pPr>
          </w:p>
        </w:tc>
        <w:tc>
          <w:tcPr>
            <w:tcW w:w="3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946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474">
              <w:r>
                <w:rPr>
                  <w:rFonts w:ascii="Times New Roman" w:cs="Times New Roman" w:eastAsia="Times New Roman" w:hAnsi="Times New Roman"/>
                  <w:sz w:val="18"/>
                  <w:szCs w:val="18"/>
                  <w:color w:val="auto"/>
                </w:rPr>
                <w:t>Severance Protection Agreement between Charles L. Treadway and CommScope, LLC (f/k/a CommScope, Inc.), dated October 4,</w:t>
              </w:r>
            </w:hyperlink>
          </w:p>
        </w:tc>
        <w:tc>
          <w:tcPr>
            <w:tcW w:w="140" w:type="dxa"/>
            <w:vAlign w:val="bottom"/>
            <w:gridSpan w:val="4"/>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474">
              <w:r>
                <w:rPr>
                  <w:rFonts w:ascii="Times New Roman" w:cs="Times New Roman" w:eastAsia="Times New Roman" w:hAnsi="Times New Roman"/>
                  <w:sz w:val="18"/>
                  <w:szCs w:val="18"/>
                  <w:color w:val="auto"/>
                </w:rPr>
                <w:t>2022 (Incorporated by reference to Exhibit 10.7 of the Registrant’s Annual Report on Form 10-K (File No. 001-36046), filed with</w:t>
              </w:r>
            </w:hyperlink>
          </w:p>
        </w:tc>
        <w:tc>
          <w:tcPr>
            <w:tcW w:w="180" w:type="dxa"/>
            <w:vAlign w:val="bottom"/>
            <w:gridSpan w:val="5"/>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474">
              <w:r>
                <w:rPr>
                  <w:rFonts w:ascii="Times New Roman" w:cs="Times New Roman" w:eastAsia="Times New Roman" w:hAnsi="Times New Roman"/>
                  <w:sz w:val="18"/>
                  <w:szCs w:val="18"/>
                  <w:color w:val="auto"/>
                  <w:w w:val="99"/>
                </w:rPr>
                <w:t>the SEC on February 17, 2023).***</w:t>
              </w:r>
            </w:hyperlink>
          </w:p>
        </w:tc>
        <w:tc>
          <w:tcPr>
            <w:tcW w:w="7020" w:type="dxa"/>
            <w:vAlign w:val="bottom"/>
            <w:gridSpan w:val="27"/>
          </w:tcPr>
          <w:p>
            <w:pPr>
              <w:spacing w:after="0"/>
              <w:rPr>
                <w:sz w:val="17"/>
                <w:szCs w:val="17"/>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924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475">
              <w:r>
                <w:rPr>
                  <w:rFonts w:ascii="Times New Roman" w:cs="Times New Roman" w:eastAsia="Times New Roman" w:hAnsi="Times New Roman"/>
                  <w:sz w:val="18"/>
                  <w:szCs w:val="18"/>
                  <w:color w:val="auto"/>
                </w:rPr>
                <w:t>Severance Protection Agreement between Claudius E. Watts and CommScope, LLC (f/k/a CommScope, Inc.), dated October 4,</w:t>
              </w:r>
            </w:hyperlink>
          </w:p>
        </w:tc>
        <w:tc>
          <w:tcPr>
            <w:tcW w:w="360" w:type="dxa"/>
            <w:vAlign w:val="bottom"/>
            <w:gridSpan w:val="12"/>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475">
              <w:r>
                <w:rPr>
                  <w:rFonts w:ascii="Times New Roman" w:cs="Times New Roman" w:eastAsia="Times New Roman" w:hAnsi="Times New Roman"/>
                  <w:sz w:val="18"/>
                  <w:szCs w:val="18"/>
                  <w:color w:val="auto"/>
                </w:rPr>
                <w:t>2022 (Incorporated by reference to Exhibit 10.8 of the Registrant’s Annual Report on Form 10-K (File No. 001-36046), filed with</w:t>
              </w:r>
            </w:hyperlink>
          </w:p>
        </w:tc>
        <w:tc>
          <w:tcPr>
            <w:tcW w:w="180" w:type="dxa"/>
            <w:vAlign w:val="bottom"/>
            <w:gridSpan w:val="5"/>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475">
              <w:r>
                <w:rPr>
                  <w:rFonts w:ascii="Times New Roman" w:cs="Times New Roman" w:eastAsia="Times New Roman" w:hAnsi="Times New Roman"/>
                  <w:sz w:val="18"/>
                  <w:szCs w:val="18"/>
                  <w:color w:val="auto"/>
                  <w:w w:val="99"/>
                </w:rPr>
                <w:t>the SEC on February 17, 2023).***</w:t>
              </w:r>
            </w:hyperlink>
          </w:p>
        </w:tc>
        <w:tc>
          <w:tcPr>
            <w:tcW w:w="7020" w:type="dxa"/>
            <w:vAlign w:val="bottom"/>
            <w:gridSpan w:val="27"/>
          </w:tcPr>
          <w:p>
            <w:pPr>
              <w:spacing w:after="0"/>
              <w:rPr>
                <w:sz w:val="17"/>
                <w:szCs w:val="17"/>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878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476">
              <w:r>
                <w:rPr>
                  <w:rFonts w:ascii="Times New Roman" w:cs="Times New Roman" w:eastAsia="Times New Roman" w:hAnsi="Times New Roman"/>
                  <w:sz w:val="18"/>
                  <w:szCs w:val="18"/>
                  <w:color w:val="auto"/>
                </w:rPr>
                <w:t>Form of Indemnification Agreement (Incorporated by reference to Exhibit 10.22 of Amendment No. 2 to the Registrant’s</w:t>
              </w:r>
            </w:hyperlink>
          </w:p>
        </w:tc>
        <w:tc>
          <w:tcPr>
            <w:tcW w:w="820" w:type="dxa"/>
            <w:vAlign w:val="bottom"/>
            <w:gridSpan w:val="19"/>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76">
              <w:r>
                <w:rPr>
                  <w:rFonts w:ascii="Times New Roman" w:cs="Times New Roman" w:eastAsia="Times New Roman" w:hAnsi="Times New Roman"/>
                  <w:sz w:val="18"/>
                  <w:szCs w:val="18"/>
                  <w:color w:val="auto"/>
                </w:rPr>
                <w:t>Registration Statement on Form S-1 (File No. 333-190354), filed with the SEC on September 12, 2013).***</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934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477">
              <w:r>
                <w:rPr>
                  <w:rFonts w:ascii="Times New Roman" w:cs="Times New Roman" w:eastAsia="Times New Roman" w:hAnsi="Times New Roman"/>
                  <w:sz w:val="18"/>
                  <w:szCs w:val="18"/>
                  <w:color w:val="auto"/>
                </w:rPr>
                <w:t>Vistance Networks, Inc. (f/k/a CommScope Holding Company, Inc.) Amended and Restated 2013 Long-Term Incentive Plan (as</w:t>
              </w:r>
            </w:hyperlink>
          </w:p>
        </w:tc>
        <w:tc>
          <w:tcPr>
            <w:tcW w:w="260" w:type="dxa"/>
            <w:vAlign w:val="bottom"/>
            <w:gridSpan w:val="8"/>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477">
              <w:r>
                <w:rPr>
                  <w:rFonts w:ascii="Times New Roman" w:cs="Times New Roman" w:eastAsia="Times New Roman" w:hAnsi="Times New Roman"/>
                  <w:sz w:val="18"/>
                  <w:szCs w:val="18"/>
                  <w:color w:val="auto"/>
                </w:rPr>
                <w:t>amended and restated effective February 21, 2017) (Incorporated by reference to Exhibit 10.28 of the Registrant’s Annual Report</w:t>
              </w:r>
            </w:hyperlink>
          </w:p>
        </w:tc>
        <w:tc>
          <w:tcPr>
            <w:tcW w:w="220" w:type="dxa"/>
            <w:vAlign w:val="bottom"/>
            <w:gridSpan w:val="7"/>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77">
              <w:r>
                <w:rPr>
                  <w:rFonts w:ascii="Times New Roman" w:cs="Times New Roman" w:eastAsia="Times New Roman" w:hAnsi="Times New Roman"/>
                  <w:sz w:val="18"/>
                  <w:szCs w:val="18"/>
                  <w:color w:val="auto"/>
                </w:rPr>
                <w:t>on Form 10-K (File No. 001-36146), filed with the SEC on February 23, 2017).***</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926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478">
              <w:r>
                <w:rPr>
                  <w:rFonts w:ascii="Times New Roman" w:cs="Times New Roman" w:eastAsia="Times New Roman" w:hAnsi="Times New Roman"/>
                  <w:sz w:val="18"/>
                  <w:szCs w:val="18"/>
                  <w:color w:val="auto"/>
                </w:rPr>
                <w:t>Form of Non-Qualified Stock Option Certificate under the Vistance Networks, Inc. (f/k/a CommScope Holding Company, Inc.)</w:t>
              </w:r>
            </w:hyperlink>
          </w:p>
        </w:tc>
        <w:tc>
          <w:tcPr>
            <w:tcW w:w="340" w:type="dxa"/>
            <w:vAlign w:val="bottom"/>
            <w:gridSpan w:val="11"/>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5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rPr>
            </w:pPr>
            <w:hyperlink r:id="rId478">
              <w:r>
                <w:rPr>
                  <w:rFonts w:ascii="Times New Roman" w:cs="Times New Roman" w:eastAsia="Times New Roman" w:hAnsi="Times New Roman"/>
                  <w:sz w:val="18"/>
                  <w:szCs w:val="18"/>
                  <w:color w:val="auto"/>
                </w:rPr>
                <w:t>2013 Long-Term Incentive Plan (Incorporated by reference to Exhibit 10.4 of the Registrant’s Quarterly Report on Form 10-Q (File</w:t>
              </w:r>
            </w:hyperlink>
          </w:p>
        </w:tc>
        <w:tc>
          <w:tcPr>
            <w:tcW w:w="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78">
              <w:r>
                <w:rPr>
                  <w:rFonts w:ascii="Times New Roman" w:cs="Times New Roman" w:eastAsia="Times New Roman" w:hAnsi="Times New Roman"/>
                  <w:sz w:val="18"/>
                  <w:szCs w:val="18"/>
                  <w:color w:val="auto"/>
                </w:rPr>
                <w:t>No. 001-36146), filed with the SEC on April 30, 2015).***</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896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479">
              <w:r>
                <w:rPr>
                  <w:rFonts w:ascii="Times New Roman" w:cs="Times New Roman" w:eastAsia="Times New Roman" w:hAnsi="Times New Roman"/>
                  <w:sz w:val="18"/>
                  <w:szCs w:val="18"/>
                  <w:color w:val="auto"/>
                </w:rPr>
                <w:t>Amendment to Outstanding Options, effective March 7, 2016 (Incorporated by reference to Exhibit 10.5 of the Registrant’s</w:t>
              </w:r>
            </w:hyperlink>
          </w:p>
        </w:tc>
        <w:tc>
          <w:tcPr>
            <w:tcW w:w="640" w:type="dxa"/>
            <w:vAlign w:val="bottom"/>
            <w:gridSpan w:val="16"/>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79">
              <w:r>
                <w:rPr>
                  <w:rFonts w:ascii="Times New Roman" w:cs="Times New Roman" w:eastAsia="Times New Roman" w:hAnsi="Times New Roman"/>
                  <w:sz w:val="18"/>
                  <w:szCs w:val="18"/>
                  <w:color w:val="auto"/>
                </w:rPr>
                <w:t>Quarterly Report on Form 10-Q (File No. 001-36146), filed with the SEC on April 28, 2016).***</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92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480">
              <w:r>
                <w:rPr>
                  <w:rFonts w:ascii="Times New Roman" w:cs="Times New Roman" w:eastAsia="Times New Roman" w:hAnsi="Times New Roman"/>
                  <w:sz w:val="18"/>
                  <w:szCs w:val="18"/>
                  <w:color w:val="auto"/>
                </w:rPr>
                <w:t>Form of Restricted Stock Unit Award Certificate under the Vistance Networks, Inc. (f/k/a CommScope Holding Company, Inc.)</w:t>
              </w:r>
            </w:hyperlink>
          </w:p>
        </w:tc>
        <w:tc>
          <w:tcPr>
            <w:tcW w:w="320" w:type="dxa"/>
            <w:vAlign w:val="bottom"/>
            <w:gridSpan w:val="10"/>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9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80">
              <w:r>
                <w:rPr>
                  <w:rFonts w:ascii="Times New Roman" w:cs="Times New Roman" w:eastAsia="Times New Roman" w:hAnsi="Times New Roman"/>
                  <w:sz w:val="18"/>
                  <w:szCs w:val="18"/>
                  <w:color w:val="auto"/>
                </w:rPr>
                <w:t>2013 Long-Term Incentive Plan (for grants in 2016 and later) (Incorporated by reference to Exhibit 10.2 of the Registrant’s</w:t>
              </w:r>
            </w:hyperlink>
          </w:p>
        </w:tc>
        <w:tc>
          <w:tcPr>
            <w:tcW w:w="660" w:type="dxa"/>
            <w:vAlign w:val="bottom"/>
            <w:gridSpan w:val="17"/>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80">
              <w:r>
                <w:rPr>
                  <w:rFonts w:ascii="Times New Roman" w:cs="Times New Roman" w:eastAsia="Times New Roman" w:hAnsi="Times New Roman"/>
                  <w:sz w:val="18"/>
                  <w:szCs w:val="18"/>
                  <w:color w:val="auto"/>
                </w:rPr>
                <w:t>Quarterly Report on Form 10-Q (File No. 001-36146), filed with the SEC on April 28, 2016).***</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948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481">
              <w:r>
                <w:rPr>
                  <w:rFonts w:ascii="Times New Roman" w:cs="Times New Roman" w:eastAsia="Times New Roman" w:hAnsi="Times New Roman"/>
                  <w:sz w:val="18"/>
                  <w:szCs w:val="18"/>
                  <w:color w:val="auto"/>
                </w:rPr>
                <w:t>Form of Performance Share Unit Award Certificate under the Vistance Networks, Inc. (f/k/a CommScope Holding Company, Inc.)</w:t>
              </w:r>
            </w:hyperlink>
          </w:p>
        </w:tc>
        <w:tc>
          <w:tcPr>
            <w:tcW w:w="120" w:type="dxa"/>
            <w:vAlign w:val="bottom"/>
            <w:gridSpan w:val="3"/>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9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81">
              <w:r>
                <w:rPr>
                  <w:rFonts w:ascii="Times New Roman" w:cs="Times New Roman" w:eastAsia="Times New Roman" w:hAnsi="Times New Roman"/>
                  <w:sz w:val="18"/>
                  <w:szCs w:val="18"/>
                  <w:color w:val="auto"/>
                </w:rPr>
                <w:t>2013 Long-Term Incentive Plan (for grants in 2016 and later) (Incorporated by reference to Exhibit 10.3 of the Registrant’s</w:t>
              </w:r>
            </w:hyperlink>
          </w:p>
        </w:tc>
        <w:tc>
          <w:tcPr>
            <w:tcW w:w="660" w:type="dxa"/>
            <w:vAlign w:val="bottom"/>
            <w:gridSpan w:val="17"/>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81">
              <w:r>
                <w:rPr>
                  <w:rFonts w:ascii="Times New Roman" w:cs="Times New Roman" w:eastAsia="Times New Roman" w:hAnsi="Times New Roman"/>
                  <w:sz w:val="18"/>
                  <w:szCs w:val="18"/>
                  <w:color w:val="auto"/>
                </w:rPr>
                <w:t>Quarterly Report on Form 10-Q (File No. 001-36146), filed with the SEC on April 28, 2016).***</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926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482">
              <w:r>
                <w:rPr>
                  <w:rFonts w:ascii="Times New Roman" w:cs="Times New Roman" w:eastAsia="Times New Roman" w:hAnsi="Times New Roman"/>
                  <w:sz w:val="18"/>
                  <w:szCs w:val="18"/>
                  <w:color w:val="auto"/>
                </w:rPr>
                <w:t>Form of Non-Qualified Stock Option Certificate under the Vistance Networks, Inc. (f/k/a CommScope Holding Company, Inc.)</w:t>
              </w:r>
            </w:hyperlink>
          </w:p>
        </w:tc>
        <w:tc>
          <w:tcPr>
            <w:tcW w:w="340" w:type="dxa"/>
            <w:vAlign w:val="bottom"/>
            <w:gridSpan w:val="11"/>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9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82">
              <w:r>
                <w:rPr>
                  <w:rFonts w:ascii="Times New Roman" w:cs="Times New Roman" w:eastAsia="Times New Roman" w:hAnsi="Times New Roman"/>
                  <w:sz w:val="18"/>
                  <w:szCs w:val="18"/>
                  <w:color w:val="auto"/>
                </w:rPr>
                <w:t>2013 Long-Term Incentive Plan (for grants in 2016 and later) (Incorporated by reference to Exhibit 10.4 of the Registrant’s</w:t>
              </w:r>
            </w:hyperlink>
          </w:p>
        </w:tc>
        <w:tc>
          <w:tcPr>
            <w:tcW w:w="660" w:type="dxa"/>
            <w:vAlign w:val="bottom"/>
            <w:gridSpan w:val="17"/>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82">
              <w:r>
                <w:rPr>
                  <w:rFonts w:ascii="Times New Roman" w:cs="Times New Roman" w:eastAsia="Times New Roman" w:hAnsi="Times New Roman"/>
                  <w:sz w:val="18"/>
                  <w:szCs w:val="18"/>
                  <w:color w:val="auto"/>
                </w:rPr>
                <w:t>Quarterly Report on Form 10-Q (File No. 001-36146), filed with the SEC on April 28, 2016).***</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946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483">
              <w:r>
                <w:rPr>
                  <w:rFonts w:ascii="Times New Roman" w:cs="Times New Roman" w:eastAsia="Times New Roman" w:hAnsi="Times New Roman"/>
                  <w:sz w:val="18"/>
                  <w:szCs w:val="18"/>
                  <w:color w:val="auto"/>
                </w:rPr>
                <w:t>Vistance Networks, Inc. (f/k/a CommScope Holding Company, Inc.) Annual Incentive Plan, as amended and restated February 21,</w:t>
              </w:r>
            </w:hyperlink>
          </w:p>
        </w:tc>
        <w:tc>
          <w:tcPr>
            <w:tcW w:w="140" w:type="dxa"/>
            <w:vAlign w:val="bottom"/>
            <w:gridSpan w:val="4"/>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483">
              <w:r>
                <w:rPr>
                  <w:rFonts w:ascii="Times New Roman" w:cs="Times New Roman" w:eastAsia="Times New Roman" w:hAnsi="Times New Roman"/>
                  <w:sz w:val="18"/>
                  <w:szCs w:val="18"/>
                  <w:color w:val="auto"/>
                </w:rPr>
                <w:t>2023. (Incorporated by reference to Exhibit 10.1 of the Registrant’s Quarterly Report on Form 10-Q (File No. 001-36046), filed</w:t>
              </w:r>
            </w:hyperlink>
          </w:p>
        </w:tc>
        <w:tc>
          <w:tcPr>
            <w:tcW w:w="320" w:type="dxa"/>
            <w:vAlign w:val="bottom"/>
            <w:gridSpan w:val="10"/>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83">
              <w:r>
                <w:rPr>
                  <w:rFonts w:ascii="Times New Roman" w:cs="Times New Roman" w:eastAsia="Times New Roman" w:hAnsi="Times New Roman"/>
                  <w:sz w:val="18"/>
                  <w:szCs w:val="18"/>
                  <w:color w:val="auto"/>
                </w:rPr>
                <w:t>with the SEC on May 4, 2023).</w:t>
              </w:r>
              <w:r>
                <w:rPr>
                  <w:rFonts w:ascii="Times New Roman" w:cs="Times New Roman" w:eastAsia="Times New Roman" w:hAnsi="Times New Roman"/>
                  <w:sz w:val="18"/>
                  <w:szCs w:val="18"/>
                  <w:b w:val="1"/>
                  <w:bCs w:val="1"/>
                  <w:color w:val="auto"/>
                </w:rPr>
                <w:t>***</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940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484">
              <w:r>
                <w:rPr>
                  <w:rFonts w:ascii="Times New Roman" w:cs="Times New Roman" w:eastAsia="Times New Roman" w:hAnsi="Times New Roman"/>
                  <w:sz w:val="18"/>
                  <w:szCs w:val="18"/>
                  <w:color w:val="auto"/>
                </w:rPr>
                <w:t>Vistance Networks, Inc. (f/k/a CommScope Holding Company, Inc.) Non-Employee Director Compensation Plan, as amended on</w:t>
              </w:r>
            </w:hyperlink>
          </w:p>
        </w:tc>
        <w:tc>
          <w:tcPr>
            <w:tcW w:w="200" w:type="dxa"/>
            <w:vAlign w:val="bottom"/>
            <w:gridSpan w:val="6"/>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1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484">
              <w:r>
                <w:rPr>
                  <w:rFonts w:ascii="Times New Roman" w:cs="Times New Roman" w:eastAsia="Times New Roman" w:hAnsi="Times New Roman"/>
                  <w:sz w:val="18"/>
                  <w:szCs w:val="18"/>
                  <w:color w:val="auto"/>
                </w:rPr>
                <w:t>February 19, 2019 (Incorporated by reference to Exhibit 10.19 of the Registrant’s Annual Report on Form 10-K (File No. 001-</w:t>
              </w:r>
            </w:hyperlink>
          </w:p>
        </w:tc>
        <w:tc>
          <w:tcPr>
            <w:tcW w:w="440" w:type="dxa"/>
            <w:vAlign w:val="bottom"/>
            <w:gridSpan w:val="14"/>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84">
              <w:r>
                <w:rPr>
                  <w:rFonts w:ascii="Times New Roman" w:cs="Times New Roman" w:eastAsia="Times New Roman" w:hAnsi="Times New Roman"/>
                  <w:sz w:val="18"/>
                  <w:szCs w:val="18"/>
                  <w:color w:val="auto"/>
                </w:rPr>
                <w:t>36046), filed with the SEC on February 17, 2023).</w:t>
              </w:r>
            </w:hyperlink>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92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485">
              <w:r>
                <w:rPr>
                  <w:rFonts w:ascii="Times New Roman" w:cs="Times New Roman" w:eastAsia="Times New Roman" w:hAnsi="Times New Roman"/>
                  <w:sz w:val="18"/>
                  <w:szCs w:val="18"/>
                  <w:color w:val="auto"/>
                </w:rPr>
                <w:t>Form of Restricted Stock Unit Award Certificate under the Vistance Networks, Inc. (f/k/a CommScope Holding Company, Inc.)</w:t>
              </w:r>
            </w:hyperlink>
          </w:p>
        </w:tc>
        <w:tc>
          <w:tcPr>
            <w:tcW w:w="320" w:type="dxa"/>
            <w:vAlign w:val="bottom"/>
            <w:gridSpan w:val="10"/>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1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85">
              <w:r>
                <w:rPr>
                  <w:rFonts w:ascii="Times New Roman" w:cs="Times New Roman" w:eastAsia="Times New Roman" w:hAnsi="Times New Roman"/>
                  <w:sz w:val="18"/>
                  <w:szCs w:val="18"/>
                  <w:color w:val="auto"/>
                </w:rPr>
                <w:t>Non-Employee Director Compensation Plan, which is operated as a subplan of the Vistance Networks, Inc. (f/k/a CommScope</w:t>
              </w:r>
            </w:hyperlink>
          </w:p>
        </w:tc>
        <w:tc>
          <w:tcPr>
            <w:tcW w:w="420" w:type="dxa"/>
            <w:vAlign w:val="bottom"/>
            <w:gridSpan w:val="13"/>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485">
              <w:r>
                <w:rPr>
                  <w:rFonts w:ascii="Times New Roman" w:cs="Times New Roman" w:eastAsia="Times New Roman" w:hAnsi="Times New Roman"/>
                  <w:sz w:val="18"/>
                  <w:szCs w:val="18"/>
                  <w:color w:val="auto"/>
                </w:rPr>
                <w:t>Holding Company, Inc.) 2019 Long-Term Incentive Plan (Incorporated by reference to Exhibit 10.20 of the Registrant’s Annual</w:t>
              </w:r>
            </w:hyperlink>
          </w:p>
        </w:tc>
        <w:tc>
          <w:tcPr>
            <w:tcW w:w="300" w:type="dxa"/>
            <w:vAlign w:val="bottom"/>
            <w:gridSpan w:val="9"/>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485">
              <w:r>
                <w:rPr>
                  <w:rFonts w:ascii="Times New Roman" w:cs="Times New Roman" w:eastAsia="Times New Roman" w:hAnsi="Times New Roman"/>
                  <w:sz w:val="18"/>
                  <w:szCs w:val="18"/>
                  <w:color w:val="auto"/>
                  <w:w w:val="99"/>
                </w:rPr>
                <w:t>Report on Form 10-K (File No. 001-36046), filed with the SEC on February 17, 2023).</w:t>
              </w:r>
            </w:hyperlink>
          </w:p>
        </w:tc>
        <w:tc>
          <w:tcPr>
            <w:tcW w:w="3320" w:type="dxa"/>
            <w:vAlign w:val="bottom"/>
            <w:gridSpan w:val="22"/>
          </w:tcPr>
          <w:p>
            <w:pPr>
              <w:spacing w:after="0"/>
              <w:rPr>
                <w:sz w:val="17"/>
                <w:szCs w:val="17"/>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926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486">
              <w:r>
                <w:rPr>
                  <w:rFonts w:ascii="Times New Roman" w:cs="Times New Roman" w:eastAsia="Times New Roman" w:hAnsi="Times New Roman"/>
                  <w:sz w:val="18"/>
                  <w:szCs w:val="18"/>
                  <w:color w:val="auto"/>
                </w:rPr>
                <w:t>Form of Non-Qualified Stock Option Certificate under the Vistance Networks, Inc. (f/k/a CommScope Holding Company, Inc.)</w:t>
              </w:r>
            </w:hyperlink>
          </w:p>
        </w:tc>
        <w:tc>
          <w:tcPr>
            <w:tcW w:w="340" w:type="dxa"/>
            <w:vAlign w:val="bottom"/>
            <w:gridSpan w:val="11"/>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5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486">
              <w:r>
                <w:rPr>
                  <w:rFonts w:ascii="Times New Roman" w:cs="Times New Roman" w:eastAsia="Times New Roman" w:hAnsi="Times New Roman"/>
                  <w:sz w:val="18"/>
                  <w:szCs w:val="18"/>
                  <w:color w:val="auto"/>
                </w:rPr>
                <w:t>Amended and Restated 2013 Long-Term Incentive Plan (for grants to senior executive officers in 2019) (Incorporated by reference</w:t>
              </w:r>
            </w:hyperlink>
          </w:p>
        </w:tc>
        <w:tc>
          <w:tcPr>
            <w:tcW w:w="100" w:type="dxa"/>
            <w:vAlign w:val="bottom"/>
            <w:gridSpan w:val="2"/>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86">
              <w:r>
                <w:rPr>
                  <w:rFonts w:ascii="Times New Roman" w:cs="Times New Roman" w:eastAsia="Times New Roman" w:hAnsi="Times New Roman"/>
                  <w:sz w:val="18"/>
                  <w:szCs w:val="18"/>
                  <w:color w:val="auto"/>
                </w:rPr>
                <w:t>to Exhibit 10.5 of the Registrant’s Quarterly Report on Form 10-Q (File No. 001-36146), filed with the SEC on August 8,</w:t>
              </w:r>
            </w:hyperlink>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auto"/>
              </w:rPr>
            </w:pPr>
            <w:hyperlink r:id="rId486">
              <w:r>
                <w:rPr>
                  <w:rFonts w:ascii="Times New Roman" w:cs="Times New Roman" w:eastAsia="Times New Roman" w:hAnsi="Times New Roman"/>
                  <w:sz w:val="18"/>
                  <w:szCs w:val="18"/>
                  <w:color w:val="auto"/>
                </w:rPr>
                <w:t>2019).***</w:t>
              </w:r>
            </w:hyperlink>
          </w:p>
        </w:tc>
        <w:tc>
          <w:tcPr>
            <w:tcW w:w="3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3120" w:type="dxa"/>
            <w:vAlign w:val="bottom"/>
            <w:gridSpan w:val="8"/>
          </w:tcPr>
          <w:p>
            <w:pPr>
              <w:spacing w:after="0" w:line="20" w:lineRule="exact"/>
              <w:rPr>
                <w:sz w:val="1"/>
                <w:szCs w:val="1"/>
                <w:color w:val="auto"/>
              </w:rPr>
            </w:pPr>
          </w:p>
        </w:tc>
        <w:tc>
          <w:tcPr>
            <w:tcW w:w="460" w:type="dxa"/>
            <w:vAlign w:val="bottom"/>
            <w:gridSpan w:val="15"/>
          </w:tcPr>
          <w:p>
            <w:pPr>
              <w:spacing w:after="0" w:line="20" w:lineRule="exact"/>
              <w:rPr>
                <w:sz w:val="1"/>
                <w:szCs w:val="1"/>
                <w:color w:val="auto"/>
              </w:rPr>
            </w:pPr>
          </w:p>
        </w:tc>
      </w:tr>
      <w:tr>
        <w:trPr>
          <w:trHeight w:val="30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92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487">
              <w:r>
                <w:rPr>
                  <w:rFonts w:ascii="Times New Roman" w:cs="Times New Roman" w:eastAsia="Times New Roman" w:hAnsi="Times New Roman"/>
                  <w:sz w:val="18"/>
                  <w:szCs w:val="18"/>
                  <w:color w:val="auto"/>
                </w:rPr>
                <w:t>Form of Restricted Stock Unit Award Certificate under the Vistance Networks, Inc. (f/k/a CommScope Holding Company, Inc.)</w:t>
              </w:r>
            </w:hyperlink>
          </w:p>
        </w:tc>
        <w:tc>
          <w:tcPr>
            <w:tcW w:w="320" w:type="dxa"/>
            <w:vAlign w:val="bottom"/>
            <w:gridSpan w:val="10"/>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487">
              <w:r>
                <w:rPr>
                  <w:rFonts w:ascii="Times New Roman" w:cs="Times New Roman" w:eastAsia="Times New Roman" w:hAnsi="Times New Roman"/>
                  <w:sz w:val="18"/>
                  <w:szCs w:val="18"/>
                  <w:color w:val="auto"/>
                </w:rPr>
                <w:t>Amended and Restated 2019 Long-Term Incentive Plan (Incorporated by reference to Exhibit 10.2 of the Registrant’s Current</w:t>
              </w:r>
            </w:hyperlink>
          </w:p>
        </w:tc>
        <w:tc>
          <w:tcPr>
            <w:tcW w:w="460" w:type="dxa"/>
            <w:vAlign w:val="bottom"/>
            <w:gridSpan w:val="15"/>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0" w:type="dxa"/>
            <w:vAlign w:val="bottom"/>
            <w:gridSpan w:val="30"/>
          </w:tcPr>
          <w:p>
            <w:pPr>
              <w:spacing w:after="0" w:line="196" w:lineRule="exact"/>
              <w:rPr>
                <w:rFonts w:ascii="Times New Roman" w:cs="Times New Roman" w:eastAsia="Times New Roman" w:hAnsi="Times New Roman"/>
                <w:sz w:val="18"/>
                <w:szCs w:val="18"/>
                <w:color w:val="auto"/>
              </w:rPr>
            </w:pPr>
            <w:hyperlink r:id="rId487">
              <w:r>
                <w:rPr>
                  <w:rFonts w:ascii="Times New Roman" w:cs="Times New Roman" w:eastAsia="Times New Roman" w:hAnsi="Times New Roman"/>
                  <w:sz w:val="18"/>
                  <w:szCs w:val="18"/>
                  <w:color w:val="auto"/>
                </w:rPr>
                <w:t>Report on Form 8-K (File No. 001-36146), filed with the SEC on October 1, 2020).***</w:t>
              </w:r>
            </w:hyperlink>
          </w:p>
        </w:tc>
      </w:tr>
      <w:tr>
        <w:trPr>
          <w:trHeight w:val="776"/>
        </w:trPr>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40" w:type="dxa"/>
            <w:vAlign w:val="bottom"/>
            <w:tcBorders>
              <w:top w:val="single" w:sz="8" w:color="0000EE"/>
            </w:tcBorders>
            <w:gridSpan w:val="6"/>
          </w:tcPr>
          <w:p>
            <w:pPr>
              <w:ind w:left="384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6" w:name="page107"/>
    <w:bookmarkEnd w:id="106"/>
    <w:tbl>
      <w:tblPr>
        <w:tblLayout w:type="fixed"/>
        <w:tblInd w:w="160" w:type="dxa"/>
        <w:tblCellMar>
          <w:top w:w="0" w:type="dxa"/>
          <w:left w:w="0" w:type="dxa"/>
          <w:bottom w:w="0" w:type="dxa"/>
          <w:right w:w="0" w:type="dxa"/>
        </w:tblCellMar>
      </w:tblPr>
      <w:tr>
        <w:trPr>
          <w:trHeight w:val="207"/>
        </w:trPr>
        <w:tc>
          <w:tcPr>
            <w:tcW w:w="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490">
              <w:r>
                <w:rPr>
                  <w:rFonts w:ascii="Times New Roman" w:cs="Times New Roman" w:eastAsia="Times New Roman" w:hAnsi="Times New Roman"/>
                  <w:sz w:val="18"/>
                  <w:szCs w:val="18"/>
                  <w:color w:val="auto"/>
                </w:rPr>
                <w:t>Form of Performance Share Unit Award Certificate under the Vistance Networks, Inc. (f/k/a CommScope Holding Company, Inc.)</w:t>
              </w:r>
            </w:hyperlink>
          </w:p>
        </w:tc>
        <w:tc>
          <w:tcPr>
            <w:tcW w:w="60" w:type="dxa"/>
            <w:vAlign w:val="bottom"/>
            <w:gridSpan w:val="2"/>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490">
              <w:r>
                <w:rPr>
                  <w:rFonts w:ascii="Times New Roman" w:cs="Times New Roman" w:eastAsia="Times New Roman" w:hAnsi="Times New Roman"/>
                  <w:sz w:val="18"/>
                  <w:szCs w:val="18"/>
                  <w:color w:val="auto"/>
                </w:rPr>
                <w:t>Amended and Restated 2019 Long-Term Incentive Plan (service and average stock price vesting) (Incorporated by reference to</w:t>
              </w:r>
            </w:hyperlink>
          </w:p>
        </w:tc>
        <w:tc>
          <w:tcPr>
            <w:tcW w:w="340" w:type="dxa"/>
            <w:vAlign w:val="bottom"/>
            <w:gridSpan w:val="6"/>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540" w:type="dxa"/>
            <w:vAlign w:val="bottom"/>
            <w:gridSpan w:val="22"/>
          </w:tcPr>
          <w:p>
            <w:pPr>
              <w:spacing w:after="0" w:line="196" w:lineRule="exact"/>
              <w:rPr>
                <w:rFonts w:ascii="Times New Roman" w:cs="Times New Roman" w:eastAsia="Times New Roman" w:hAnsi="Times New Roman"/>
                <w:sz w:val="18"/>
                <w:szCs w:val="18"/>
                <w:color w:val="auto"/>
              </w:rPr>
            </w:pPr>
            <w:hyperlink r:id="rId490">
              <w:r>
                <w:rPr>
                  <w:rFonts w:ascii="Times New Roman" w:cs="Times New Roman" w:eastAsia="Times New Roman" w:hAnsi="Times New Roman"/>
                  <w:sz w:val="18"/>
                  <w:szCs w:val="18"/>
                  <w:color w:val="auto"/>
                </w:rPr>
                <w:t>Exhibit 10.3 of the Registrant’s Current Report on Form 8-K (File No. 001-36146), filed with the SEC on October 1, 2020). ***</w:t>
              </w:r>
            </w:hyperlink>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491">
              <w:r>
                <w:rPr>
                  <w:rFonts w:ascii="Times New Roman" w:cs="Times New Roman" w:eastAsia="Times New Roman" w:hAnsi="Times New Roman"/>
                  <w:sz w:val="18"/>
                  <w:szCs w:val="18"/>
                  <w:color w:val="auto"/>
                </w:rPr>
                <w:t>Form of Performance Share Unit Award Certificate under the Vistance Networks, Inc. (f/k/a CommScope Holding Company, Inc.)</w:t>
              </w:r>
            </w:hyperlink>
          </w:p>
        </w:tc>
        <w:tc>
          <w:tcPr>
            <w:tcW w:w="60" w:type="dxa"/>
            <w:vAlign w:val="bottom"/>
            <w:gridSpan w:val="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91">
              <w:r>
                <w:rPr>
                  <w:rFonts w:ascii="Times New Roman" w:cs="Times New Roman" w:eastAsia="Times New Roman" w:hAnsi="Times New Roman"/>
                  <w:sz w:val="18"/>
                  <w:szCs w:val="18"/>
                  <w:color w:val="auto"/>
                </w:rPr>
                <w:t>Amended and Restated 2019 Long-Term Incentive Plan (Incorporated by reference to Exhibit 10.1 of the Registrant’s Quarterly</w:t>
              </w:r>
            </w:hyperlink>
          </w:p>
        </w:tc>
        <w:tc>
          <w:tcPr>
            <w:tcW w:w="260" w:type="dxa"/>
            <w:vAlign w:val="bottom"/>
            <w:gridSpan w:val="5"/>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491">
              <w:r>
                <w:rPr>
                  <w:rFonts w:ascii="Times New Roman" w:cs="Times New Roman" w:eastAsia="Times New Roman" w:hAnsi="Times New Roman"/>
                  <w:sz w:val="18"/>
                  <w:szCs w:val="18"/>
                  <w:color w:val="auto"/>
                  <w:w w:val="99"/>
                </w:rPr>
                <w:t>Report on Form 10-Q (File No. 001-36146), filed with the SEC on May 5, 2022).***</w:t>
              </w:r>
            </w:hyperlink>
          </w:p>
        </w:tc>
        <w:tc>
          <w:tcPr>
            <w:tcW w:w="3400" w:type="dxa"/>
            <w:vAlign w:val="bottom"/>
            <w:gridSpan w:val="15"/>
          </w:tcPr>
          <w:p>
            <w:pPr>
              <w:spacing w:after="0"/>
              <w:rPr>
                <w:sz w:val="17"/>
                <w:szCs w:val="17"/>
                <w:color w:val="auto"/>
              </w:rPr>
            </w:pPr>
          </w:p>
        </w:tc>
      </w:tr>
      <w:tr>
        <w:trPr>
          <w:trHeight w:val="304"/>
        </w:trPr>
        <w:tc>
          <w:tcPr>
            <w:tcW w:w="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10.25</w:t>
            </w:r>
          </w:p>
        </w:tc>
        <w:tc>
          <w:tcPr>
            <w:tcW w:w="900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492">
              <w:r>
                <w:rPr>
                  <w:rFonts w:ascii="Times New Roman" w:cs="Times New Roman" w:eastAsia="Times New Roman" w:hAnsi="Times New Roman"/>
                  <w:sz w:val="18"/>
                  <w:szCs w:val="18"/>
                  <w:color w:val="auto"/>
                </w:rPr>
                <w:t>Vistance Networks, Inc. (f/k/a CommScope Holding Company, Inc.) Deferred Compensation Plan (as amended and restated</w:t>
              </w:r>
            </w:hyperlink>
          </w:p>
        </w:tc>
        <w:tc>
          <w:tcPr>
            <w:tcW w:w="540" w:type="dxa"/>
            <w:vAlign w:val="bottom"/>
            <w:gridSpan w:val="11"/>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492">
              <w:r>
                <w:rPr>
                  <w:rFonts w:ascii="Times New Roman" w:cs="Times New Roman" w:eastAsia="Times New Roman" w:hAnsi="Times New Roman"/>
                  <w:sz w:val="18"/>
                  <w:szCs w:val="18"/>
                  <w:color w:val="auto"/>
                </w:rPr>
                <w:t>effective January 1, 2017) (Incorporated by reference to Exhibit 10.41 of the Registrant’s Annual Report on Form 10-K (File No.</w:t>
              </w:r>
            </w:hyperlink>
          </w:p>
        </w:tc>
        <w:tc>
          <w:tcPr>
            <w:tcW w:w="180" w:type="dxa"/>
            <w:vAlign w:val="bottom"/>
            <w:gridSpan w:val="4"/>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540" w:type="dxa"/>
            <w:vAlign w:val="bottom"/>
            <w:gridSpan w:val="22"/>
          </w:tcPr>
          <w:p>
            <w:pPr>
              <w:spacing w:after="0" w:line="196" w:lineRule="exact"/>
              <w:rPr>
                <w:rFonts w:ascii="Times New Roman" w:cs="Times New Roman" w:eastAsia="Times New Roman" w:hAnsi="Times New Roman"/>
                <w:sz w:val="18"/>
                <w:szCs w:val="18"/>
                <w:color w:val="auto"/>
              </w:rPr>
            </w:pPr>
            <w:hyperlink r:id="rId492">
              <w:r>
                <w:rPr>
                  <w:rFonts w:ascii="Times New Roman" w:cs="Times New Roman" w:eastAsia="Times New Roman" w:hAnsi="Times New Roman"/>
                  <w:sz w:val="18"/>
                  <w:szCs w:val="18"/>
                  <w:color w:val="auto"/>
                </w:rPr>
                <w:t>001-36146), filed with the SEC on February 23, 2017).***</w:t>
              </w:r>
            </w:hyperlink>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10.26</w:t>
            </w:r>
          </w:p>
        </w:tc>
        <w:tc>
          <w:tcPr>
            <w:tcW w:w="90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493">
              <w:r>
                <w:rPr>
                  <w:rFonts w:ascii="Times New Roman" w:cs="Times New Roman" w:eastAsia="Times New Roman" w:hAnsi="Times New Roman"/>
                  <w:sz w:val="18"/>
                  <w:szCs w:val="18"/>
                  <w:color w:val="auto"/>
                </w:rPr>
                <w:t>Vistance Networks, Inc. (f/k/a CommScope Holding Company, Inc.) Amended and Restated 2019 Long-Term Incentive Plan</w:t>
              </w:r>
            </w:hyperlink>
          </w:p>
        </w:tc>
        <w:tc>
          <w:tcPr>
            <w:tcW w:w="460" w:type="dxa"/>
            <w:vAlign w:val="bottom"/>
            <w:gridSpan w:val="9"/>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493">
              <w:r>
                <w:rPr>
                  <w:rFonts w:ascii="Times New Roman" w:cs="Times New Roman" w:eastAsia="Times New Roman" w:hAnsi="Times New Roman"/>
                  <w:sz w:val="18"/>
                  <w:szCs w:val="18"/>
                  <w:color w:val="auto"/>
                </w:rPr>
                <w:t>(Incorporated by reference to Exhibit 99.1 to the Registrant’s Registration Statement on Form S-8 (File No. 333-265198), filed with</w:t>
              </w:r>
            </w:hyperlink>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540" w:type="dxa"/>
            <w:vAlign w:val="bottom"/>
            <w:gridSpan w:val="22"/>
          </w:tcPr>
          <w:p>
            <w:pPr>
              <w:spacing w:after="0" w:line="196" w:lineRule="exact"/>
              <w:rPr>
                <w:rFonts w:ascii="Times New Roman" w:cs="Times New Roman" w:eastAsia="Times New Roman" w:hAnsi="Times New Roman"/>
                <w:sz w:val="18"/>
                <w:szCs w:val="18"/>
                <w:color w:val="auto"/>
              </w:rPr>
            </w:pPr>
            <w:hyperlink r:id="rId493">
              <w:r>
                <w:rPr>
                  <w:rFonts w:ascii="Times New Roman" w:cs="Times New Roman" w:eastAsia="Times New Roman" w:hAnsi="Times New Roman"/>
                  <w:sz w:val="18"/>
                  <w:szCs w:val="18"/>
                  <w:color w:val="auto"/>
                </w:rPr>
                <w:t>the SEC on May 24, 2023).***</w:t>
              </w:r>
            </w:hyperlink>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18.1</w:t>
            </w:r>
          </w:p>
        </w:tc>
        <w:tc>
          <w:tcPr>
            <w:tcW w:w="914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494">
              <w:r>
                <w:rPr>
                  <w:rFonts w:ascii="Times New Roman" w:cs="Times New Roman" w:eastAsia="Times New Roman" w:hAnsi="Times New Roman"/>
                  <w:sz w:val="18"/>
                  <w:szCs w:val="18"/>
                  <w:color w:val="auto"/>
                </w:rPr>
                <w:t>Preferability Letter from Ernst &amp; Young LLP, Independent Registered Public Accounting Firm (Incorporated by Reference to</w:t>
              </w:r>
            </w:hyperlink>
          </w:p>
        </w:tc>
        <w:tc>
          <w:tcPr>
            <w:tcW w:w="400" w:type="dxa"/>
            <w:vAlign w:val="bottom"/>
            <w:gridSpan w:val="7"/>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9"/>
              </w:rPr>
            </w:pPr>
            <w:hyperlink r:id="rId494">
              <w:r>
                <w:rPr>
                  <w:rFonts w:ascii="Times New Roman" w:cs="Times New Roman" w:eastAsia="Times New Roman" w:hAnsi="Times New Roman"/>
                  <w:sz w:val="18"/>
                  <w:szCs w:val="18"/>
                  <w:color w:val="auto"/>
                  <w:w w:val="99"/>
                </w:rPr>
                <w:t>Exhibit 18.1 of the Registrant’s Quarterly Report on Form 10-Q (File No. 001-36146), filed with the SEC on August 8, 2019).</w:t>
              </w:r>
            </w:hyperlink>
          </w:p>
        </w:tc>
        <w:tc>
          <w:tcPr>
            <w:tcW w:w="440" w:type="dxa"/>
            <w:vAlign w:val="bottom"/>
            <w:gridSpan w:val="8"/>
          </w:tcPr>
          <w:p>
            <w:pPr>
              <w:spacing w:after="0"/>
              <w:rPr>
                <w:sz w:val="17"/>
                <w:szCs w:val="17"/>
                <w:color w:val="auto"/>
              </w:rPr>
            </w:pPr>
          </w:p>
        </w:tc>
      </w:tr>
      <w:tr>
        <w:trPr>
          <w:trHeight w:val="304"/>
        </w:trPr>
        <w:tc>
          <w:tcPr>
            <w:tcW w:w="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19.1</w:t>
            </w:r>
          </w:p>
        </w:tc>
        <w:tc>
          <w:tcPr>
            <w:tcW w:w="946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495">
              <w:r>
                <w:rPr>
                  <w:rFonts w:ascii="Times New Roman" w:cs="Times New Roman" w:eastAsia="Times New Roman" w:hAnsi="Times New Roman"/>
                  <w:sz w:val="18"/>
                  <w:szCs w:val="18"/>
                  <w:color w:val="auto"/>
                </w:rPr>
                <w:t>Vistance Networks, Inc. (f/k/a CommScope Holding Company, Inc.) Inside Information and Insider Trading Policy, effective May</w:t>
              </w:r>
            </w:hyperlink>
          </w:p>
        </w:tc>
        <w:tc>
          <w:tcPr>
            <w:tcW w:w="8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95">
              <w:r>
                <w:rPr>
                  <w:rFonts w:ascii="Times New Roman" w:cs="Times New Roman" w:eastAsia="Times New Roman" w:hAnsi="Times New Roman"/>
                  <w:sz w:val="18"/>
                  <w:szCs w:val="18"/>
                  <w:color w:val="auto"/>
                </w:rPr>
                <w:t>18, 2023 (including Guidelines for a Rule 10b5-1 Plan) (Incorporated by reference to Exhibit 19.1 to the Registrant’s Annual</w:t>
              </w:r>
            </w:hyperlink>
          </w:p>
        </w:tc>
        <w:tc>
          <w:tcPr>
            <w:tcW w:w="480" w:type="dxa"/>
            <w:vAlign w:val="bottom"/>
            <w:gridSpan w:val="10"/>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495">
              <w:r>
                <w:rPr>
                  <w:rFonts w:ascii="Times New Roman" w:cs="Times New Roman" w:eastAsia="Times New Roman" w:hAnsi="Times New Roman"/>
                  <w:sz w:val="18"/>
                  <w:szCs w:val="18"/>
                  <w:color w:val="auto"/>
                  <w:w w:val="99"/>
                </w:rPr>
                <w:t>Report on Form 10-K (File No. 001-36046), filed with the SEC on February 29, 2024).</w:t>
              </w:r>
            </w:hyperlink>
          </w:p>
        </w:tc>
        <w:tc>
          <w:tcPr>
            <w:tcW w:w="3260" w:type="dxa"/>
            <w:vAlign w:val="bottom"/>
            <w:gridSpan w:val="14"/>
          </w:tcPr>
          <w:p>
            <w:pPr>
              <w:spacing w:after="0"/>
              <w:rPr>
                <w:sz w:val="17"/>
                <w:szCs w:val="17"/>
                <w:color w:val="auto"/>
              </w:rPr>
            </w:pPr>
          </w:p>
        </w:tc>
      </w:tr>
      <w:tr>
        <w:trPr>
          <w:trHeight w:val="304"/>
        </w:trPr>
        <w:tc>
          <w:tcPr>
            <w:tcW w:w="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r>
      <w:tr>
        <w:trPr>
          <w:trHeight w:val="304"/>
        </w:trPr>
        <w:tc>
          <w:tcPr>
            <w:tcW w:w="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51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 13a-14(a).</w:t>
            </w:r>
          </w:p>
        </w:tc>
        <w:tc>
          <w:tcPr>
            <w:tcW w:w="720" w:type="dxa"/>
            <w:vAlign w:val="bottom"/>
            <w:tcBorders>
              <w:top w:val="single" w:sz="8" w:color="0000EE"/>
            </w:tcBorders>
          </w:tcPr>
          <w:p>
            <w:pPr>
              <w:spacing w:after="0"/>
              <w:rPr>
                <w:sz w:val="24"/>
                <w:szCs w:val="24"/>
                <w:color w:val="auto"/>
              </w:rPr>
            </w:pPr>
          </w:p>
        </w:tc>
        <w:tc>
          <w:tcPr>
            <w:tcW w:w="3660" w:type="dxa"/>
            <w:vAlign w:val="bottom"/>
            <w:gridSpan w:val="16"/>
          </w:tcPr>
          <w:p>
            <w:pPr>
              <w:spacing w:after="0"/>
              <w:rPr>
                <w:sz w:val="24"/>
                <w:szCs w:val="24"/>
                <w:color w:val="auto"/>
              </w:rPr>
            </w:pPr>
          </w:p>
        </w:tc>
      </w:tr>
      <w:tr>
        <w:trPr>
          <w:trHeight w:val="304"/>
        </w:trPr>
        <w:tc>
          <w:tcPr>
            <w:tcW w:w="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w:t>
            </w:r>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100" w:type="dxa"/>
            <w:vAlign w:val="bottom"/>
            <w:gridSpan w:val="4"/>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95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 pursuant</w:t>
            </w:r>
          </w:p>
        </w:tc>
        <w:tc>
          <w:tcPr>
            <w:tcW w:w="2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5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auto"/>
              </w:rPr>
              <w:t>to Section 906 of the Sarbanes-Oxley Act of 2002 (furnished pursuant to Item 601(b)(32)(ii) of Regulation S-K).</w:t>
            </w:r>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120" w:type="dxa"/>
            <w:vAlign w:val="bottom"/>
            <w:gridSpan w:val="9"/>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304"/>
        </w:trPr>
        <w:tc>
          <w:tcPr>
            <w:tcW w:w="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97.1</w:t>
            </w:r>
          </w:p>
        </w:tc>
        <w:tc>
          <w:tcPr>
            <w:tcW w:w="94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496">
              <w:r>
                <w:rPr>
                  <w:rFonts w:ascii="Times New Roman" w:cs="Times New Roman" w:eastAsia="Times New Roman" w:hAnsi="Times New Roman"/>
                  <w:sz w:val="18"/>
                  <w:szCs w:val="18"/>
                  <w:color w:val="auto"/>
                </w:rPr>
                <w:t>Vistance Networks, Inc. (f/k/a CommScope Holding Company, Inc.) Compensation Recovery Policy (Incorporated by reference to</w:t>
              </w:r>
            </w:hyperlink>
          </w:p>
        </w:tc>
        <w:tc>
          <w:tcPr>
            <w:tcW w:w="60" w:type="dxa"/>
            <w:vAlign w:val="bottom"/>
            <w:gridSpan w:val="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540" w:type="dxa"/>
            <w:vAlign w:val="bottom"/>
            <w:gridSpan w:val="22"/>
          </w:tcPr>
          <w:p>
            <w:pPr>
              <w:spacing w:after="0" w:line="196" w:lineRule="exact"/>
              <w:rPr>
                <w:rFonts w:ascii="Times New Roman" w:cs="Times New Roman" w:eastAsia="Times New Roman" w:hAnsi="Times New Roman"/>
                <w:sz w:val="18"/>
                <w:szCs w:val="18"/>
                <w:color w:val="auto"/>
              </w:rPr>
            </w:pPr>
            <w:hyperlink r:id="rId496">
              <w:r>
                <w:rPr>
                  <w:rFonts w:ascii="Times New Roman" w:cs="Times New Roman" w:eastAsia="Times New Roman" w:hAnsi="Times New Roman"/>
                  <w:sz w:val="18"/>
                  <w:szCs w:val="18"/>
                  <w:color w:val="auto"/>
                </w:rPr>
                <w:t>Exhibit 97.1 to the Registrant’s Annual Report on Form 10-K (File No. 001-36046), filed with the SEC on February 29, 2024).</w:t>
              </w:r>
            </w:hyperlink>
          </w:p>
        </w:tc>
      </w:tr>
      <w:tr>
        <w:trPr>
          <w:trHeight w:val="20"/>
        </w:trPr>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640" w:right="300" w:hanging="1441"/>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101.INSInline XBRL Instance Document – The instance document does not appear in the interactive data file because its XBRL tags are embedded within the inline XBRL document.</w:t>
      </w:r>
    </w:p>
    <w:p>
      <w:pPr>
        <w:spacing w:after="0" w:line="53" w:lineRule="exact"/>
        <w:rPr>
          <w:rFonts w:ascii="Times New Roman" w:cs="Times New Roman" w:eastAsia="Times New Roman" w:hAnsi="Times New Roman"/>
          <w:sz w:val="18"/>
          <w:szCs w:val="18"/>
          <w:color w:val="auto"/>
        </w:rPr>
      </w:pPr>
    </w:p>
    <w:p>
      <w:pPr>
        <w:ind w:left="520" w:hanging="321"/>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101.SCHInline XBRL Taxonomy Extension Schema With Embedded Linkbase Documents</w:t>
      </w:r>
    </w:p>
    <w:p>
      <w:pPr>
        <w:spacing w:after="0" w:line="117" w:lineRule="exact"/>
        <w:rPr>
          <w:sz w:val="20"/>
          <w:szCs w:val="20"/>
          <w:color w:val="auto"/>
        </w:rPr>
      </w:pPr>
    </w:p>
    <w:p>
      <w:pPr>
        <w:ind w:left="1640" w:hanging="1112"/>
        <w:spacing w:after="0"/>
        <w:tabs>
          <w:tab w:leader="none" w:pos="164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13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07" w:name="page108"/>
    <w:bookmarkEnd w:id="107"/>
    <w:p>
      <w:pPr>
        <w:spacing w:after="0" w:line="86" w:lineRule="exact"/>
        <w:rPr>
          <w:sz w:val="20"/>
          <w:szCs w:val="20"/>
          <w:color w:val="auto"/>
        </w:rPr>
      </w:pPr>
    </w:p>
    <w:p>
      <w:pPr>
        <w:ind w:left="-8" w:firstLine="8"/>
        <w:spacing w:after="0" w:line="258" w:lineRule="auto"/>
        <w:tabs>
          <w:tab w:leader="none" w:pos="1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 furnished in Exhibit 32.1 hereto is deemed to accompany this Form 10-K and will not be deemed “filed” for purposes of Section 18 of the Exchange Act. Such certification will not be deemed to be incorporated by reference into any filings under the Securities Act or the Exchange Act, except to the extent that the registrant specifically incorporates it by reference.</w:t>
      </w:r>
    </w:p>
    <w:p>
      <w:pPr>
        <w:spacing w:after="0" w:line="399"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1440" w:right="5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VISTANCE NETWORKS,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 /s/ Charles L. Treadway</w:t>
            </w:r>
          </w:p>
        </w:tc>
      </w:tr>
      <w:tr>
        <w:trPr>
          <w:trHeight w:val="189"/>
        </w:trPr>
        <w:tc>
          <w:tcPr>
            <w:tcW w:w="5620" w:type="dxa"/>
            <w:vAlign w:val="bottom"/>
          </w:tcPr>
          <w:p>
            <w:pPr>
              <w:spacing w:after="0"/>
              <w:rPr>
                <w:sz w:val="16"/>
                <w:szCs w:val="16"/>
                <w:color w:val="auto"/>
              </w:rPr>
            </w:pPr>
          </w:p>
        </w:tc>
        <w:tc>
          <w:tcPr>
            <w:tcW w:w="466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Charles L. Treadway</w:t>
            </w:r>
          </w:p>
        </w:tc>
      </w:tr>
      <w:tr>
        <w:trPr>
          <w:trHeight w:val="236"/>
        </w:trPr>
        <w:tc>
          <w:tcPr>
            <w:tcW w:w="5620" w:type="dxa"/>
            <w:vAlign w:val="bottom"/>
          </w:tcPr>
          <w:p>
            <w:pPr>
              <w:spacing w:after="0"/>
              <w:rPr>
                <w:sz w:val="20"/>
                <w:szCs w:val="20"/>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5"/>
                <w:szCs w:val="15"/>
                <w:color w:val="auto"/>
              </w:rPr>
            </w:pPr>
          </w:p>
        </w:tc>
        <w:tc>
          <w:tcPr>
            <w:tcW w:w="48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6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1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CHARLES L. TREADWAY</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5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Executive Officer)</w:t>
            </w:r>
          </w:p>
        </w:tc>
        <w:tc>
          <w:tcPr>
            <w:tcW w:w="3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L. Treadway</w:t>
            </w:r>
          </w:p>
        </w:tc>
        <w:tc>
          <w:tcPr>
            <w:tcW w:w="51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KYLE D. LORENTZEN</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Kyle D. Lorentzen</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Financial Officer)</w:t>
            </w: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A. GILSTRAP</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Vice President and Chief Accounting Officer (Principal</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A. Gilstrap</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Accounting Officer)</w:t>
            </w: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CLAUDIUS E. WATTS IV</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Claudius E. Watts IV</w:t>
            </w:r>
          </w:p>
        </w:tc>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C. GRAY</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C. Gray</w:t>
            </w:r>
          </w:p>
        </w:tc>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 WILLIAM KRAUSE</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William Krause</w:t>
            </w:r>
          </w:p>
        </w:tc>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JOANNE M. MAGUIRE</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Joanne M. Maguire</w:t>
            </w:r>
          </w:p>
        </w:tc>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J. MANNING</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J. Manning</w:t>
            </w:r>
          </w:p>
        </w:tc>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DERRICK A. ROMAN</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Derrick A. Roman</w:t>
            </w:r>
          </w:p>
        </w:tc>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T. YATES</w:t>
            </w:r>
          </w:p>
        </w:tc>
        <w:tc>
          <w:tcPr>
            <w:tcW w:w="5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0" w:type="dxa"/>
            <w:vAlign w:val="bottom"/>
          </w:tcPr>
          <w:p>
            <w:pPr>
              <w:spacing w:after="0"/>
              <w:rPr>
                <w:sz w:val="1"/>
                <w:szCs w:val="1"/>
                <w:color w:val="auto"/>
              </w:rPr>
            </w:pP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Timothy T. Yates</w:t>
            </w:r>
          </w:p>
        </w:tc>
        <w:tc>
          <w:tcPr>
            <w:tcW w:w="3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3660" w:type="dxa"/>
            <w:vAlign w:val="bottom"/>
          </w:tcPr>
          <w:p>
            <w:pPr>
              <w:spacing w:after="0"/>
              <w:rPr>
                <w:sz w:val="24"/>
                <w:szCs w:val="24"/>
                <w:color w:val="auto"/>
              </w:rPr>
            </w:pPr>
          </w:p>
        </w:tc>
        <w:tc>
          <w:tcPr>
            <w:tcW w:w="51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ind w:left="8240"/>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Vistance Networks, Inc. (“Vistance” or “the Company”) has one class of securities registered under Section 12 of the Securities Exchange Act of 1934, as amended (the “Exchange Act”): our common stock, par value $0.01 per share (the “common stock”). As of February 12, 2026, 225,462,013 shares of our common stock were issued and outstanding.</w:t>
      </w:r>
    </w:p>
    <w:p>
      <w:pPr>
        <w:spacing w:after="0" w:line="176"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common stock. Because it is only a summary, it does not contain all the information that may be important to you. For a complete description of our common stock, you should refer to our Second Amended and Restated Certificate of Incorporation (as may be amended from time to time, our “Certificate of Incorporation”) and our Seventh Amended and Restated Bylaws (as may be amended from time to time, our “Bylaws”), which have been filed with SEC as exhibits to our Annual Report on Form 10-K to which this description is an exhibit.</w:t>
      </w:r>
    </w:p>
    <w:p>
      <w:pPr>
        <w:spacing w:after="0" w:line="1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20" w:firstLine="562"/>
        <w:spacing w:after="0" w:line="277" w:lineRule="auto"/>
        <w:rPr>
          <w:sz w:val="20"/>
          <w:szCs w:val="20"/>
          <w:color w:val="auto"/>
        </w:rPr>
      </w:pPr>
      <w:r>
        <w:rPr>
          <w:rFonts w:ascii="Times New Roman" w:cs="Times New Roman" w:eastAsia="Times New Roman" w:hAnsi="Times New Roman"/>
          <w:sz w:val="17"/>
          <w:szCs w:val="17"/>
          <w:color w:val="auto"/>
        </w:rPr>
        <w:t>Holders of Common Stock are entitled to one vote for each share held of record on all matters submitted to a vote of the stockholders, including the election of directors, and do not have cumulative voting rights, which means that holders of a majority of the outstanding shares of Common Stock will be able to elect all of the directors, and holders of less than a majority of such shares will be unable to elect any director. Subject to preferences that may be applicable to any outstanding shares of Preferred Stock created by the Board of Directors from time to time, holders of Common Stock are entitled to receive ratably such dividends, if any, as may be declared from time to time by our Board of Directors out of funds legally available for dividend payments.</w:t>
      </w:r>
    </w:p>
    <w:p>
      <w:pPr>
        <w:spacing w:after="0" w:line="168" w:lineRule="exact"/>
        <w:rPr>
          <w:sz w:val="20"/>
          <w:szCs w:val="20"/>
          <w:color w:val="auto"/>
        </w:rPr>
      </w:pPr>
    </w:p>
    <w:p>
      <w:pPr>
        <w:ind w:right="80" w:firstLine="562"/>
        <w:spacing w:after="0" w:line="282" w:lineRule="auto"/>
        <w:rPr>
          <w:sz w:val="20"/>
          <w:szCs w:val="20"/>
          <w:color w:val="auto"/>
        </w:rPr>
      </w:pPr>
      <w:r>
        <w:rPr>
          <w:rFonts w:ascii="Times New Roman" w:cs="Times New Roman" w:eastAsia="Times New Roman" w:hAnsi="Times New Roman"/>
          <w:sz w:val="18"/>
          <w:szCs w:val="18"/>
          <w:color w:val="auto"/>
        </w:rPr>
        <w:t>As a holding company, our ability to pay dividends is subject to our subsidiaries’ ability to make distributions to us. Further, any credit agreements or indentures governing the terms of any indebtedness we may incur may impose restrictions on our ability to declare dividends on our Common Stock.</w:t>
      </w:r>
    </w:p>
    <w:p>
      <w:pPr>
        <w:spacing w:after="0" w:line="162" w:lineRule="exact"/>
        <w:rPr>
          <w:sz w:val="20"/>
          <w:szCs w:val="20"/>
          <w:color w:val="auto"/>
        </w:rPr>
      </w:pPr>
    </w:p>
    <w:p>
      <w:pPr>
        <w:ind w:right="60" w:firstLine="562"/>
        <w:spacing w:after="0" w:line="261" w:lineRule="auto"/>
        <w:rPr>
          <w:sz w:val="20"/>
          <w:szCs w:val="20"/>
          <w:color w:val="auto"/>
        </w:rPr>
      </w:pPr>
      <w:r>
        <w:rPr>
          <w:rFonts w:ascii="Times New Roman" w:cs="Times New Roman" w:eastAsia="Times New Roman" w:hAnsi="Times New Roman"/>
          <w:sz w:val="18"/>
          <w:szCs w:val="18"/>
          <w:color w:val="auto"/>
        </w:rPr>
        <w:t>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any outstanding shares of Preferred Stock, if any.</w:t>
      </w:r>
    </w:p>
    <w:p>
      <w:pPr>
        <w:spacing w:after="0" w:line="180" w:lineRule="exact"/>
        <w:rPr>
          <w:sz w:val="20"/>
          <w:szCs w:val="20"/>
          <w:color w:val="auto"/>
        </w:rPr>
      </w:pPr>
    </w:p>
    <w:p>
      <w:pPr>
        <w:jc w:val="both"/>
        <w:ind w:right="200" w:firstLine="562"/>
        <w:spacing w:after="0" w:line="266" w:lineRule="auto"/>
        <w:rPr>
          <w:sz w:val="20"/>
          <w:szCs w:val="20"/>
          <w:color w:val="auto"/>
        </w:rPr>
      </w:pPr>
      <w:r>
        <w:rPr>
          <w:rFonts w:ascii="Times New Roman" w:cs="Times New Roman" w:eastAsia="Times New Roman" w:hAnsi="Times New Roman"/>
          <w:sz w:val="18"/>
          <w:szCs w:val="18"/>
          <w:color w:val="auto"/>
        </w:rPr>
        <w:t>Subject to any rights of the holders of shares of any class or series of Preferred Stock to elect directors under specified circumstances, the precise number of directors of the Corporation shall be fixed, and may be altered from time to time, exclusively by a Board resolution adopted by the affirmative vote of a majority of the total number of directors then in office.</w:t>
      </w:r>
    </w:p>
    <w:p>
      <w:pPr>
        <w:spacing w:after="0" w:line="172" w:lineRule="exact"/>
        <w:rPr>
          <w:sz w:val="20"/>
          <w:szCs w:val="20"/>
          <w:color w:val="auto"/>
        </w:rPr>
      </w:pPr>
    </w:p>
    <w:p>
      <w:pPr>
        <w:ind w:right="1220" w:firstLine="1223"/>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Provisions of Our Certificate of Incorporation, Bylaws and Delaware Law that May Have an Anti-Takeover Effect </w:t>
      </w:r>
      <w:r>
        <w:rPr>
          <w:rFonts w:ascii="Times New Roman" w:cs="Times New Roman" w:eastAsia="Times New Roman" w:hAnsi="Times New Roman"/>
          <w:sz w:val="18"/>
          <w:szCs w:val="18"/>
          <w:i w:val="1"/>
          <w:iCs w:val="1"/>
          <w:color w:val="auto"/>
        </w:rPr>
        <w:t>Certificate of Incorporation and Bylaws</w:t>
      </w:r>
    </w:p>
    <w:p>
      <w:pPr>
        <w:spacing w:after="0" w:line="1"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Certain provisions in our Certificate of Incorporation and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our Certificate of Incorporation and Bylaws will:</w:t>
      </w:r>
    </w:p>
    <w:p>
      <w:pPr>
        <w:spacing w:after="0" w:line="90" w:lineRule="exact"/>
        <w:rPr>
          <w:sz w:val="20"/>
          <w:szCs w:val="20"/>
          <w:color w:val="auto"/>
        </w:rPr>
      </w:pPr>
    </w:p>
    <w:p>
      <w:pPr>
        <w:ind w:left="920" w:right="100" w:hanging="453"/>
        <w:spacing w:after="0" w:line="266" w:lineRule="auto"/>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shares of common stock, which, to the extent unissued, will be available for future issuance without additional stockholder approval and, under some circumstances, we could use the additional shares to create voting impediments or to frustrate persons seeking to effect a takeover or otherwise gain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ind w:left="920" w:right="360"/>
        <w:spacing w:after="0" w:line="282" w:lineRule="auto"/>
        <w:rPr>
          <w:sz w:val="20"/>
          <w:szCs w:val="20"/>
          <w:color w:val="auto"/>
        </w:rPr>
      </w:pPr>
      <w:r>
        <w:rPr>
          <w:rFonts w:ascii="Times New Roman" w:cs="Times New Roman" w:eastAsia="Times New Roman" w:hAnsi="Times New Roman"/>
          <w:sz w:val="18"/>
          <w:szCs w:val="18"/>
          <w:color w:val="auto"/>
        </w:rPr>
        <w:t>by, for example, issuing those shares in private placements to purchasers who might side with our Board of Directors in opposing a hostile takeover bid;</w:t>
      </w:r>
    </w:p>
    <w:p>
      <w:pPr>
        <w:spacing w:after="0" w:line="27" w:lineRule="exact"/>
        <w:rPr>
          <w:sz w:val="20"/>
          <w:szCs w:val="20"/>
          <w:color w:val="auto"/>
        </w:rPr>
      </w:pPr>
    </w:p>
    <w:p>
      <w:pPr>
        <w:jc w:val="both"/>
        <w:ind w:left="920" w:right="380" w:hanging="453"/>
        <w:spacing w:after="0" w:line="266"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without further stockholder authorization, issue to increase the number of outstanding shares, issue with super voting, special approval, dividend or other rights or preferences and otherwise issue to discourage a takeover attempt;</w:t>
      </w:r>
    </w:p>
    <w:p>
      <w:pPr>
        <w:spacing w:after="0" w:line="121"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calling a special meeting of stockholders;</w:t>
      </w:r>
    </w:p>
    <w:p>
      <w:pPr>
        <w:spacing w:after="0" w:line="90"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90"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adopt, alter or repeal our bylaws;</w:t>
      </w:r>
    </w:p>
    <w:p>
      <w:pPr>
        <w:spacing w:after="0" w:line="90"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stockholder meetings;</w:t>
      </w:r>
    </w:p>
    <w:p>
      <w:pPr>
        <w:spacing w:after="0" w:line="26" w:lineRule="exact"/>
        <w:rPr>
          <w:rFonts w:ascii="Times New Roman" w:cs="Times New Roman" w:eastAsia="Times New Roman" w:hAnsi="Times New Roman"/>
          <w:sz w:val="18"/>
          <w:szCs w:val="18"/>
          <w:color w:val="auto"/>
        </w:rPr>
      </w:pPr>
    </w:p>
    <w:p>
      <w:pPr>
        <w:ind w:left="920" w:right="380" w:hanging="453"/>
        <w:spacing w:after="0" w:line="282"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stockholder’s notice proposing to nominate a person for election as director to include specific information about the nominating stockholder and the proposed nominee;</w:t>
      </w:r>
    </w:p>
    <w:p>
      <w:pPr>
        <w:spacing w:after="0" w:line="26" w:lineRule="exact"/>
        <w:rPr>
          <w:rFonts w:ascii="Times New Roman" w:cs="Times New Roman" w:eastAsia="Times New Roman" w:hAnsi="Times New Roman"/>
          <w:sz w:val="18"/>
          <w:szCs w:val="18"/>
          <w:color w:val="auto"/>
        </w:rPr>
      </w:pPr>
    </w:p>
    <w:p>
      <w:pPr>
        <w:ind w:left="920" w:right="100" w:hanging="453"/>
        <w:spacing w:after="0" w:line="282"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stockholder’s notice relating to the conduct of business (other than the nomination of directors) to contain specific information about the business and the proposing stockholder;</w:t>
      </w:r>
    </w:p>
    <w:p>
      <w:pPr>
        <w:spacing w:after="0" w:line="10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to the Board of Directors the sole power to set the number of directors and to fill any vacancy on the Board; and</w:t>
      </w:r>
    </w:p>
    <w:p>
      <w:pPr>
        <w:spacing w:after="0" w:line="90" w:lineRule="exact"/>
        <w:rPr>
          <w:rFonts w:ascii="Times New Roman" w:cs="Times New Roman" w:eastAsia="Times New Roman" w:hAnsi="Times New Roman"/>
          <w:sz w:val="18"/>
          <w:szCs w:val="18"/>
          <w:color w:val="auto"/>
        </w:rPr>
      </w:pPr>
    </w:p>
    <w:p>
      <w:pPr>
        <w:ind w:left="920" w:right="20" w:hanging="453"/>
        <w:spacing w:after="0" w:line="282" w:lineRule="auto"/>
        <w:tabs>
          <w:tab w:leader="none" w:pos="9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holders of at least three-quarters of the outstanding shares of common stock to amend the bylaws and certain provisions of the certificate of incorporation.</w:t>
      </w:r>
    </w:p>
    <w:p>
      <w:pPr>
        <w:spacing w:after="0" w:line="108" w:lineRule="exact"/>
        <w:rPr>
          <w:sz w:val="20"/>
          <w:szCs w:val="20"/>
          <w:color w:val="auto"/>
        </w:rPr>
      </w:pPr>
    </w:p>
    <w:p>
      <w:pPr>
        <w:ind w:right="80" w:firstLine="562"/>
        <w:spacing w:after="0" w:line="254" w:lineRule="auto"/>
        <w:rPr>
          <w:sz w:val="20"/>
          <w:szCs w:val="20"/>
          <w:color w:val="auto"/>
        </w:rPr>
      </w:pPr>
      <w:r>
        <w:rPr>
          <w:rFonts w:ascii="Times New Roman" w:cs="Times New Roman" w:eastAsia="Times New Roman" w:hAnsi="Times New Roman"/>
          <w:sz w:val="18"/>
          <w:szCs w:val="18"/>
          <w:color w:val="auto"/>
        </w:rPr>
        <w:t>The foregoing provisions of our Certificate of Incorporation and Bylaws could discourage potential acquisition proposals and could delay or prevent a change in control and could also affect the price that some investors are willing to pay for our common stock.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and encourage persons seeking to acquire control of our company to first consult with our Board of Directors to negotiate the terms of any proposed business combination or offer.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Delaware Takeover Statute</w:t>
      </w:r>
    </w:p>
    <w:p>
      <w:pPr>
        <w:spacing w:after="0" w:line="92"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Subject to certain exceptions, Section 203 of the DGCL prohibits a Delaware corporation from engaging in any “business combination” (as defined below) with any “interested stockholder” (as defined below) for a period of three years following the date that such stockholder became an interested stockholder, unless: (1) prior to such date, the board of directors of the corporation approved either the business combination or the transaction that resulted in the stockholder becoming an interested stockholder; (2) 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(x) by persons who are directors and also officers and (y) by employee stock plans in which employee participants do not have the right to determine confidentially whether shares held subject to the plan will be tendered in a tender or exchange offer; or (3) on or subsequent to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40" w:lineRule="exact"/>
        <w:rPr>
          <w:sz w:val="20"/>
          <w:szCs w:val="20"/>
          <w:color w:val="auto"/>
        </w:rPr>
      </w:pPr>
    </w:p>
    <w:p>
      <w:pPr>
        <w:ind w:right="760" w:firstLine="562"/>
        <w:spacing w:after="0" w:line="282" w:lineRule="auto"/>
        <w:rPr>
          <w:sz w:val="20"/>
          <w:szCs w:val="20"/>
          <w:color w:val="auto"/>
        </w:rPr>
      </w:pPr>
      <w:r>
        <w:rPr>
          <w:rFonts w:ascii="Times New Roman" w:cs="Times New Roman" w:eastAsia="Times New Roman" w:hAnsi="Times New Roman"/>
          <w:sz w:val="18"/>
          <w:szCs w:val="18"/>
          <w:color w:val="auto"/>
        </w:rPr>
        <w:t>In our Certificate of Incorporation, we intend to elect not to be governed by Section 203 of the DGCL, as permitted under and pursuant to subsection (b)(3) of Section 203. Section 203 of the DGCL defines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spacing w:after="0" w:line="14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combination” to include: (1) any merger or consolidation involving the corporation and the interested stockholder; (2) any sale, transfer, pledge or other disposition of 10% or more of the assets of the corporation involving the interested stockholder; (3) subject to certain exceptions, any transaction that results in the issuance or transfer by the corporation of any stock of the corporation to the interested stockholder; (4) any transaction involving the corporation that has the effect of increasing the proportionate share of the stock of any class or series of the corporation beneficially owned by the interested stockholder; or (5) 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12" w:name="page113"/>
    <w:bookmarkEnd w:id="112"/>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432"/>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CommScope, LLC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ARRIS Holding Company, LLC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ARRIS US Holdings, Inc.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Access Solutions Holdings, Inc.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Ruckus Holdings, Inc.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Ruckus Wireless LLC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ARRIS Technology Holdings Inc.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ARRIS Technology, Inc.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ARRIS Enterprises LLC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ARRIS Global Services, Inc.</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Delaware (USA)</w:t>
            </w:r>
          </w:p>
        </w:tc>
      </w:tr>
      <w:tr>
        <w:trPr>
          <w:trHeight w:val="432"/>
        </w:trPr>
        <w:tc>
          <w:tcPr>
            <w:tcW w:w="4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CommScope UK Holdings Ltd</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32"/>
        </w:trPr>
        <w:tc>
          <w:tcPr>
            <w:tcW w:w="4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ARRIS International Ltd</w:t>
            </w:r>
          </w:p>
        </w:tc>
        <w:tc>
          <w:tcPr>
            <w:tcW w:w="696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7"/>
        </w:trPr>
        <w:tc>
          <w:tcPr>
            <w:tcW w:w="428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6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jc w:val="both"/>
        <w:ind w:left="1020" w:hanging="503"/>
        <w:spacing w:after="0" w:line="244" w:lineRule="auto"/>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333-191959) pertaining to the Vistance Networks, Inc. (f/k/a CommScope Holding Company, Inc.) 2013 Long-Term Incentive Plan, the Amended and Restated Vistance Networks, Inc. (f/k/a CommScope Holding Company, Inc.) 2011 Incentive Plan, the Amended and Restated CommScope, Inc. 2006 Long-Term Incentive Plan, the Amended and Restated CommScope, Inc. 1997 Long-Term Incentive Plan, the Andrew Corporation Management Incentive Program, and the Options Granted to Non-Employee Directors Outside of a Plan,</w:t>
      </w:r>
    </w:p>
    <w:p>
      <w:pPr>
        <w:ind w:left="1020" w:hanging="503"/>
        <w:spacing w:after="0" w:line="239" w:lineRule="auto"/>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333-232354) pertaining to the Vistance Networks, Inc. (f/k/a CommScope Holding Company, Inc.) 2019 Long-Term Incentive Plan,</w:t>
      </w:r>
    </w:p>
    <w:p>
      <w:pPr>
        <w:ind w:left="1020" w:hanging="503"/>
        <w:spacing w:after="0" w:line="239" w:lineRule="auto"/>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333-238716) pertaining to the Vistance Networks, Inc. (f/k/a CommScope Holding Company, Inc.) Amended and Restated 2019 Long-Term Incentive Plan,</w:t>
      </w:r>
    </w:p>
    <w:p>
      <w:pPr>
        <w:ind w:left="1020" w:hanging="503"/>
        <w:spacing w:after="0" w:line="239" w:lineRule="auto"/>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333-256539) pertaining to the Vistance Networks, Inc. (f/k/a CommScope Holding Company, Inc.) Amended and Restated 2019 Long-Term Incentive Plan,</w:t>
      </w:r>
    </w:p>
    <w:p>
      <w:pPr>
        <w:ind w:left="1020" w:hanging="503"/>
        <w:spacing w:after="0" w:line="239" w:lineRule="auto"/>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333-265198) pertaining to the Vistance Networks, Inc. (f/k/a CommScope Holding Company, Inc.) Amended and Restated 2019 Long-Term Incentive Plan,</w:t>
      </w:r>
    </w:p>
    <w:p>
      <w:pPr>
        <w:ind w:left="1020" w:hanging="503"/>
        <w:spacing w:after="0" w:line="239" w:lineRule="auto"/>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333-272170) pertaining to the Vistance Networks, Inc. (f/k/a CommScope Holding Company, Inc.) Amended and Restated 2019 Long-Term Incentive Plan,</w:t>
      </w:r>
    </w:p>
    <w:p>
      <w:pPr>
        <w:ind w:left="1020" w:hanging="503"/>
        <w:spacing w:after="0" w:line="239" w:lineRule="auto"/>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333-279666) pertaining to the Vistance Networks, Inc. (f/k/a CommScope Holding Company, Inc.) Amended and Restated 2019 Long-Term Incentive Plan, and</w:t>
      </w:r>
    </w:p>
    <w:p>
      <w:pPr>
        <w:ind w:left="1020" w:right="20" w:hanging="503"/>
        <w:spacing w:after="0" w:line="246" w:lineRule="auto"/>
        <w:tabs>
          <w:tab w:leader="none" w:pos="10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333-287539) pertaining to Vistance Networks, Inc. (f/k/a CommScope Holding Company, Inc.) Amended and Restated 2019 Long-Term Incentive Plan;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our reports dated February 25, 2026, with respect to the consolidated financial statements of Vistance Networks, Inc. and the effectiveness of internal control over financial reporting of Vistance Networks, Inc. included in this Annual Report (Form 10-K) of Vistance Networks, Inc.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Charlotte,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14" w:name="page115"/>
    <w:bookmarkEnd w:id="114"/>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L. Treadway,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Vistance Networks,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300" w:firstLine="8"/>
        <w:spacing w:after="0" w:line="266" w:lineRule="auto"/>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Rules 13a-15(e) and 15d-15(e) of the Securities Exchange Act of 1934, as amended)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60" w:hanging="3"/>
        <w:spacing w:after="0" w:line="266" w:lineRule="auto"/>
        <w:tabs>
          <w:tab w:leader="none" w:pos="70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3"/>
        <w:spacing w:after="0" w:line="266" w:lineRule="auto"/>
        <w:tabs>
          <w:tab w:leader="none" w:pos="71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860" w:hanging="3"/>
        <w:spacing w:after="0" w:line="312" w:lineRule="auto"/>
        <w:tabs>
          <w:tab w:leader="none" w:pos="70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20" w:hanging="3"/>
        <w:spacing w:after="0" w:line="266" w:lineRule="auto"/>
        <w:tabs>
          <w:tab w:leader="none" w:pos="71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280" w:hanging="3"/>
        <w:spacing w:after="0" w:line="282" w:lineRule="auto"/>
        <w:tabs>
          <w:tab w:leader="none" w:pos="70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hanging="3"/>
        <w:spacing w:after="0" w:line="282" w:lineRule="auto"/>
        <w:tabs>
          <w:tab w:leader="none" w:pos="71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Charles L. Treadway</w:t>
            </w:r>
          </w:p>
        </w:tc>
        <w:tc>
          <w:tcPr>
            <w:tcW w:w="6760" w:type="dxa"/>
            <w:vAlign w:val="bottom"/>
          </w:tcPr>
          <w:p>
            <w:pPr>
              <w:spacing w:after="0"/>
              <w:rPr>
                <w:sz w:val="17"/>
                <w:szCs w:val="17"/>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80" w:type="dxa"/>
            <w:vAlign w:val="bottom"/>
          </w:tcPr>
          <w:p>
            <w:pPr>
              <w:spacing w:after="0"/>
              <w:rPr>
                <w:sz w:val="20"/>
                <w:szCs w:val="20"/>
                <w:color w:val="auto"/>
              </w:rPr>
            </w:pPr>
          </w:p>
        </w:tc>
        <w:tc>
          <w:tcPr>
            <w:tcW w:w="10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6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D. Lorentzen,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Vistance Networks,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300" w:firstLine="8"/>
        <w:spacing w:after="0" w:line="266"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Rules 13a-15(e) and 15d-15(e) of the Securities Exchange Act of 1934, as amended)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60" w:hanging="3"/>
        <w:spacing w:after="0" w:line="266" w:lineRule="auto"/>
        <w:tabs>
          <w:tab w:leader="none" w:pos="70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200" w:hanging="3"/>
        <w:spacing w:after="0" w:line="266" w:lineRule="auto"/>
        <w:tabs>
          <w:tab w:leader="none" w:pos="71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860" w:hanging="3"/>
        <w:spacing w:after="0" w:line="312" w:lineRule="auto"/>
        <w:tabs>
          <w:tab w:leader="none" w:pos="705"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20" w:hanging="3"/>
        <w:spacing w:after="0" w:line="266" w:lineRule="auto"/>
        <w:tabs>
          <w:tab w:leader="none" w:pos="71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280" w:hanging="3"/>
        <w:spacing w:after="0" w:line="282" w:lineRule="auto"/>
        <w:tabs>
          <w:tab w:leader="none" w:pos="70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20" w:hanging="3"/>
        <w:spacing w:after="0" w:line="282" w:lineRule="auto"/>
        <w:tabs>
          <w:tab w:leader="none" w:pos="71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Kyle D. Lorentzen</w:t>
            </w:r>
          </w:p>
        </w:tc>
        <w:tc>
          <w:tcPr>
            <w:tcW w:w="6760" w:type="dxa"/>
            <w:vAlign w:val="bottom"/>
          </w:tcPr>
          <w:p>
            <w:pPr>
              <w:spacing w:after="0"/>
              <w:rPr>
                <w:sz w:val="17"/>
                <w:szCs w:val="17"/>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680" w:type="dxa"/>
            <w:vAlign w:val="bottom"/>
          </w:tcPr>
          <w:p>
            <w:pPr>
              <w:spacing w:after="0"/>
              <w:rPr>
                <w:sz w:val="20"/>
                <w:szCs w:val="20"/>
                <w:color w:val="auto"/>
              </w:rPr>
            </w:pPr>
          </w:p>
        </w:tc>
        <w:tc>
          <w:tcPr>
            <w:tcW w:w="10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Officer (Principal Financial Officer)</w:t>
            </w:r>
          </w:p>
        </w:tc>
      </w:tr>
      <w:tr>
        <w:trPr>
          <w:trHeight w:val="1627"/>
        </w:trPr>
        <w:tc>
          <w:tcPr>
            <w:tcW w:w="6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Vistance Networks, Inc. (the “Company”) on Form 10-K for the year ended December 31, 2024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 1350 as adopted pursuant to §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60" w:firstLine="8"/>
        <w:spacing w:after="0" w:line="53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25, 2026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L. Treadway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Kyle D. Lorentzen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5"/>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2"/>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4"/>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6"/>
    </w:lvl>
  </w:abstractNum>
  <w:abstractNum w:abstractNumId="37">
    <w:nsid w:val="75C6C33A"/>
    <w:multiLevelType w:val="hybridMultilevel"/>
    <w:lvl w:ilvl="0">
      <w:lvlJc w:val="left"/>
      <w:lvlText w:val="%1."/>
      <w:numFmt w:val="decimal"/>
      <w:start w:val="7"/>
    </w:lvl>
  </w:abstractNum>
  <w:abstractNum w:abstractNumId="38">
    <w:nsid w:val="12E685FB"/>
    <w:multiLevelType w:val="hybridMultilevel"/>
    <w:lvl w:ilvl="0">
      <w:lvlJc w:val="left"/>
      <w:lvlText w:val="%1."/>
      <w:numFmt w:val="decimal"/>
      <w:start w:val="8"/>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2"/>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14"/>
    </w:lvl>
  </w:abstractNum>
  <w:abstractNum w:abstractNumId="44">
    <w:nsid w:val="649BB77C"/>
    <w:multiLevelType w:val="hybridMultilevel"/>
    <w:lvl w:ilvl="0">
      <w:lvlJc w:val="left"/>
      <w:lvlText w:val="%1."/>
      <w:numFmt w:val="decimal"/>
      <w:start w:val="15"/>
    </w:lvl>
  </w:abstractNum>
  <w:abstractNum w:abstractNumId="45">
    <w:nsid w:val="275AC794"/>
    <w:multiLevelType w:val="hybridMultilevel"/>
    <w:lvl w:ilvl="0">
      <w:lvlJc w:val="left"/>
      <w:lvlText w:val="%1."/>
      <w:numFmt w:val="decimal"/>
      <w:start w:val="17"/>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2"/>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lowerLetter"/>
      <w:start w:val="1"/>
    </w:lvl>
    <w:lvl w:ilvl="1">
      <w:lvlJc w:val="left"/>
      <w:lvlText w:val="%2."/>
      <w:numFmt w:val="decimal"/>
      <w:start w:val="1"/>
    </w:lvl>
  </w:abstractNum>
  <w:abstractNum w:abstractNumId="54">
    <w:nsid w:val="D34B6A8"/>
    <w:multiLevelType w:val="hybridMultilevel"/>
    <w:lvl w:ilvl="0">
      <w:lvlJc w:val="left"/>
      <w:lvlText w:val="%1."/>
      <w:numFmt w:val="decimal"/>
      <w:start w:val="2"/>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57">
    <w:nsid w:val="61574095"/>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8">
    <w:nsid w:val="7E0C57B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7" Type="http://schemas.openxmlformats.org/officeDocument/2006/relationships/image" Target="media/image455.png"/><Relationship Id="rId498" Type="http://schemas.openxmlformats.org/officeDocument/2006/relationships/image" Target="media/image456.png"/><Relationship Id="rId499" Type="http://schemas.openxmlformats.org/officeDocument/2006/relationships/image" Target="media/image457.png"/><Relationship Id="rId500" Type="http://schemas.openxmlformats.org/officeDocument/2006/relationships/image" Target="media/image458.png"/><Relationship Id="rId501" Type="http://schemas.openxmlformats.org/officeDocument/2006/relationships/image" Target="media/image459.png"/><Relationship Id="rId502" Type="http://schemas.openxmlformats.org/officeDocument/2006/relationships/image" Target="media/image460.png"/><Relationship Id="rId503" Type="http://schemas.openxmlformats.org/officeDocument/2006/relationships/image" Target="media/image461.png"/><Relationship Id="rId504" Type="http://schemas.openxmlformats.org/officeDocument/2006/relationships/image" Target="media/image462.png"/><Relationship Id="rId505" Type="http://schemas.openxmlformats.org/officeDocument/2006/relationships/image" Target="media/image463.png"/><Relationship Id="rId506" Type="http://schemas.openxmlformats.org/officeDocument/2006/relationships/image" Target="media/image464.png"/><Relationship Id="rId507" Type="http://schemas.openxmlformats.org/officeDocument/2006/relationships/image" Target="media/image465.png"/><Relationship Id="rId508" Type="http://schemas.openxmlformats.org/officeDocument/2006/relationships/image" Target="media/image466.png"/><Relationship Id="rId509" Type="http://schemas.openxmlformats.org/officeDocument/2006/relationships/image" Target="media/image467.png"/><Relationship Id="rId510" Type="http://schemas.openxmlformats.org/officeDocument/2006/relationships/image" Target="media/image468.png"/><Relationship Id="rId511" Type="http://schemas.openxmlformats.org/officeDocument/2006/relationships/image" Target="media/image469.png"/><Relationship Id="rId512" Type="http://schemas.openxmlformats.org/officeDocument/2006/relationships/image" Target="media/image470.png"/><Relationship Id="rId513" Type="http://schemas.openxmlformats.org/officeDocument/2006/relationships/image" Target="media/image471.png"/><Relationship Id="rId458" Type="http://schemas.openxmlformats.org/officeDocument/2006/relationships/hyperlink" Target="https://www.sec.gov/Archives/edgar/data/1517228/000119312524182883/d833436dex21.htm" TargetMode="External"/><Relationship Id="rId459" Type="http://schemas.openxmlformats.org/officeDocument/2006/relationships/hyperlink" Target="https://www.sec.gov/Archives/edgar/data/1517228/000119312525175444/d21486dex21.htm" TargetMode="External"/><Relationship Id="rId460" Type="http://schemas.openxmlformats.org/officeDocument/2006/relationships/hyperlink" Target="https://www.sec.gov/Archives/edgar/data/1517228/000119312513430556/d613438dex31.htm" TargetMode="External"/><Relationship Id="rId461" Type="http://schemas.openxmlformats.org/officeDocument/2006/relationships/hyperlink" Target="https://www.sec.gov/Archives/edgar/data/0001517228/000119312519097421/d693740dex31.htm" TargetMode="External"/><Relationship Id="rId462" Type="http://schemas.openxmlformats.org/officeDocument/2006/relationships/hyperlink" Target="https://www.sec.gov/Archives/edgar/data/1517228/000095017024022519/comm-ex3_3.htm" TargetMode="External"/><Relationship Id="rId463" Type="http://schemas.openxmlformats.org/officeDocument/2006/relationships/hyperlink" Target="https://www.sec.gov/Archives/edgar/data/1517228/000119312526014078/d749492dex32.htm" TargetMode="External"/><Relationship Id="rId464" Type="http://schemas.openxmlformats.org/officeDocument/2006/relationships/hyperlink" Target="https://www.sec.gov/Archives/edgar/data/1517228/000095017024062960/comm-ex10_1.htm" TargetMode="External"/><Relationship Id="rId465" Type="http://schemas.openxmlformats.org/officeDocument/2006/relationships/hyperlink" Target="https://www.sec.gov/Archives/edgar/data/1517228/000119312525256715/comm-ex10_2.htm" TargetMode="External"/><Relationship Id="rId466" Type="http://schemas.openxmlformats.org/officeDocument/2006/relationships/hyperlink" Target="https://www.sec.gov/ix?doc=/Archives/edgar/data/0001517228/000095017024093045/comm-20240630.htm" TargetMode="External"/><Relationship Id="rId467" Type="http://schemas.openxmlformats.org/officeDocument/2006/relationships/hyperlink" Target="https://www.sec.gov/Archives/edgar/data/1517228/000119312520260587/d78476dex101.htm" TargetMode="External"/><Relationship Id="rId468" Type="http://schemas.openxmlformats.org/officeDocument/2006/relationships/hyperlink" Target="https://www.sec.gov/Archives/edgar/data/1517228/000095017023003856/comm-ex10_2.htm" TargetMode="External"/><Relationship Id="rId469" Type="http://schemas.openxmlformats.org/officeDocument/2006/relationships/hyperlink" Target="https://www.sec.gov/Archives/edgar/data/1517228/000119312520260587/d78476dex104.htm" TargetMode="External"/><Relationship Id="rId470" Type="http://schemas.openxmlformats.org/officeDocument/2006/relationships/hyperlink" Target="https://www.sec.gov/Archives/edgar/data/1517228/000095017023003856/comm-ex10_4.htm" TargetMode="External"/><Relationship Id="rId471" Type="http://schemas.openxmlformats.org/officeDocument/2006/relationships/hyperlink" Target="https://www.sec.gov/Archives/edgar/data/1517228/000095017023003856/comm-ex10_6.htm" TargetMode="External"/><Relationship Id="rId474" Type="http://schemas.openxmlformats.org/officeDocument/2006/relationships/hyperlink" Target="https://www.sec.gov/Archives/edgar/data/1517228/000095017023003856/comm-ex10_7.htm" TargetMode="External"/><Relationship Id="rId475" Type="http://schemas.openxmlformats.org/officeDocument/2006/relationships/hyperlink" Target="https://www.sec.gov/Archives/edgar/data/1517228/000095017023003856/comm-ex10_8.htm" TargetMode="External"/><Relationship Id="rId476" Type="http://schemas.openxmlformats.org/officeDocument/2006/relationships/hyperlink" Target="https://www.sec.gov/Archives/edgar/data/1517228/000119312513365029/d561490dex1022.htm" TargetMode="External"/><Relationship Id="rId477" Type="http://schemas.openxmlformats.org/officeDocument/2006/relationships/hyperlink" Target="https://www.sec.gov/Archives/edgar/data/1517228/000156459017002042/comm-ex1028_1001.htm" TargetMode="External"/><Relationship Id="rId478" Type="http://schemas.openxmlformats.org/officeDocument/2006/relationships/hyperlink" Target="https://www.sec.gov/Archives/edgar/data/1517228/000119312515157237/d897078dex104.htm" TargetMode="External"/><Relationship Id="rId479" Type="http://schemas.openxmlformats.org/officeDocument/2006/relationships/hyperlink" Target="https://www.sec.gov/Archives/edgar/data/1517228/000119312516559898/d164203dex105.htm" TargetMode="External"/><Relationship Id="rId480" Type="http://schemas.openxmlformats.org/officeDocument/2006/relationships/hyperlink" Target="https://www.sec.gov/Archives/edgar/data/1517228/000119312516559898/d164203dex102.htm" TargetMode="External"/><Relationship Id="rId481" Type="http://schemas.openxmlformats.org/officeDocument/2006/relationships/hyperlink" Target="https://www.sec.gov/Archives/edgar/data/1517228/000119312516559898/d164203dex103.htm" TargetMode="External"/><Relationship Id="rId482" Type="http://schemas.openxmlformats.org/officeDocument/2006/relationships/hyperlink" Target="https://www.sec.gov/Archives/edgar/data/1517228/000119312516559898/d164203dex104.htm" TargetMode="External"/><Relationship Id="rId483" Type="http://schemas.openxmlformats.org/officeDocument/2006/relationships/hyperlink" Target="https://www.sec.gov/Archives/edgar/data/1517228/000095017023017336/comm-ex10_1.htm" TargetMode="External"/><Relationship Id="rId484" Type="http://schemas.openxmlformats.org/officeDocument/2006/relationships/hyperlink" Target="https://www.sec.gov/Archives/edgar/data/1517228/000095017023003856/comm-ex10_19.htm" TargetMode="External"/><Relationship Id="rId485" Type="http://schemas.openxmlformats.org/officeDocument/2006/relationships/hyperlink" Target="https://www.sec.gov/Archives/edgar/data/1517228/000095017023003856/comm-ex10_20.htm" TargetMode="External"/><Relationship Id="rId486" Type="http://schemas.openxmlformats.org/officeDocument/2006/relationships/hyperlink" Target="https://www.sec.gov/Archives/edgar/data/0001517228/000156459019030235/comm-ex105_11.htm" TargetMode="External"/><Relationship Id="rId487" Type="http://schemas.openxmlformats.org/officeDocument/2006/relationships/hyperlink" Target="https://www.sec.gov/Archives/edgar/data/1517228/000119312520260587/d78476dex102.htm" TargetMode="External"/><Relationship Id="rId490" Type="http://schemas.openxmlformats.org/officeDocument/2006/relationships/hyperlink" Target="https://www.sec.gov/Archives/edgar/data/1517228/000119312520260587/d78476dex103.htm" TargetMode="External"/><Relationship Id="rId491" Type="http://schemas.openxmlformats.org/officeDocument/2006/relationships/hyperlink" Target="https://www.sec.gov/Archives/edgar/data/1517228/000095017022007469/comm-ex10_1.htm" TargetMode="External"/><Relationship Id="rId492" Type="http://schemas.openxmlformats.org/officeDocument/2006/relationships/hyperlink" Target="https://www.sec.gov/Archives/edgar/data/1517228/000156459017002042/comm-ex1041_1002.htm" TargetMode="External"/><Relationship Id="rId493" Type="http://schemas.openxmlformats.org/officeDocument/2006/relationships/hyperlink" Target="https://www.sec.gov/Archives/edgar/data/0001517228/000119312519182456/d766713dex991.htm" TargetMode="External"/><Relationship Id="rId494" Type="http://schemas.openxmlformats.org/officeDocument/2006/relationships/hyperlink" Target="https://www.sec.gov/Archives/edgar/data/1517228/000156459019030235/comm-ex181_59.htm" TargetMode="External"/><Relationship Id="rId495" Type="http://schemas.openxmlformats.org/officeDocument/2006/relationships/hyperlink" Target="https://www.sec.gov/Archives/edgar/data/1517228/000095017024022519/comm-ex19_1.htm" TargetMode="External"/><Relationship Id="rId496" Type="http://schemas.openxmlformats.org/officeDocument/2006/relationships/hyperlink" Target="https://www.sec.gov/Archives/edgar/data/1517228/000095017024022519/comm-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2026-02-26T05:36:02Z</dcterms:created>
  <dcterms:modified xsi:type="dcterms:W3CDTF">2026-02-26T05:36:02Z</dcterms:modified>
</cp:coreProperties>
</file>