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mm-20240331.htm"/>
      <w:bookmarkStart w:id="1" w:name="kscomm20240331"/>
      <w:bookmarkEnd w:id="0"/>
      <w:bookmarkEnd w:id="1"/>
      <w:r>
        <w:rPr/>
        <w:t> </w:t>
      </w:r>
    </w:p>
    <w:p>
      <w:pPr>
        <w:pStyle w:val="TextBody"/>
        <w:pBdr>
          <w:bottom w:val="double" w:sz="6" w:space="1" w:color="000000"/>
        </w:pBdr>
        <w:bidi w:val="0"/>
        <w:jc w:val="left"/>
        <w:rPr/>
      </w:pPr>
      <w:r>
        <w:rPr/>
        <w:t> </w:t>
      </w:r>
    </w:p>
    <w:p>
      <w:pPr>
        <w:pStyle w:val="TextBody"/>
        <w:pBdr>
          <w:top w:val="double" w:sz="6" w:space="1" w:color="000000"/>
        </w:pBdr>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quarterly period ended March 31, 2024</w:t>
      </w:r>
      <w:r>
        <w:rPr>
          <w:rFonts w:ascii="Times New Roman" w:hAnsi="Times New Roman"/>
          <w:color w:val="000000"/>
          <w:sz w:val="20"/>
        </w:rPr>
        <w:t xml:space="preserve"> </w:t>
      </w:r>
    </w:p>
    <w:p>
      <w:pPr>
        <w:pStyle w:val="TextBody"/>
        <w:bidi w:val="0"/>
        <w:spacing w:before="6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001-36146</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3642 E. US Highway 70</w:t>
      </w:r>
    </w:p>
    <w:p>
      <w:pPr>
        <w:pStyle w:val="TextBody"/>
        <w:bidi w:val="0"/>
        <w:jc w:val="center"/>
        <w:rPr>
          <w:rFonts w:ascii="Times New Roman" w:hAnsi="Times New Roman"/>
          <w:b/>
          <w:color w:val="000000"/>
          <w:sz w:val="20"/>
        </w:rPr>
      </w:pPr>
      <w:r>
        <w:rPr>
          <w:rFonts w:ascii="Times New Roman" w:hAnsi="Times New Roman"/>
          <w:b/>
          <w:color w:val="000000"/>
          <w:sz w:val="20"/>
        </w:rPr>
        <w:t>Claremont, North Carolina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jc w:val="center"/>
        <w:rPr>
          <w:rFonts w:ascii="Times New Roman" w:hAnsi="Times New Roman"/>
          <w:b/>
          <w:color w:val="000000"/>
          <w:sz w:val="20"/>
        </w:rPr>
      </w:pPr>
      <w:r>
        <w:rPr>
          <w:rFonts w:ascii="Times New Roman" w:hAnsi="Times New Roman"/>
          <w:b/>
          <w:color w:val="000000"/>
          <w:sz w:val="20"/>
        </w:rPr>
        <w:t>28610</w:t>
      </w:r>
    </w:p>
    <w:p>
      <w:pPr>
        <w:pStyle w:val="TextBody"/>
        <w:bidi w:val="0"/>
        <w:jc w:val="center"/>
        <w:rPr>
          <w:rFonts w:ascii="Times New Roman" w:hAnsi="Times New Roman"/>
          <w:b/>
          <w:color w:val="000000"/>
          <w:sz w:val="16"/>
        </w:rPr>
      </w:pPr>
      <w:r>
        <w:rPr>
          <w:rFonts w:ascii="Times New Roman" w:hAnsi="Times New Roman"/>
          <w:b/>
          <w:color w:val="000000"/>
          <w:sz w:val="16"/>
        </w:rPr>
        <w:t>(Zip code)</w:t>
      </w:r>
    </w:p>
    <w:p>
      <w:pPr>
        <w:pStyle w:val="TextBody"/>
        <w:bidi w:val="0"/>
        <w:jc w:val="center"/>
        <w:rPr>
          <w:rFonts w:ascii="Times New Roman" w:hAnsi="Times New Roman"/>
          <w:b/>
          <w:color w:val="000000"/>
          <w:sz w:val="20"/>
        </w:rPr>
      </w:pPr>
      <w:r>
        <w:rPr>
          <w:rFonts w:ascii="Times New Roman" w:hAnsi="Times New Roman"/>
          <w:b/>
          <w:color w:val="000000"/>
          <w:sz w:val="20"/>
        </w:rPr>
        <w:t>(828) 459-5000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0" w:after="14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w:t>
            </w:r>
          </w:p>
        </w:tc>
      </w:tr>
    </w:tbl>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00" w:after="12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82" w:type="dxa"/>
        <w:jc w:val="left"/>
        <w:tblInd w:w="0" w:type="dxa"/>
        <w:tblLayout w:type="fixed"/>
        <w:tblCellMar>
          <w:top w:w="28" w:type="dxa"/>
          <w:left w:w="28" w:type="dxa"/>
          <w:bottom w:w="28" w:type="dxa"/>
          <w:right w:w="28" w:type="dxa"/>
        </w:tblCellMar>
      </w:tblPr>
      <w:tblGrid>
        <w:gridCol w:w="1666"/>
        <w:gridCol w:w="146"/>
        <w:gridCol w:w="37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pBdr>
          <w:bottom w:val="double" w:sz="6" w:space="1" w:color="000000"/>
        </w:pBdr>
        <w:bidi w:val="0"/>
        <w:spacing w:before="80" w:after="283"/>
        <w:jc w:val="left"/>
        <w:rPr>
          <w:rFonts w:ascii="Times New Roman" w:hAnsi="Times New Roman"/>
          <w:color w:val="000000"/>
          <w:sz w:val="20"/>
        </w:rPr>
      </w:pPr>
      <w:r>
        <w:rPr>
          <w:rFonts w:ascii="Times New Roman" w:hAnsi="Times New Roman"/>
          <w:color w:val="000000"/>
          <w:sz w:val="20"/>
        </w:rPr>
        <w:t>As of April 26, 2024, there were 212,276,658 shares of Common Stock outstanding.</w:t>
      </w:r>
    </w:p>
    <w:p>
      <w:pPr>
        <w:pStyle w:val="TextBody"/>
        <w:bidi w:val="0"/>
        <w:spacing w:before="240" w:after="283"/>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March 31, 2024</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88"/>
        <w:gridCol w:w="146"/>
        <w:gridCol w:w="1871"/>
      </w:tblGrid>
      <w:tr>
        <w:trPr/>
        <w:tc>
          <w:tcPr>
            <w:tcW w:w="8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188" w:type="dxa"/>
            <w:tcBorders/>
            <w:vAlign w:val="center"/>
          </w:tcPr>
          <w:p>
            <w:pPr>
              <w:pStyle w:val="TableContents"/>
              <w:pBdr/>
              <w:bidi w:val="0"/>
              <w:spacing w:before="0" w:after="283"/>
              <w:ind w:left="0" w:right="0" w:hanging="240"/>
              <w:jc w:val="left"/>
              <w:rPr/>
            </w:pPr>
            <w:hyperlink w:anchor="part_1_financial_information">
              <w:r>
                <w:rPr>
                  <w:rStyle w:val="InternetLink"/>
                  <w:rFonts w:ascii="Times New Roman" w:hAnsi="Times New Roman"/>
                  <w:color w:val="0000FF"/>
                  <w:sz w:val="20"/>
                  <w:u w:val="single"/>
                </w:rPr>
                <w:t>Part I—Financial Information (Unaudited):</w:t>
              </w:r>
            </w:hyperlink>
          </w:p>
        </w:tc>
        <w:tc>
          <w:tcPr>
            <w:tcW w:w="146" w:type="dxa"/>
            <w:tcBorders/>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1_condensed_consolidated_fs">
              <w:r>
                <w:rPr>
                  <w:rStyle w:val="InternetLink"/>
                  <w:rFonts w:ascii="Times New Roman" w:hAnsi="Times New Roman"/>
                  <w:color w:val="0000FF"/>
                  <w:sz w:val="20"/>
                  <w:u w:val="single"/>
                </w:rPr>
                <w:t>Item 1. Condensed Consolidated Financial Statements:</w:t>
              </w:r>
            </w:hyperlink>
          </w:p>
        </w:tc>
        <w:tc>
          <w:tcPr>
            <w:tcW w:w="146" w:type="dxa"/>
            <w:tcBorders/>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condensed_consolidated_stmt_of_oper">
              <w:r>
                <w:rPr>
                  <w:rStyle w:val="InternetLink"/>
                  <w:rFonts w:ascii="Times New Roman" w:hAnsi="Times New Roman"/>
                  <w:color w:val="0000FF"/>
                  <w:sz w:val="20"/>
                  <w:u w:val="single"/>
                </w:rPr>
                <w:t>Condensed Consolidated Statements of Operations</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2</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condensed_consolidated_stmt_of_comp_inc">
              <w:r>
                <w:rPr>
                  <w:rStyle w:val="InternetLink"/>
                  <w:rFonts w:ascii="Times New Roman" w:hAnsi="Times New Roman"/>
                  <w:color w:val="0000FF"/>
                  <w:sz w:val="20"/>
                  <w:u w:val="single"/>
                </w:rPr>
                <w:t>Condensed Consolidated Statements of Comprehensive Income (Loss)</w:t>
              </w:r>
            </w:hyperlink>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3</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item_1_condensed_consolidated_bs">
              <w:r>
                <w:rPr>
                  <w:rStyle w:val="InternetLink"/>
                  <w:rFonts w:ascii="Times New Roman" w:hAnsi="Times New Roman"/>
                  <w:color w:val="0000FF"/>
                  <w:sz w:val="20"/>
                  <w:u w:val="single"/>
                </w:rPr>
                <w:t>Condensed Consolidated Balance Sheets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condensed_consolidated_cf">
              <w:r>
                <w:rPr>
                  <w:rStyle w:val="InternetLink"/>
                  <w:rFonts w:ascii="Times New Roman" w:hAnsi="Times New Roman"/>
                  <w:color w:val="0000FF"/>
                  <w:sz w:val="20"/>
                  <w:u w:val="single"/>
                </w:rPr>
                <w:t>Condensed Consolidated Statements of Cash Flows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5</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item_1_stmt_stkholders_equity">
              <w:r>
                <w:rPr>
                  <w:rStyle w:val="InternetLink"/>
                  <w:rFonts w:ascii="Times New Roman" w:hAnsi="Times New Roman"/>
                  <w:color w:val="0000FF"/>
                  <w:sz w:val="20"/>
                  <w:u w:val="single"/>
                </w:rPr>
                <w:t>Condensed Consolidated Statements of Stockholders’ Deficit</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6</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1680"/>
              <w:jc w:val="right"/>
              <w:rPr/>
            </w:pPr>
            <w:r>
              <w:rPr/>
              <w:t> </w:t>
            </w:r>
          </w:p>
        </w:tc>
      </w:tr>
      <w:tr>
        <w:trPr/>
        <w:tc>
          <w:tcPr>
            <w:tcW w:w="8188" w:type="dxa"/>
            <w:tcBorders/>
            <w:vAlign w:val="center"/>
          </w:tcPr>
          <w:p>
            <w:pPr>
              <w:pStyle w:val="TableContents"/>
              <w:pBdr/>
              <w:bidi w:val="0"/>
              <w:spacing w:before="0" w:after="283"/>
              <w:ind w:left="1440" w:right="0" w:hanging="240"/>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7</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24</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3_quantitative_qualitative_discl">
              <w:r>
                <w:rPr>
                  <w:rStyle w:val="InternetLink"/>
                  <w:rFonts w:ascii="Times New Roman" w:hAnsi="Times New Roman"/>
                  <w:color w:val="0000FF"/>
                  <w:sz w:val="20"/>
                  <w:u w:val="single"/>
                </w:rPr>
                <w:t>Item 3. Quantitative and Qualitative Disclosures About Market Risk</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38</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39</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240"/>
              <w:jc w:val="right"/>
              <w:rPr/>
            </w:pPr>
            <w:r>
              <w:rPr/>
              <w:t> </w:t>
            </w:r>
          </w:p>
        </w:tc>
      </w:tr>
      <w:tr>
        <w:trPr/>
        <w:tc>
          <w:tcPr>
            <w:tcW w:w="8188" w:type="dxa"/>
            <w:tcBorders/>
            <w:vAlign w:val="center"/>
          </w:tcPr>
          <w:p>
            <w:pPr>
              <w:pStyle w:val="TableContents"/>
              <w:pBdr/>
              <w:bidi w:val="0"/>
              <w:spacing w:before="0" w:after="283"/>
              <w:ind w:left="0" w:right="0" w:hanging="240"/>
              <w:jc w:val="left"/>
              <w:rPr/>
            </w:pPr>
            <w:hyperlink w:anchor="part_iior_information">
              <w:r>
                <w:rPr>
                  <w:rStyle w:val="InternetLink"/>
                  <w:rFonts w:ascii="Times New Roman" w:hAnsi="Times New Roman"/>
                  <w:color w:val="0000FF"/>
                  <w:sz w:val="20"/>
                  <w:u w:val="single"/>
                </w:rPr>
                <w:t>Part II—Other Information:</w:t>
              </w:r>
            </w:hyperlink>
          </w:p>
        </w:tc>
        <w:tc>
          <w:tcPr>
            <w:tcW w:w="146" w:type="dxa"/>
            <w:tcBorders/>
            <w:vAlign w:val="center"/>
          </w:tcPr>
          <w:p>
            <w:pPr>
              <w:pStyle w:val="TableContents"/>
              <w:bidi w:val="0"/>
              <w:spacing w:before="0" w:after="283"/>
              <w:jc w:val="right"/>
              <w:rPr/>
            </w:pPr>
            <w:r>
              <w:rPr/>
              <w:t> </w:t>
            </w:r>
          </w:p>
        </w:tc>
        <w:tc>
          <w:tcPr>
            <w:tcW w:w="18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40</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1a_risk_factors">
              <w:r>
                <w:rPr>
                  <w:rStyle w:val="InternetLink"/>
                  <w:rFonts w:ascii="Times New Roman" w:hAnsi="Times New Roman"/>
                  <w:color w:val="0000FF"/>
                  <w:sz w:val="20"/>
                  <w:u w:val="single"/>
                </w:rPr>
                <w:t>Item 1A. Risk Factors</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40</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2_unregistered_sales_equity_securit">
              <w:r>
                <w:rPr>
                  <w:rStyle w:val="InternetLink"/>
                  <w:rFonts w:ascii="Times New Roman" w:hAnsi="Times New Roman"/>
                  <w:color w:val="0000FF"/>
                  <w:sz w:val="20"/>
                  <w:u w:val="single"/>
                </w:rPr>
                <w:t>Item 2. Unregistered Sales of Equity Securities, Use of Proceeds, and Issuer Purchases of Equity Securities</w:t>
              </w:r>
            </w:hyperlink>
          </w:p>
        </w:tc>
        <w:tc>
          <w:tcPr>
            <w:tcW w:w="146" w:type="dxa"/>
            <w:tcBorders/>
            <w:vAlign w:val="center"/>
          </w:tcPr>
          <w:p>
            <w:pPr>
              <w:pStyle w:val="TableContents"/>
              <w:bidi w:val="0"/>
              <w:spacing w:before="0" w:after="15"/>
              <w:jc w:val="right"/>
              <w:rPr/>
            </w:pPr>
            <w:r>
              <w:rPr/>
              <w:t> </w:t>
            </w:r>
          </w:p>
        </w:tc>
        <w:tc>
          <w:tcPr>
            <w:tcW w:w="1871" w:type="dxa"/>
            <w:tcBorders/>
            <w:vAlign w:val="center"/>
          </w:tcPr>
          <w:p>
            <w:pPr>
              <w:pStyle w:val="TableContents"/>
              <w:bidi w:val="0"/>
              <w:spacing w:before="0" w:after="15"/>
              <w:ind w:left="0" w:right="0" w:firstLine="720"/>
              <w:jc w:val="right"/>
              <w:rPr>
                <w:rFonts w:ascii="Times New Roman" w:hAnsi="Times New Roman"/>
                <w:color w:val="000000"/>
                <w:sz w:val="20"/>
              </w:rPr>
            </w:pPr>
            <w:r>
              <w:rPr>
                <w:rFonts w:ascii="Times New Roman" w:hAnsi="Times New Roman"/>
                <w:color w:val="000000"/>
                <w:sz w:val="20"/>
              </w:rPr>
              <w:t>40</w:t>
            </w:r>
          </w:p>
        </w:tc>
      </w:tr>
      <w:tr>
        <w:trPr/>
        <w:tc>
          <w:tcPr>
            <w:tcW w:w="8188" w:type="dxa"/>
            <w:tcBorders/>
            <w:vAlign w:val="center"/>
          </w:tcPr>
          <w:p>
            <w:pPr>
              <w:pStyle w:val="TableContents"/>
              <w:pBdr/>
              <w:bidi w:val="0"/>
              <w:spacing w:before="0" w:after="283"/>
              <w:ind w:left="480" w:right="0" w:hanging="240"/>
              <w:jc w:val="left"/>
              <w:rPr/>
            </w:pPr>
            <w:r>
              <w:rPr/>
              <w:t> </w:t>
            </w:r>
          </w:p>
        </w:tc>
        <w:tc>
          <w:tcPr>
            <w:tcW w:w="146" w:type="dxa"/>
            <w:tcBorders/>
            <w:vAlign w:val="center"/>
          </w:tcPr>
          <w:p>
            <w:pPr>
              <w:pStyle w:val="TableContents"/>
              <w:bidi w:val="0"/>
              <w:spacing w:before="0" w:after="15"/>
              <w:jc w:val="right"/>
              <w:rPr/>
            </w:pPr>
            <w:r>
              <w:rPr/>
              <w:t> </w:t>
            </w:r>
          </w:p>
        </w:tc>
        <w:tc>
          <w:tcPr>
            <w:tcW w:w="1871" w:type="dxa"/>
            <w:tcBorders/>
            <w:vAlign w:val="center"/>
          </w:tcPr>
          <w:p>
            <w:pPr>
              <w:pStyle w:val="TableContents"/>
              <w:bidi w:val="0"/>
              <w:spacing w:before="0" w:after="15"/>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vAlign w:val="center"/>
          </w:tcPr>
          <w:p>
            <w:pPr>
              <w:pStyle w:val="TableContents"/>
              <w:bidi w:val="0"/>
              <w:spacing w:before="0" w:after="15"/>
              <w:jc w:val="right"/>
              <w:rPr/>
            </w:pPr>
            <w:r>
              <w:rPr/>
              <w:t> </w:t>
            </w:r>
          </w:p>
        </w:tc>
        <w:tc>
          <w:tcPr>
            <w:tcW w:w="1871" w:type="dxa"/>
            <w:tcBorders/>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40</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rFonts w:ascii="Times New Roman" w:hAnsi="Times New Roman"/>
                <w:color w:val="000000"/>
                <w:sz w:val="20"/>
              </w:rPr>
            </w:pPr>
            <w:r>
              <w:rPr>
                <w:rFonts w:ascii="Times New Roman" w:hAnsi="Times New Roman"/>
                <w:color w:val="000000"/>
                <w:sz w:val="20"/>
              </w:rPr>
              <w:t>40</w:t>
            </w:r>
          </w:p>
        </w:tc>
      </w:tr>
      <w:tr>
        <w:trPr/>
        <w:tc>
          <w:tcPr>
            <w:tcW w:w="8188" w:type="dxa"/>
            <w:tcBorders/>
            <w:vAlign w:val="center"/>
          </w:tcPr>
          <w:p>
            <w:pPr>
              <w:pStyle w:val="TableContents"/>
              <w:pBdr/>
              <w:bidi w:val="0"/>
              <w:spacing w:before="0" w:after="283"/>
              <w:ind w:left="480" w:right="0" w:hanging="240"/>
              <w:jc w:val="left"/>
              <w:rPr/>
            </w:pPr>
            <w:r>
              <w:rPr/>
              <w:t> </w:t>
            </w:r>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41</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ind w:left="0" w:right="0" w:firstLine="720"/>
              <w:jc w:val="right"/>
              <w:rPr/>
            </w:pPr>
            <w:r>
              <w:rPr/>
              <w:t> </w:t>
            </w:r>
          </w:p>
        </w:tc>
      </w:tr>
      <w:tr>
        <w:trPr/>
        <w:tc>
          <w:tcPr>
            <w:tcW w:w="8188" w:type="dxa"/>
            <w:tcBorders/>
            <w:vAlign w:val="center"/>
          </w:tcPr>
          <w:p>
            <w:pPr>
              <w:pStyle w:val="TableContents"/>
              <w:pBdr/>
              <w:bidi w:val="0"/>
              <w:spacing w:before="0" w:after="283"/>
              <w:ind w:left="480" w:right="0" w:hanging="240"/>
              <w:jc w:val="left"/>
              <w:rPr/>
            </w:pPr>
            <w:hyperlink w:anchor="item_6_exhibits">
              <w:r>
                <w:rPr>
                  <w:rStyle w:val="InternetLink"/>
                  <w:rFonts w:ascii="Times New Roman" w:hAnsi="Times New Roman"/>
                  <w:color w:val="0000FF"/>
                  <w:sz w:val="20"/>
                  <w:u w:val="single"/>
                </w:rPr>
                <w:t>Item 6. Exhibits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42</w:t>
            </w:r>
          </w:p>
        </w:tc>
      </w:tr>
      <w:tr>
        <w:trPr/>
        <w:tc>
          <w:tcPr>
            <w:tcW w:w="81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1" w:type="dxa"/>
            <w:tcBorders/>
            <w:vAlign w:val="center"/>
          </w:tcPr>
          <w:p>
            <w:pPr>
              <w:pStyle w:val="TableContents"/>
              <w:bidi w:val="0"/>
              <w:spacing w:before="0" w:after="283"/>
              <w:ind w:left="0" w:right="0" w:firstLine="240"/>
              <w:jc w:val="right"/>
              <w:rPr/>
            </w:pPr>
            <w:r>
              <w:rPr/>
              <w:t> </w:t>
            </w:r>
          </w:p>
        </w:tc>
      </w:tr>
      <w:tr>
        <w:trPr/>
        <w:tc>
          <w:tcPr>
            <w:tcW w:w="8188" w:type="dxa"/>
            <w:tcBorders/>
            <w:vAlign w:val="center"/>
          </w:tcPr>
          <w:p>
            <w:pPr>
              <w:pStyle w:val="TableContents"/>
              <w:pBdr/>
              <w:bidi w:val="0"/>
              <w:spacing w:before="0" w:after="283"/>
              <w:ind w:left="0" w:right="0" w:hanging="240"/>
              <w:jc w:val="left"/>
              <w:rPr/>
            </w:pPr>
            <w:hyperlink w:anchor="signatures">
              <w:r>
                <w:rPr>
                  <w:rStyle w:val="InternetLink"/>
                  <w:rFonts w:ascii="Times New Roman" w:hAnsi="Times New Roman"/>
                  <w:color w:val="0000FF"/>
                  <w:sz w:val="20"/>
                  <w:u w:val="single"/>
                </w:rPr>
                <w:t>Signatures</w:t>
              </w:r>
            </w:hyperlink>
          </w:p>
        </w:tc>
        <w:tc>
          <w:tcPr>
            <w:tcW w:w="146" w:type="dxa"/>
            <w:tcBorders/>
            <w:vAlign w:val="center"/>
          </w:tcPr>
          <w:p>
            <w:pPr>
              <w:pStyle w:val="TableContents"/>
              <w:bidi w:val="0"/>
              <w:spacing w:before="0" w:after="15"/>
              <w:jc w:val="right"/>
              <w:rPr/>
            </w:pPr>
            <w:r>
              <w:rPr/>
              <w:t> </w:t>
            </w:r>
          </w:p>
        </w:tc>
        <w:tc>
          <w:tcPr>
            <w:tcW w:w="1871" w:type="dxa"/>
            <w:tcBorders/>
            <w:tcMar>
              <w:top w:w="0" w:type="dxa"/>
              <w:left w:w="0" w:type="dxa"/>
              <w:bottom w:w="0" w:type="dxa"/>
              <w:right w:w="0" w:type="dxa"/>
            </w:tcMar>
            <w:vAlign w:val="center"/>
          </w:tcPr>
          <w:p>
            <w:pPr>
              <w:pStyle w:val="TableContents"/>
              <w:bidi w:val="0"/>
              <w:spacing w:before="0" w:after="15"/>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1_financial_information"/>
      <w:bookmarkEnd w:id="2"/>
      <w:r>
        <w:rPr>
          <w:rFonts w:ascii="Times New Roman" w:hAnsi="Times New Roman"/>
          <w:b/>
          <w:color w:val="000000"/>
          <w:sz w:val="20"/>
        </w:rPr>
        <w:t>PART 1 – FINANCIAL INFORMATION (UNAUDITED)</w:t>
      </w:r>
    </w:p>
    <w:p>
      <w:pPr>
        <w:pStyle w:val="TextBody"/>
        <w:bidi w:val="0"/>
        <w:jc w:val="left"/>
        <w:rPr>
          <w:rFonts w:ascii="Times New Roman" w:hAnsi="Times New Roman"/>
          <w:b/>
          <w:color w:val="000000"/>
          <w:sz w:val="20"/>
        </w:rPr>
      </w:pPr>
      <w:bookmarkStart w:id="3" w:name="item_1_condensed_consolidated_f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bookmarkStart w:id="4" w:name="condensed_consolidated_stmt_of_oper"/>
      <w:bookmarkEnd w:id="4"/>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 In millions, except per share amounts)</w:t>
      </w:r>
    </w:p>
    <w:p>
      <w:pPr>
        <w:pStyle w:val="TextBody"/>
        <w:bidi w:val="0"/>
        <w:jc w:val="center"/>
        <w:rPr/>
      </w:pPr>
      <w:r>
        <w:rPr/>
        <w:t> </w:t>
      </w:r>
    </w:p>
    <w:tbl>
      <w:tblPr>
        <w:tblW w:w="7864" w:type="dxa"/>
        <w:jc w:val="left"/>
        <w:tblInd w:w="0" w:type="dxa"/>
        <w:tblLayout w:type="fixed"/>
        <w:tblCellMar>
          <w:top w:w="28" w:type="dxa"/>
          <w:left w:w="28" w:type="dxa"/>
          <w:bottom w:w="28" w:type="dxa"/>
          <w:right w:w="28" w:type="dxa"/>
        </w:tblCellMar>
      </w:tblPr>
      <w:tblGrid>
        <w:gridCol w:w="5131"/>
        <w:gridCol w:w="146"/>
        <w:gridCol w:w="211"/>
        <w:gridCol w:w="721"/>
        <w:gridCol w:w="166"/>
        <w:gridCol w:w="146"/>
        <w:gridCol w:w="211"/>
        <w:gridCol w:w="721"/>
        <w:gridCol w:w="4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shd w:fill="FFFFFF" w:val="clear"/>
            <w:vAlign w:val="center"/>
          </w:tcPr>
          <w:p>
            <w:pPr>
              <w:pStyle w:val="TableContents"/>
              <w:bidi w:val="0"/>
              <w:spacing w:before="0" w:after="283"/>
              <w:jc w:val="center"/>
              <w:rPr/>
            </w:pPr>
            <w:r>
              <w:rPr/>
              <w:t> </w:t>
            </w:r>
          </w:p>
        </w:tc>
      </w:tr>
      <w:tr>
        <w:trPr/>
        <w:tc>
          <w:tcPr>
            <w:tcW w:w="5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1,664.4</w:t>
            </w:r>
          </w:p>
        </w:tc>
        <w:tc>
          <w:tcPr>
            <w:tcW w:w="411" w:type="dxa"/>
            <w:tcBorders/>
            <w:shd w:fill="CCECFF"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w:t>
            </w:r>
          </w:p>
        </w:tc>
        <w:tc>
          <w:tcPr>
            <w:tcW w:w="411" w:type="dxa"/>
            <w:tcBorders/>
            <w:shd w:fill="CCECFF"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service agreement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100"/>
              <w:jc w:val="left"/>
              <w:rPr/>
            </w:pPr>
            <w:r>
              <w:rPr/>
              <w:t> </w:t>
            </w:r>
          </w:p>
        </w:tc>
      </w:tr>
      <w:tr>
        <w:trPr/>
        <w:tc>
          <w:tcPr>
            <w:tcW w:w="513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ind w:left="0" w:right="0" w:firstLine="100"/>
              <w:jc w:val="left"/>
              <w:rPr/>
            </w:pPr>
            <w:r>
              <w:rPr/>
              <w:t> </w:t>
            </w:r>
          </w:p>
        </w:tc>
      </w:tr>
      <w:tr>
        <w:trPr/>
        <w:tc>
          <w:tcPr>
            <w:tcW w:w="51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411" w:type="dxa"/>
            <w:tcBorders/>
            <w:shd w:fill="FFFFFF" w:val="clear"/>
            <w:vAlign w:val="center"/>
          </w:tcPr>
          <w:p>
            <w:pPr>
              <w:pStyle w:val="TableContents"/>
              <w:bidi w:val="0"/>
              <w:spacing w:before="0" w:after="283"/>
              <w:ind w:left="0" w:right="0" w:firstLine="100"/>
              <w:jc w:val="left"/>
              <w:rPr/>
            </w:pPr>
            <w:r>
              <w:rPr/>
              <w:t> </w:t>
            </w:r>
          </w:p>
        </w:tc>
      </w:tr>
      <w:tr>
        <w:trPr/>
        <w:tc>
          <w:tcPr>
            <w:tcW w:w="513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411" w:type="dxa"/>
            <w:tcBorders/>
            <w:shd w:fill="CCECFF" w:val="clear"/>
            <w:vAlign w:val="center"/>
          </w:tcPr>
          <w:p>
            <w:pPr>
              <w:pStyle w:val="TableContents"/>
              <w:bidi w:val="0"/>
              <w:spacing w:before="0" w:after="283"/>
              <w:ind w:left="0" w:right="0" w:firstLine="100"/>
              <w:jc w:val="left"/>
              <w:rPr/>
            </w:pPr>
            <w:r>
              <w:rPr/>
              <w:t> </w:t>
            </w:r>
          </w:p>
        </w:tc>
      </w:tr>
      <w:tr>
        <w:trPr/>
        <w:tc>
          <w:tcPr>
            <w:tcW w:w="51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411" w:type="dxa"/>
            <w:tcBorders/>
            <w:shd w:fill="FFFFFF" w:val="clear"/>
            <w:vAlign w:val="center"/>
          </w:tcPr>
          <w:p>
            <w:pPr>
              <w:pStyle w:val="TableContents"/>
              <w:bidi w:val="0"/>
              <w:spacing w:before="0" w:after="283"/>
              <w:ind w:left="0" w:right="0" w:firstLine="100"/>
              <w:jc w:val="left"/>
              <w:rPr/>
            </w:pPr>
            <w:r>
              <w:rPr/>
              <w:t> </w:t>
            </w:r>
          </w:p>
        </w:tc>
      </w:tr>
      <w:tr>
        <w:trPr/>
        <w:tc>
          <w:tcPr>
            <w:tcW w:w="513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Restructuring costs (credits), net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411" w:type="dxa"/>
            <w:tcBorders/>
            <w:shd w:fill="CCECFF"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1" w:type="dxa"/>
            <w:tcBorders/>
            <w:shd w:fill="FFFFFF" w:val="clear"/>
            <w:vAlign w:val="center"/>
          </w:tcPr>
          <w:p>
            <w:pPr>
              <w:pStyle w:val="TableContents"/>
              <w:bidi w:val="0"/>
              <w:spacing w:before="0" w:after="283"/>
              <w:jc w:val="left"/>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4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before income taxes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411" w:type="dxa"/>
            <w:tcBorders/>
            <w:shd w:fill="CCECFF"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411" w:type="dxa"/>
            <w:tcBorders/>
            <w:shd w:fill="CCECFF"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income tax</w:t>
              <w:br/>
              <w:t>   (expense) benefit of $(17.6) and $3.8,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shd w:fill="CCECFF"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 dividends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CEC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11" w:type="dxa"/>
            <w:tcBorders/>
            <w:shd w:fill="FFFFFF" w:val="clear"/>
            <w:vAlign w:val="center"/>
          </w:tcPr>
          <w:p>
            <w:pPr>
              <w:pStyle w:val="TableContents"/>
              <w:bidi w:val="0"/>
              <w:spacing w:before="0" w:after="283"/>
              <w:jc w:val="left"/>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per share</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11" w:type="dxa"/>
            <w:tcBorders/>
            <w:shd w:fill="CCECFF"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center"/>
              <w:rPr/>
            </w:pPr>
            <w:r>
              <w:rPr/>
              <w:t> </w:t>
            </w:r>
          </w:p>
        </w:tc>
        <w:tc>
          <w:tcPr>
            <w:tcW w:w="932"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jc w:val="right"/>
              <w:rPr/>
            </w:pPr>
            <w:r>
              <w:rPr/>
              <w:t> </w:t>
            </w:r>
          </w:p>
        </w:tc>
      </w:tr>
      <w:tr>
        <w:trPr/>
        <w:tc>
          <w:tcPr>
            <w:tcW w:w="5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411" w:type="dxa"/>
            <w:tcBorders/>
            <w:shd w:fill="FFFFFF" w:val="clear"/>
            <w:vAlign w:val="center"/>
          </w:tcPr>
          <w:p>
            <w:pPr>
              <w:pStyle w:val="TableContents"/>
              <w:bidi w:val="0"/>
              <w:spacing w:before="0" w:after="283"/>
              <w:jc w:val="left"/>
              <w:rPr/>
            </w:pPr>
            <w:r>
              <w:rPr/>
              <w:t> </w:t>
            </w:r>
          </w:p>
        </w:tc>
      </w:tr>
      <w:tr>
        <w:trPr/>
        <w:tc>
          <w:tcPr>
            <w:tcW w:w="51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411" w:type="dxa"/>
            <w:tcBorders/>
            <w:shd w:fill="CCECFF"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7453" w:type="dxa"/>
            <w:gridSpan w:val="8"/>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41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bookmarkStart w:id="5" w:name="condensed_consolidated_stmt_of_comp_inc"/>
      <w:bookmarkEnd w:id="5"/>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 – In millions)</w:t>
      </w:r>
    </w:p>
    <w:p>
      <w:pPr>
        <w:pStyle w:val="TextBody"/>
        <w:bidi w:val="0"/>
        <w:jc w:val="center"/>
        <w:rPr/>
      </w:pPr>
      <w:r>
        <w:rPr/>
        <w:t> </w:t>
      </w:r>
    </w:p>
    <w:tbl>
      <w:tblPr>
        <w:tblW w:w="6669" w:type="dxa"/>
        <w:jc w:val="left"/>
        <w:tblInd w:w="0" w:type="dxa"/>
        <w:tblLayout w:type="fixed"/>
        <w:tblCellMar>
          <w:top w:w="28" w:type="dxa"/>
          <w:left w:w="28" w:type="dxa"/>
          <w:bottom w:w="28" w:type="dxa"/>
          <w:right w:w="28" w:type="dxa"/>
        </w:tblCellMar>
      </w:tblPr>
      <w:tblGrid>
        <w:gridCol w:w="4281"/>
        <w:gridCol w:w="146"/>
        <w:gridCol w:w="211"/>
        <w:gridCol w:w="631"/>
        <w:gridCol w:w="166"/>
        <w:gridCol w:w="146"/>
        <w:gridCol w:w="211"/>
        <w:gridCol w:w="466"/>
        <w:gridCol w:w="411"/>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shd w:fill="FFFFFF" w:val="cle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77"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ind w:left="0" w:right="0" w:firstLine="100"/>
              <w:jc w:val="left"/>
              <w:rPr/>
            </w:pPr>
            <w:r>
              <w:rPr/>
              <w:t> </w:t>
            </w:r>
          </w:p>
        </w:tc>
      </w:tr>
      <w:tr>
        <w:trPr/>
        <w:tc>
          <w:tcPr>
            <w:tcW w:w="42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shd w:fill="FFFFFF" w:val="clear"/>
            <w:vAlign w:val="center"/>
          </w:tcPr>
          <w:p>
            <w:pPr>
              <w:pStyle w:val="TableContents"/>
              <w:bidi w:val="0"/>
              <w:spacing w:before="0" w:after="283"/>
              <w:ind w:left="0" w:right="0" w:firstLine="100"/>
              <w:jc w:val="left"/>
              <w:rPr/>
            </w:pPr>
            <w:r>
              <w:rPr/>
              <w:t> </w:t>
            </w:r>
          </w:p>
        </w:tc>
      </w:tr>
      <w:tr>
        <w:trPr/>
        <w:tc>
          <w:tcPr>
            <w:tcW w:w="428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77"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28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Pension and other postretirement benefit activity</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(loss) on hedging instruments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8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other comprehensive income, net of tax</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258" w:type="dxa"/>
            <w:gridSpan w:val="8"/>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41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bookmarkStart w:id="6" w:name="item_1_condensed_consolidated_b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amounts)</w:t>
      </w:r>
    </w:p>
    <w:p>
      <w:pPr>
        <w:pStyle w:val="TextBody"/>
        <w:bidi w:val="0"/>
        <w:jc w:val="center"/>
        <w:rPr/>
      </w:pPr>
      <w:r>
        <w:rPr/>
        <w:t> </w:t>
      </w:r>
    </w:p>
    <w:tbl>
      <w:tblPr>
        <w:tblW w:w="9635" w:type="dxa"/>
        <w:jc w:val="left"/>
        <w:tblInd w:w="0" w:type="dxa"/>
        <w:tblLayout w:type="fixed"/>
        <w:tblCellMar>
          <w:top w:w="28" w:type="dxa"/>
          <w:left w:w="28" w:type="dxa"/>
          <w:bottom w:w="28" w:type="dxa"/>
          <w:right w:w="28" w:type="dxa"/>
        </w:tblCellMar>
      </w:tblPr>
      <w:tblGrid>
        <w:gridCol w:w="6006"/>
        <w:gridCol w:w="146"/>
        <w:gridCol w:w="256"/>
        <w:gridCol w:w="1004"/>
        <w:gridCol w:w="166"/>
        <w:gridCol w:w="146"/>
        <w:gridCol w:w="305"/>
        <w:gridCol w:w="1195"/>
        <w:gridCol w:w="411"/>
      </w:tblGrid>
      <w:tr>
        <w:trPr/>
        <w:tc>
          <w:tcPr>
            <w:tcW w:w="6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Unaudited </w:t>
              <w:b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6" w:type="dxa"/>
            <w:tcBorders/>
            <w:shd w:fill="CCEC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ECFF" w:val="clear"/>
            <w:vAlign w:val="center"/>
          </w:tcPr>
          <w:p>
            <w:pPr>
              <w:pStyle w:val="TableContents"/>
              <w:bidi w:val="0"/>
              <w:spacing w:before="0" w:after="283"/>
              <w:jc w:val="right"/>
              <w:rPr/>
            </w:pPr>
            <w:r>
              <w:rPr/>
              <w:t> </w:t>
            </w:r>
          </w:p>
        </w:tc>
        <w:tc>
          <w:tcPr>
            <w:tcW w:w="1260" w:type="dxa"/>
            <w:gridSpan w:val="2"/>
            <w:tcBorders/>
            <w:shd w:fill="CCECFF" w:val="clear"/>
            <w:vAlign w:val="center"/>
          </w:tcPr>
          <w:p>
            <w:pPr>
              <w:pStyle w:val="TableContents"/>
              <w:bidi w:val="0"/>
              <w:spacing w:before="0" w:after="283"/>
              <w:jc w:val="center"/>
              <w:rPr/>
            </w:pPr>
            <w:r>
              <w:rPr/>
              <w:t> </w:t>
            </w:r>
          </w:p>
        </w:tc>
        <w:tc>
          <w:tcPr>
            <w:tcW w:w="1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500" w:type="dxa"/>
            <w:gridSpan w:val="2"/>
            <w:tcBorders/>
            <w:shd w:fill="CCECFF" w:val="clear"/>
            <w:vAlign w:val="center"/>
          </w:tcPr>
          <w:p>
            <w:pPr>
              <w:pStyle w:val="TableContents"/>
              <w:bidi w:val="0"/>
              <w:spacing w:before="0" w:after="283"/>
              <w:jc w:val="center"/>
              <w:rPr/>
            </w:pPr>
            <w:r>
              <w:rPr/>
              <w:t> </w:t>
            </w:r>
          </w:p>
        </w:tc>
        <w:tc>
          <w:tcPr>
            <w:tcW w:w="411" w:type="dxa"/>
            <w:tcBorders/>
            <w:shd w:fill="CCECFF" w:val="clear"/>
            <w:vAlign w:val="center"/>
          </w:tcPr>
          <w:p>
            <w:pPr>
              <w:pStyle w:val="TableContents"/>
              <w:bidi w:val="0"/>
              <w:spacing w:before="0" w:after="283"/>
              <w:jc w:val="center"/>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411" w:type="dxa"/>
            <w:tcBorders/>
            <w:shd w:fill="FFFFFF" w:val="clear"/>
            <w:vAlign w:val="center"/>
          </w:tcPr>
          <w:p>
            <w:pPr>
              <w:pStyle w:val="TableContents"/>
              <w:bidi w:val="0"/>
              <w:spacing w:before="0" w:after="283"/>
              <w:jc w:val="left"/>
              <w:rPr/>
            </w:pPr>
            <w:r>
              <w:rPr/>
              <w:t> </w:t>
            </w:r>
          </w:p>
        </w:tc>
      </w:tr>
      <w:tr>
        <w:trPr/>
        <w:tc>
          <w:tcPr>
            <w:tcW w:w="60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Accounts receivable, net of allowance for doubtful accounts </w:t>
              <w:br/>
              <w:t>   of $30.0 and $32.2, respectively</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w:t>
            </w:r>
          </w:p>
        </w:tc>
        <w:tc>
          <w:tcPr>
            <w:tcW w:w="411" w:type="dxa"/>
            <w:tcBorders/>
            <w:shd w:fill="CCECFF" w:val="cle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1,079.7</w:t>
            </w:r>
          </w:p>
        </w:tc>
        <w:tc>
          <w:tcPr>
            <w:tcW w:w="411" w:type="dxa"/>
            <w:tcBorders/>
            <w:shd w:fill="FFFFFF" w:val="clear"/>
            <w:vAlign w:val="center"/>
          </w:tcPr>
          <w:p>
            <w:pPr>
              <w:pStyle w:val="TableContents"/>
              <w:bidi w:val="0"/>
              <w:spacing w:before="0" w:after="283"/>
              <w:jc w:val="left"/>
              <w:rPr/>
            </w:pPr>
            <w:r>
              <w:rPr/>
              <w:t> </w:t>
            </w:r>
          </w:p>
        </w:tc>
      </w:tr>
      <w:tr>
        <w:trPr/>
        <w:tc>
          <w:tcPr>
            <w:tcW w:w="60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411" w:type="dxa"/>
            <w:tcBorders/>
            <w:shd w:fill="CCECFF" w:val="cle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held for sale</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2,862.7</w:t>
            </w:r>
          </w:p>
        </w:tc>
        <w:tc>
          <w:tcPr>
            <w:tcW w:w="411" w:type="dxa"/>
            <w:tcBorders/>
            <w:shd w:fill="CCECFF" w:val="cle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Property, plant and equipment, net of accumulated depreciation </w:t>
              <w:br/>
              <w:t>   of $880.9 and $866.1, respectively</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w:t>
            </w:r>
          </w:p>
        </w:tc>
        <w:tc>
          <w:tcPr>
            <w:tcW w:w="411" w:type="dxa"/>
            <w:tcBorders/>
            <w:shd w:fill="FFFFFF" w:val="clear"/>
            <w:vAlign w:val="center"/>
          </w:tcPr>
          <w:p>
            <w:pPr>
              <w:pStyle w:val="TableContents"/>
              <w:bidi w:val="0"/>
              <w:spacing w:before="0" w:after="283"/>
              <w:jc w:val="left"/>
              <w:rPr/>
            </w:pPr>
            <w:r>
              <w:rPr/>
              <w:t> </w:t>
            </w:r>
          </w:p>
        </w:tc>
      </w:tr>
      <w:tr>
        <w:trPr/>
        <w:tc>
          <w:tcPr>
            <w:tcW w:w="60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3,514.4</w:t>
            </w:r>
          </w:p>
        </w:tc>
        <w:tc>
          <w:tcPr>
            <w:tcW w:w="411" w:type="dxa"/>
            <w:tcBorders/>
            <w:shd w:fill="CCECFF" w:val="cle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1,582.7</w:t>
            </w:r>
          </w:p>
        </w:tc>
        <w:tc>
          <w:tcPr>
            <w:tcW w:w="411" w:type="dxa"/>
            <w:tcBorders/>
            <w:shd w:fill="FFFFFF" w:val="clear"/>
            <w:vAlign w:val="center"/>
          </w:tcPr>
          <w:p>
            <w:pPr>
              <w:pStyle w:val="TableContents"/>
              <w:bidi w:val="0"/>
              <w:spacing w:before="0" w:after="283"/>
              <w:jc w:val="left"/>
              <w:rPr/>
            </w:pPr>
            <w:r>
              <w:rPr/>
              <w:t> </w:t>
            </w:r>
          </w:p>
        </w:tc>
      </w:tr>
      <w:tr>
        <w:trPr/>
        <w:tc>
          <w:tcPr>
            <w:tcW w:w="60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w:t>
            </w:r>
          </w:p>
        </w:tc>
        <w:tc>
          <w:tcPr>
            <w:tcW w:w="411" w:type="dxa"/>
            <w:tcBorders/>
            <w:shd w:fill="CCECFF" w:val="cle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00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CECFF" w:val="clear"/>
            <w:vAlign w:val="center"/>
          </w:tcPr>
          <w:p>
            <w:pPr>
              <w:pStyle w:val="TableContents"/>
              <w:bidi w:val="0"/>
              <w:spacing w:before="0" w:after="283"/>
              <w:jc w:val="right"/>
              <w:rPr/>
            </w:pPr>
            <w:r>
              <w:rPr/>
              <w:t> </w:t>
            </w:r>
          </w:p>
        </w:tc>
        <w:tc>
          <w:tcPr>
            <w:tcW w:w="256"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8,653.6</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9,371.9</w:t>
            </w:r>
          </w:p>
        </w:tc>
        <w:tc>
          <w:tcPr>
            <w:tcW w:w="4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0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411" w:type="dxa"/>
            <w:tcBorders/>
            <w:shd w:fill="CCECFF" w:val="cle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w:t>
            </w:r>
          </w:p>
        </w:tc>
        <w:tc>
          <w:tcPr>
            <w:tcW w:w="411" w:type="dxa"/>
            <w:tcBorders/>
            <w:shd w:fill="FFFFFF" w:val="clear"/>
            <w:vAlign w:val="center"/>
          </w:tcPr>
          <w:p>
            <w:pPr>
              <w:pStyle w:val="TableContents"/>
              <w:bidi w:val="0"/>
              <w:spacing w:before="0" w:after="283"/>
              <w:jc w:val="left"/>
              <w:rPr/>
            </w:pPr>
            <w:r>
              <w:rPr/>
              <w:t> </w:t>
            </w:r>
          </w:p>
        </w:tc>
      </w:tr>
      <w:tr>
        <w:trPr/>
        <w:tc>
          <w:tcPr>
            <w:tcW w:w="60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411" w:type="dxa"/>
            <w:tcBorders/>
            <w:shd w:fill="CCECFF" w:val="cle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held for sale</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1,409.4</w:t>
            </w:r>
          </w:p>
        </w:tc>
        <w:tc>
          <w:tcPr>
            <w:tcW w:w="411" w:type="dxa"/>
            <w:tcBorders/>
            <w:shd w:fill="CCECFF" w:val="cle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9,246.6</w:t>
            </w:r>
          </w:p>
        </w:tc>
        <w:tc>
          <w:tcPr>
            <w:tcW w:w="411" w:type="dxa"/>
            <w:tcBorders/>
            <w:shd w:fill="FFFFFF" w:val="clear"/>
            <w:vAlign w:val="center"/>
          </w:tcPr>
          <w:p>
            <w:pPr>
              <w:pStyle w:val="TableContents"/>
              <w:bidi w:val="0"/>
              <w:spacing w:before="0" w:after="283"/>
              <w:jc w:val="left"/>
              <w:rPr/>
            </w:pPr>
            <w:r>
              <w:rPr/>
              <w:t> </w:t>
            </w:r>
          </w:p>
        </w:tc>
      </w:tr>
      <w:tr>
        <w:trPr/>
        <w:tc>
          <w:tcPr>
            <w:tcW w:w="60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411" w:type="dxa"/>
            <w:tcBorders/>
            <w:shd w:fill="CCECFF" w:val="cle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00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CECFF" w:val="clear"/>
            <w:vAlign w:val="center"/>
          </w:tcPr>
          <w:p>
            <w:pPr>
              <w:pStyle w:val="TableContents"/>
              <w:bidi w:val="0"/>
              <w:spacing w:before="0" w:after="283"/>
              <w:jc w:val="right"/>
              <w:rPr/>
            </w:pPr>
            <w:r>
              <w:rPr/>
              <w:t> </w:t>
            </w:r>
          </w:p>
        </w:tc>
        <w:tc>
          <w:tcPr>
            <w:tcW w:w="25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1004"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10,807.1</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1195"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11,178.6</w:t>
            </w:r>
          </w:p>
        </w:tc>
        <w:tc>
          <w:tcPr>
            <w:tcW w:w="4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0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 $0.01 par value</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w:t>
            </w:r>
          </w:p>
        </w:tc>
        <w:tc>
          <w:tcPr>
            <w:tcW w:w="411" w:type="dxa"/>
            <w:tcBorders/>
            <w:shd w:fill="CCECFF" w:val="clear"/>
            <w:vAlign w:val="center"/>
          </w:tcPr>
          <w:p>
            <w:pPr>
              <w:pStyle w:val="TableContents"/>
              <w:bidi w:val="0"/>
              <w:spacing w:before="0" w:after="283"/>
              <w:jc w:val="left"/>
              <w:rPr/>
            </w:pPr>
            <w:r>
              <w:rPr/>
              <w:t> </w:t>
            </w:r>
          </w:p>
        </w:tc>
      </w:tr>
      <w:tr>
        <w:trPr/>
        <w:tc>
          <w:tcPr>
            <w:tcW w:w="6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100"/>
              <w:jc w:val="left"/>
              <w:rPr/>
            </w:pPr>
            <w:r>
              <w:rPr/>
              <w:t> </w:t>
            </w:r>
          </w:p>
        </w:tc>
      </w:tr>
      <w:tr>
        <w:trPr/>
        <w:tc>
          <w:tcPr>
            <w:tcW w:w="60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Preferred stock, $0.01 par value: Authorized shares: 200,000,000;</w:t>
            </w:r>
          </w:p>
        </w:tc>
        <w:tc>
          <w:tcPr>
            <w:tcW w:w="146" w:type="dxa"/>
            <w:tcBorders/>
            <w:shd w:fill="CCECFF" w:val="clear"/>
            <w:vAlign w:val="center"/>
          </w:tcPr>
          <w:p>
            <w:pPr>
              <w:pStyle w:val="TableContents"/>
              <w:bidi w:val="0"/>
              <w:spacing w:before="0" w:after="283"/>
              <w:jc w:val="right"/>
              <w:rPr/>
            </w:pPr>
            <w:r>
              <w:rPr/>
              <w:t> </w:t>
            </w:r>
          </w:p>
        </w:tc>
        <w:tc>
          <w:tcPr>
            <w:tcW w:w="1260"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00"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600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shares: 1,178,063 and 1,162,085, respectively,</w:t>
              <w:br/>
              <w:t>Series A convertible preferred stock</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color w:val="000000"/>
              </w:rPr>
            </w:pPr>
            <w:r>
              <w:rPr>
                <w:color w:val="000000"/>
              </w:rPr>
              <w:t>—</w:t>
            </w:r>
          </w:p>
        </w:tc>
        <w:tc>
          <w:tcPr>
            <w:tcW w:w="411" w:type="dxa"/>
            <w:tcBorders/>
            <w:shd w:fill="CCECFF" w:val="clear"/>
            <w:vAlign w:val="center"/>
          </w:tcPr>
          <w:p>
            <w:pPr>
              <w:pStyle w:val="TableContents"/>
              <w:bidi w:val="0"/>
              <w:spacing w:before="0" w:after="283"/>
              <w:ind w:left="0" w:right="0" w:firstLine="100"/>
              <w:jc w:val="left"/>
              <w:rPr/>
            </w:pPr>
            <w:r>
              <w:rPr/>
              <w:t> </w:t>
            </w:r>
          </w:p>
        </w:tc>
      </w:tr>
      <w:tr>
        <w:trPr/>
        <w:tc>
          <w:tcPr>
            <w:tcW w:w="60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Common stock, $0.01 par value: Authorized shares: 1,300,000,000; </w:t>
              <w:br/>
              <w:t xml:space="preserve">   Issued and outstanding shares: 212,264,754 and 212,108,634, </w:t>
              <w:br/>
              <w:t>   respectively</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shd w:fill="FFFFFF" w:val="clear"/>
            <w:vAlign w:val="center"/>
          </w:tcPr>
          <w:p>
            <w:pPr>
              <w:pStyle w:val="TableContents"/>
              <w:bidi w:val="0"/>
              <w:spacing w:before="0" w:after="283"/>
              <w:ind w:left="0" w:right="0" w:firstLine="100"/>
              <w:jc w:val="left"/>
              <w:rPr/>
            </w:pPr>
            <w:r>
              <w:rPr/>
              <w:t> </w:t>
            </w:r>
          </w:p>
        </w:tc>
      </w:tr>
      <w:tr>
        <w:trPr/>
        <w:tc>
          <w:tcPr>
            <w:tcW w:w="60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2,550.4</w:t>
            </w:r>
          </w:p>
        </w:tc>
        <w:tc>
          <w:tcPr>
            <w:tcW w:w="411" w:type="dxa"/>
            <w:tcBorders/>
            <w:shd w:fill="CCECFF" w:val="clear"/>
            <w:vAlign w:val="center"/>
          </w:tcPr>
          <w:p>
            <w:pPr>
              <w:pStyle w:val="TableContents"/>
              <w:bidi w:val="0"/>
              <w:spacing w:before="0" w:after="283"/>
              <w:ind w:left="0" w:right="0" w:firstLine="100"/>
              <w:jc w:val="left"/>
              <w:rPr/>
            </w:pPr>
            <w:r>
              <w:rPr/>
              <w:t> </w:t>
            </w:r>
          </w:p>
        </w:tc>
      </w:tr>
      <w:tr>
        <w:trPr/>
        <w:tc>
          <w:tcPr>
            <w:tcW w:w="60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(4,953.1</w:t>
            </w:r>
          </w:p>
        </w:tc>
        <w:tc>
          <w:tcPr>
            <w:tcW w:w="4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CECFF" w:val="clear"/>
            <w:vAlign w:val="center"/>
          </w:tcPr>
          <w:p>
            <w:pPr>
              <w:pStyle w:val="TableContents"/>
              <w:bidi w:val="0"/>
              <w:spacing w:before="0" w:after="283"/>
              <w:jc w:val="right"/>
              <w:rPr/>
            </w:pPr>
            <w:r>
              <w:rPr/>
              <w:t> </w:t>
            </w:r>
          </w:p>
        </w:tc>
        <w:tc>
          <w:tcPr>
            <w:tcW w:w="256" w:type="dxa"/>
            <w:tcBorders/>
            <w:shd w:fill="CCECFF" w:val="clear"/>
            <w:vAlign w:val="center"/>
          </w:tcPr>
          <w:p>
            <w:pPr>
              <w:pStyle w:val="TableContents"/>
              <w:bidi w:val="0"/>
              <w:spacing w:before="0" w:after="283"/>
              <w:jc w:val="left"/>
              <w:rPr/>
            </w:pPr>
            <w:r>
              <w:rPr/>
              <w:t> </w:t>
            </w:r>
          </w:p>
        </w:tc>
        <w:tc>
          <w:tcPr>
            <w:tcW w:w="100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pPr>
            <w:r>
              <w:rPr/>
              <w:t> </w:t>
            </w:r>
          </w:p>
        </w:tc>
        <w:tc>
          <w:tcPr>
            <w:tcW w:w="119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41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Treasury stock, at cost: 14,499,840 shares and </w:t>
              <w:br/>
              <w:t>   14,424,126 shares, respectively</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CECFF" w:val="clear"/>
            <w:vAlign w:val="center"/>
          </w:tcPr>
          <w:p>
            <w:pPr>
              <w:pStyle w:val="TableContents"/>
              <w:bidi w:val="0"/>
              <w:spacing w:before="0" w:after="283"/>
              <w:jc w:val="right"/>
              <w:rPr/>
            </w:pPr>
            <w:r>
              <w:rPr/>
              <w:t> </w:t>
            </w:r>
          </w:p>
        </w:tc>
        <w:tc>
          <w:tcPr>
            <w:tcW w:w="25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1004"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(3,331.6</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305"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1195"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(2,968.8</w:t>
            </w:r>
          </w:p>
        </w:tc>
        <w:tc>
          <w:tcPr>
            <w:tcW w:w="411" w:type="dxa"/>
            <w:tcBorders>
              <w:top w:val="single" w:sz="4" w:space="0" w:color="000000"/>
            </w:tcBorders>
            <w:shd w:fill="CCECFF"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sz w:val="20"/>
        </w:rPr>
      </w:pPr>
      <w:bookmarkStart w:id="7" w:name="condensed_consolidated_c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13"/>
        </w:rPr>
        <w:t>(1)</w:t>
      </w:r>
    </w:p>
    <w:p>
      <w:pPr>
        <w:pStyle w:val="TextBody"/>
        <w:bidi w:val="0"/>
        <w:jc w:val="center"/>
        <w:rPr>
          <w:rFonts w:ascii="Times New Roman" w:hAnsi="Times New Roman"/>
          <w:b/>
          <w:color w:val="000000"/>
          <w:sz w:val="20"/>
        </w:rPr>
      </w:pPr>
      <w:r>
        <w:rPr>
          <w:rFonts w:ascii="Times New Roman" w:hAnsi="Times New Roman"/>
          <w:b/>
          <w:color w:val="000000"/>
          <w:sz w:val="20"/>
        </w:rPr>
        <w:t>(Unaudited – 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86"/>
        <w:gridCol w:w="204"/>
        <w:gridCol w:w="296"/>
        <w:gridCol w:w="886"/>
        <w:gridCol w:w="233"/>
        <w:gridCol w:w="204"/>
        <w:gridCol w:w="296"/>
        <w:gridCol w:w="886"/>
        <w:gridCol w:w="614"/>
      </w:tblGrid>
      <w:tr>
        <w:trPr/>
        <w:tc>
          <w:tcPr>
            <w:tcW w:w="65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80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4" w:type="dxa"/>
            <w:tcBorders/>
            <w:shd w:fill="FFFFFF" w:val="clear"/>
            <w:vAlign w:val="center"/>
          </w:tcPr>
          <w:p>
            <w:pPr>
              <w:pStyle w:val="TableContents"/>
              <w:bidi w:val="0"/>
              <w:spacing w:before="0" w:after="283"/>
              <w:jc w:val="center"/>
              <w:rPr/>
            </w:pPr>
            <w:r>
              <w:rPr/>
              <w:t> </w:t>
            </w:r>
          </w:p>
        </w:tc>
      </w:tr>
      <w:tr>
        <w:trPr/>
        <w:tc>
          <w:tcPr>
            <w:tcW w:w="6586"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2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FFFFFF" w:val="cle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CEC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204" w:type="dxa"/>
            <w:tcBorders/>
            <w:shd w:fill="CCECFF" w:val="clear"/>
            <w:vAlign w:val="center"/>
          </w:tcPr>
          <w:p>
            <w:pPr>
              <w:pStyle w:val="TableContents"/>
              <w:bidi w:val="0"/>
              <w:spacing w:before="0" w:after="283"/>
              <w:jc w:val="left"/>
              <w:rPr/>
            </w:pPr>
            <w:r>
              <w:rPr/>
              <w:t> </w:t>
            </w:r>
          </w:p>
        </w:tc>
        <w:tc>
          <w:tcPr>
            <w:tcW w:w="1182" w:type="dxa"/>
            <w:gridSpan w:val="2"/>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1182" w:type="dxa"/>
            <w:gridSpan w:val="2"/>
            <w:tcBorders/>
            <w:shd w:fill="CCECFF" w:val="clear"/>
            <w:vAlign w:val="center"/>
          </w:tcPr>
          <w:p>
            <w:pPr>
              <w:pStyle w:val="TableContents"/>
              <w:bidi w:val="0"/>
              <w:spacing w:before="0" w:after="283"/>
              <w:jc w:val="left"/>
              <w:rPr/>
            </w:pPr>
            <w:r>
              <w:rPr/>
              <w:t> </w:t>
            </w:r>
          </w:p>
        </w:tc>
        <w:tc>
          <w:tcPr>
            <w:tcW w:w="614" w:type="dxa"/>
            <w:tcBorders/>
            <w:shd w:fill="CCECFF" w:val="clear"/>
            <w:vAlign w:val="center"/>
          </w:tcPr>
          <w:p>
            <w:pPr>
              <w:pStyle w:val="TableContents"/>
              <w:bidi w:val="0"/>
              <w:spacing w:before="0" w:after="283"/>
              <w:ind w:left="0" w:right="0" w:firstLine="100"/>
              <w:jc w:val="left"/>
              <w:rPr/>
            </w:pPr>
            <w:r>
              <w:rPr/>
              <w:t> </w:t>
            </w:r>
          </w:p>
        </w:tc>
      </w:tr>
      <w:tr>
        <w:trPr/>
        <w:tc>
          <w:tcPr>
            <w:tcW w:w="6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 (loss)</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14" w:type="dxa"/>
            <w:tcBorders/>
            <w:shd w:fill="FFFFFF" w:val="clear"/>
            <w:vAlign w:val="center"/>
          </w:tcPr>
          <w:p>
            <w:pPr>
              <w:pStyle w:val="TableContents"/>
              <w:bidi w:val="0"/>
              <w:spacing w:before="0" w:after="283"/>
              <w:ind w:left="0" w:right="0" w:firstLine="100"/>
              <w:jc w:val="left"/>
              <w:rPr/>
            </w:pPr>
            <w:r>
              <w:rPr/>
              <w:t> </w:t>
            </w:r>
          </w:p>
        </w:tc>
      </w:tr>
      <w:tr>
        <w:trPr/>
        <w:tc>
          <w:tcPr>
            <w:tcW w:w="658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204" w:type="dxa"/>
            <w:tcBorders/>
            <w:shd w:fill="CCECFF" w:val="clear"/>
            <w:vAlign w:val="center"/>
          </w:tcPr>
          <w:p>
            <w:pPr>
              <w:pStyle w:val="TableContents"/>
              <w:bidi w:val="0"/>
              <w:spacing w:before="0" w:after="283"/>
              <w:jc w:val="left"/>
              <w:rPr/>
            </w:pPr>
            <w:r>
              <w:rPr/>
              <w:t> </w:t>
            </w:r>
          </w:p>
        </w:tc>
        <w:tc>
          <w:tcPr>
            <w:tcW w:w="1182" w:type="dxa"/>
            <w:gridSpan w:val="2"/>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1182" w:type="dxa"/>
            <w:gridSpan w:val="2"/>
            <w:tcBorders/>
            <w:shd w:fill="CCECFF" w:val="clear"/>
            <w:vAlign w:val="center"/>
          </w:tcPr>
          <w:p>
            <w:pPr>
              <w:pStyle w:val="TableContents"/>
              <w:bidi w:val="0"/>
              <w:spacing w:before="0" w:after="283"/>
              <w:jc w:val="left"/>
              <w:rPr/>
            </w:pPr>
            <w:r>
              <w:rPr/>
              <w:t> </w:t>
            </w:r>
          </w:p>
        </w:tc>
        <w:tc>
          <w:tcPr>
            <w:tcW w:w="614" w:type="dxa"/>
            <w:tcBorders/>
            <w:shd w:fill="CCECFF" w:val="clear"/>
            <w:vAlign w:val="center"/>
          </w:tcPr>
          <w:p>
            <w:pPr>
              <w:pStyle w:val="TableContents"/>
              <w:bidi w:val="0"/>
              <w:spacing w:before="0" w:after="283"/>
              <w:ind w:left="0" w:right="0" w:firstLine="200"/>
              <w:jc w:val="left"/>
              <w:rPr/>
            </w:pPr>
            <w:r>
              <w:rPr/>
              <w:t> </w:t>
            </w:r>
          </w:p>
        </w:tc>
      </w:tr>
      <w:tr>
        <w:trPr/>
        <w:tc>
          <w:tcPr>
            <w:tcW w:w="6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233"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5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33"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614" w:type="dxa"/>
            <w:tcBorders/>
            <w:shd w:fill="CCECFF" w:val="clear"/>
            <w:vAlign w:val="center"/>
          </w:tcPr>
          <w:p>
            <w:pPr>
              <w:pStyle w:val="TableContents"/>
              <w:bidi w:val="0"/>
              <w:spacing w:before="0" w:after="283"/>
              <w:ind w:left="0" w:right="0" w:firstLine="200"/>
              <w:jc w:val="left"/>
              <w:rPr/>
            </w:pPr>
            <w:r>
              <w:rPr/>
              <w:t> </w:t>
            </w:r>
          </w:p>
        </w:tc>
      </w:tr>
      <w:tr>
        <w:trPr/>
        <w:tc>
          <w:tcPr>
            <w:tcW w:w="6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233"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204" w:type="dxa"/>
            <w:tcBorders/>
            <w:shd w:fill="CCECFF" w:val="clear"/>
            <w:vAlign w:val="center"/>
          </w:tcPr>
          <w:p>
            <w:pPr>
              <w:pStyle w:val="TableContents"/>
              <w:bidi w:val="0"/>
              <w:spacing w:before="0" w:after="283"/>
              <w:jc w:val="left"/>
              <w:rPr/>
            </w:pPr>
            <w:r>
              <w:rPr/>
              <w:t> </w:t>
            </w:r>
          </w:p>
        </w:tc>
        <w:tc>
          <w:tcPr>
            <w:tcW w:w="1182" w:type="dxa"/>
            <w:gridSpan w:val="2"/>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1182" w:type="dxa"/>
            <w:gridSpan w:val="2"/>
            <w:tcBorders/>
            <w:shd w:fill="CCECFF" w:val="clear"/>
            <w:vAlign w:val="center"/>
          </w:tcPr>
          <w:p>
            <w:pPr>
              <w:pStyle w:val="TableContents"/>
              <w:bidi w:val="0"/>
              <w:spacing w:before="0" w:after="283"/>
              <w:jc w:val="left"/>
              <w:rPr/>
            </w:pPr>
            <w:r>
              <w:rPr/>
              <w:t> </w:t>
            </w:r>
          </w:p>
        </w:tc>
        <w:tc>
          <w:tcPr>
            <w:tcW w:w="614" w:type="dxa"/>
            <w:tcBorders/>
            <w:shd w:fill="CCECFF" w:val="clear"/>
            <w:vAlign w:val="center"/>
          </w:tcPr>
          <w:p>
            <w:pPr>
              <w:pStyle w:val="TableContents"/>
              <w:bidi w:val="0"/>
              <w:spacing w:before="0" w:after="283"/>
              <w:ind w:left="0" w:right="0" w:firstLine="400"/>
              <w:jc w:val="left"/>
              <w:rPr/>
            </w:pPr>
            <w:r>
              <w:rPr/>
              <w:t> </w:t>
            </w:r>
          </w:p>
        </w:tc>
      </w:tr>
      <w:tr>
        <w:trPr/>
        <w:tc>
          <w:tcPr>
            <w:tcW w:w="6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586" w:type="dxa"/>
            <w:tcBorders/>
            <w:shd w:fill="CCEC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33"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614" w:type="dxa"/>
            <w:tcBorders/>
            <w:shd w:fill="CCEC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586" w:type="dxa"/>
            <w:tcBorders/>
            <w:shd w:fill="CCEC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other liabilities</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3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w:t>
            </w:r>
          </w:p>
        </w:tc>
        <w:tc>
          <w:tcPr>
            <w:tcW w:w="614"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204"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23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614"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204"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ind w:left="0" w:right="0" w:firstLine="100"/>
              <w:jc w:val="left"/>
              <w:rPr/>
            </w:pPr>
            <w:r>
              <w:rPr/>
              <w:t> </w:t>
            </w:r>
          </w:p>
        </w:tc>
      </w:tr>
      <w:tr>
        <w:trPr/>
        <w:tc>
          <w:tcPr>
            <w:tcW w:w="658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Additions to property, plant and equipment</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3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14"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233"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614" w:type="dxa"/>
            <w:tcBorders/>
            <w:shd w:fill="FFFFFF" w:val="clear"/>
            <w:vAlign w:val="center"/>
          </w:tcPr>
          <w:p>
            <w:pPr>
              <w:pStyle w:val="TableContents"/>
              <w:bidi w:val="0"/>
              <w:spacing w:before="0" w:after="283"/>
              <w:ind w:left="0" w:right="0" w:firstLine="100"/>
              <w:jc w:val="left"/>
              <w:rPr/>
            </w:pPr>
            <w:r>
              <w:rPr/>
              <w:t> </w:t>
            </w:r>
          </w:p>
        </w:tc>
      </w:tr>
      <w:tr>
        <w:trPr/>
        <w:tc>
          <w:tcPr>
            <w:tcW w:w="658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204"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investing activities</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33"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614" w:type="dxa"/>
            <w:tcBorders/>
            <w:shd w:fill="FFFFFF" w:val="clear"/>
            <w:vAlign w:val="center"/>
          </w:tcPr>
          <w:p>
            <w:pPr>
              <w:pStyle w:val="TableContents"/>
              <w:bidi w:val="0"/>
              <w:spacing w:before="0" w:after="283"/>
              <w:jc w:val="left"/>
              <w:rPr/>
            </w:pPr>
            <w:r>
              <w:rPr/>
              <w:t> </w:t>
            </w:r>
          </w:p>
        </w:tc>
      </w:tr>
      <w:tr>
        <w:trPr/>
        <w:tc>
          <w:tcPr>
            <w:tcW w:w="6586" w:type="dxa"/>
            <w:tcBorders/>
            <w:shd w:fill="CCEC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204" w:type="dxa"/>
            <w:tcBorders/>
            <w:shd w:fill="CCECFF" w:val="clear"/>
            <w:vAlign w:val="center"/>
          </w:tcPr>
          <w:p>
            <w:pPr>
              <w:pStyle w:val="TableContents"/>
              <w:bidi w:val="0"/>
              <w:spacing w:before="0" w:after="283"/>
              <w:jc w:val="left"/>
              <w:rPr/>
            </w:pPr>
            <w:r>
              <w:rPr/>
              <w:t> </w:t>
            </w:r>
          </w:p>
        </w:tc>
        <w:tc>
          <w:tcPr>
            <w:tcW w:w="1182" w:type="dxa"/>
            <w:gridSpan w:val="2"/>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1182" w:type="dxa"/>
            <w:gridSpan w:val="2"/>
            <w:tcBorders/>
            <w:shd w:fill="CCECFF" w:val="clear"/>
            <w:vAlign w:val="center"/>
          </w:tcPr>
          <w:p>
            <w:pPr>
              <w:pStyle w:val="TableContents"/>
              <w:bidi w:val="0"/>
              <w:spacing w:before="0" w:after="283"/>
              <w:jc w:val="left"/>
              <w:rPr/>
            </w:pPr>
            <w:r>
              <w:rPr/>
              <w:t> </w:t>
            </w:r>
          </w:p>
        </w:tc>
        <w:tc>
          <w:tcPr>
            <w:tcW w:w="614" w:type="dxa"/>
            <w:tcBorders/>
            <w:shd w:fill="CCECFF" w:val="clear"/>
            <w:vAlign w:val="center"/>
          </w:tcPr>
          <w:p>
            <w:pPr>
              <w:pStyle w:val="TableContents"/>
              <w:bidi w:val="0"/>
              <w:spacing w:before="0" w:after="283"/>
              <w:ind w:left="0" w:right="0" w:firstLine="100"/>
              <w:jc w:val="left"/>
              <w:rPr/>
            </w:pPr>
            <w:r>
              <w:rPr/>
              <w:t> </w:t>
            </w:r>
          </w:p>
        </w:tc>
      </w:tr>
      <w:tr>
        <w:trPr/>
        <w:tc>
          <w:tcPr>
            <w:tcW w:w="6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debt repaid</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1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debt repurchases</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color w:val="000000"/>
              </w:rPr>
            </w:pPr>
            <w:r>
              <w:rPr>
                <w:color w:val="000000"/>
              </w:rPr>
              <w:t>—</w:t>
            </w:r>
          </w:p>
        </w:tc>
        <w:tc>
          <w:tcPr>
            <w:tcW w:w="233"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296" w:type="dxa"/>
            <w:tcBorders/>
            <w:shd w:fill="CCECFF" w:val="clear"/>
            <w:vAlign w:val="center"/>
          </w:tcPr>
          <w:p>
            <w:pPr>
              <w:pStyle w:val="TableContents"/>
              <w:bidi w:val="0"/>
              <w:spacing w:before="0" w:after="283"/>
              <w:jc w:val="left"/>
              <w:rPr/>
            </w:pPr>
            <w:r>
              <w:rPr/>
              <w:t> </w:t>
            </w:r>
          </w:p>
        </w:tc>
        <w:tc>
          <w:tcPr>
            <w:tcW w:w="88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4"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withholding payments for vested equity-based compensation awards</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204"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204"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6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204"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w:t>
            </w:r>
          </w:p>
        </w:tc>
        <w:tc>
          <w:tcPr>
            <w:tcW w:w="6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204"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r>
      <w:tr>
        <w:trPr/>
        <w:tc>
          <w:tcPr>
            <w:tcW w:w="9591" w:type="dxa"/>
            <w:gridSpan w:val="8"/>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cash flows related to discontinued operations have not been segregated. Accordingly, the Condensed Consolidated Statements of Cash Flows include the results of continuing and discontinued operations.</w:t>
            </w:r>
          </w:p>
        </w:tc>
        <w:tc>
          <w:tcPr>
            <w:tcW w:w="614" w:type="dxa"/>
            <w:tcBorders/>
            <w:shd w:fill="FFFFFF" w:val="cle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r>
      <w:tr>
        <w:trPr/>
        <w:tc>
          <w:tcPr>
            <w:tcW w:w="9591" w:type="dxa"/>
            <w:gridSpan w:val="8"/>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614" w:type="dxa"/>
            <w:tcBorders/>
            <w:shd w:fill="FFFFFF" w:val="clear"/>
            <w:vAlign w:val="center"/>
          </w:tcPr>
          <w:p>
            <w:pPr>
              <w:pStyle w:val="TableContents"/>
              <w:bidi w:val="0"/>
              <w:spacing w:before="0" w:after="283"/>
              <w:jc w:val="center"/>
              <w:rPr/>
            </w:pPr>
            <w:r>
              <w:rPr/>
              <w:t> </w:t>
            </w:r>
          </w:p>
        </w:tc>
      </w:tr>
      <w:tr>
        <w:trPr/>
        <w:tc>
          <w:tcPr>
            <w:tcW w:w="658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Normal"/>
        <w:bidi w:val="0"/>
        <w:spacing w:before="0" w:after="0"/>
        <w:jc w:val="left"/>
        <w:rPr>
          <w:sz w:val="4"/>
          <w:szCs w:val="4"/>
        </w:rPr>
      </w:pPr>
      <w:r>
        <w:rPr>
          <w:sz w:val="4"/>
          <w:szCs w:val="4"/>
        </w:rPr>
      </w:r>
      <w:bookmarkStart w:id="8" w:name="item_1_stmt_stkholders_equity"/>
      <w:bookmarkStart w:id="9" w:name="item_1_stmt_stkholders_equity"/>
      <w:bookmarkEnd w:id="9"/>
    </w:p>
    <w:tbl>
      <w:tblPr>
        <w:tblW w:w="8779" w:type="dxa"/>
        <w:jc w:val="left"/>
        <w:tblInd w:w="0" w:type="dxa"/>
        <w:tblLayout w:type="fixed"/>
        <w:tblCellMar>
          <w:top w:w="28" w:type="dxa"/>
          <w:left w:w="28" w:type="dxa"/>
          <w:bottom w:w="28" w:type="dxa"/>
          <w:right w:w="28" w:type="dxa"/>
        </w:tblCellMar>
      </w:tblPr>
      <w:tblGrid>
        <w:gridCol w:w="5306"/>
        <w:gridCol w:w="146"/>
        <w:gridCol w:w="211"/>
        <w:gridCol w:w="1141"/>
        <w:gridCol w:w="166"/>
        <w:gridCol w:w="146"/>
        <w:gridCol w:w="211"/>
        <w:gridCol w:w="1141"/>
        <w:gridCol w:w="311"/>
      </w:tblGrid>
      <w:tr>
        <w:trPr/>
        <w:tc>
          <w:tcPr>
            <w:tcW w:w="5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8468" w:type="dxa"/>
            <w:gridSpan w:val="8"/>
            <w:tcBorders/>
            <w:shd w:fill="FFFFFF" w:val="clear"/>
            <w:vAlign w:val="center"/>
          </w:tcPr>
          <w:p>
            <w:pPr>
              <w:pStyle w:val="TableContents"/>
              <w:bidi w:val="0"/>
              <w:spacing w:before="0" w:after="283"/>
              <w:jc w:val="center"/>
              <w:rPr>
                <w:rFonts w:ascii="Times New Roman" w:hAnsi="Times New Roman"/>
                <w:b/>
                <w:color w:val="000000"/>
                <w:sz w:val="20"/>
              </w:rPr>
            </w:pPr>
            <w:bookmarkStart w:id="10" w:name="item_1_stmt_stk_equity"/>
            <w:bookmarkEnd w:id="10"/>
            <w:r>
              <w:rPr>
                <w:rFonts w:ascii="Times New Roman" w:hAnsi="Times New Roman"/>
                <w:b/>
                <w:color w:val="000000"/>
                <w:sz w:val="20"/>
              </w:rPr>
              <w:t>CommScope Holding Company, Inc.</w:t>
            </w:r>
          </w:p>
        </w:tc>
        <w:tc>
          <w:tcPr>
            <w:tcW w:w="311" w:type="dxa"/>
            <w:tcBorders/>
            <w:shd w:fill="FFFFFF" w:val="clear"/>
            <w:vAlign w:val="center"/>
          </w:tcPr>
          <w:p>
            <w:pPr>
              <w:pStyle w:val="TableContents"/>
              <w:bidi w:val="0"/>
              <w:spacing w:before="0" w:after="283"/>
              <w:jc w:val="center"/>
              <w:rPr/>
            </w:pPr>
            <w:r>
              <w:rPr/>
              <w:t> </w:t>
            </w:r>
          </w:p>
        </w:tc>
      </w:tr>
      <w:tr>
        <w:trPr/>
        <w:tc>
          <w:tcPr>
            <w:tcW w:w="8468" w:type="dxa"/>
            <w:gridSpan w:val="8"/>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Stockholders' Deficit</w:t>
            </w:r>
          </w:p>
        </w:tc>
        <w:tc>
          <w:tcPr>
            <w:tcW w:w="311" w:type="dxa"/>
            <w:tcBorders/>
            <w:shd w:fill="FFFFFF" w:val="clear"/>
            <w:vAlign w:val="center"/>
          </w:tcPr>
          <w:p>
            <w:pPr>
              <w:pStyle w:val="TableContents"/>
              <w:bidi w:val="0"/>
              <w:spacing w:before="0" w:after="283"/>
              <w:jc w:val="center"/>
              <w:rPr/>
            </w:pPr>
            <w:r>
              <w:rPr/>
              <w:t> </w:t>
            </w:r>
          </w:p>
        </w:tc>
      </w:tr>
      <w:tr>
        <w:trPr/>
        <w:tc>
          <w:tcPr>
            <w:tcW w:w="8468" w:type="dxa"/>
            <w:gridSpan w:val="8"/>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 except share amounts)</w:t>
            </w:r>
          </w:p>
        </w:tc>
        <w:tc>
          <w:tcPr>
            <w:tcW w:w="311" w:type="dxa"/>
            <w:tcBorders/>
            <w:shd w:fill="FFFFFF" w:val="clear"/>
            <w:vAlign w:val="center"/>
          </w:tcPr>
          <w:p>
            <w:pPr>
              <w:pStyle w:val="TableContents"/>
              <w:bidi w:val="0"/>
              <w:spacing w:before="0" w:after="283"/>
              <w:jc w:val="center"/>
              <w:rPr/>
            </w:pPr>
            <w:r>
              <w:rPr/>
              <w:t> </w:t>
            </w:r>
          </w:p>
        </w:tc>
      </w:tr>
      <w:tr>
        <w:trPr/>
        <w:tc>
          <w:tcPr>
            <w:tcW w:w="5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5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11" w:type="dxa"/>
            <w:tcBorders/>
            <w:shd w:fill="FFFFFF" w:val="clear"/>
            <w:vAlign w:val="center"/>
          </w:tcPr>
          <w:p>
            <w:pPr>
              <w:pStyle w:val="TableContents"/>
              <w:bidi w:val="0"/>
              <w:spacing w:before="0" w:after="283"/>
              <w:jc w:val="center"/>
              <w:rPr/>
            </w:pPr>
            <w:r>
              <w:rPr/>
              <w:t> </w:t>
            </w:r>
          </w:p>
        </w:tc>
      </w:tr>
      <w:tr>
        <w:trPr/>
        <w:tc>
          <w:tcPr>
            <w:tcW w:w="5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common shares outstanding:</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53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212,108,634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208,371,426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3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Issuance of shares under equity-based compensation plans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231,834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2,107,228</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53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surrendered under equity-based compensation plans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(700,666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212,264,754</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209,777,988</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3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beginning and end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3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2,542.9</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53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3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Dividends on Series A convertible preferred stock</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1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53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(3,502.2</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1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53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(3,498.8</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53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52" w:type="dxa"/>
            <w:gridSpan w:val="2"/>
            <w:tcBorders/>
            <w:shd w:fill="CCECFF" w:val="clear"/>
            <w:vAlign w:val="center"/>
          </w:tcPr>
          <w:p>
            <w:pPr>
              <w:pStyle w:val="TableContents"/>
              <w:bidi w:val="0"/>
              <w:spacing w:before="0" w:after="283"/>
              <w:jc w:val="left"/>
              <w:rPr/>
            </w:pPr>
            <w:r>
              <w:rPr/>
              <w:t> </w:t>
            </w:r>
          </w:p>
        </w:tc>
        <w:tc>
          <w:tcPr>
            <w:tcW w:w="311" w:type="dxa"/>
            <w:tcBorders/>
            <w:shd w:fill="CCECFF" w:val="clear"/>
            <w:vAlign w:val="center"/>
          </w:tcPr>
          <w:p>
            <w:pPr>
              <w:pStyle w:val="TableContents"/>
              <w:bidi w:val="0"/>
              <w:spacing w:before="0" w:after="283"/>
              <w:ind w:left="0" w:right="0" w:firstLine="100"/>
              <w:jc w:val="left"/>
              <w:rPr/>
            </w:pPr>
            <w:r>
              <w:rPr/>
              <w:t> </w:t>
            </w:r>
          </w:p>
        </w:tc>
      </w:tr>
      <w:tr>
        <w:trPr/>
        <w:tc>
          <w:tcPr>
            <w:tcW w:w="53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shares surrendered under equity-based compensation plans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8468" w:type="dxa"/>
            <w:gridSpan w:val="8"/>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31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jc w:val="left"/>
        <w:rPr>
          <w:rFonts w:ascii="Times New Roman" w:hAnsi="Times New Roman"/>
          <w:b/>
          <w:color w:val="000000"/>
          <w:sz w:val="20"/>
        </w:rPr>
      </w:pPr>
      <w:bookmarkStart w:id="11" w:name="notes_to_unaudited_condensed_consolidate"/>
      <w:bookmarkEnd w:id="11"/>
      <w:r>
        <w:rPr>
          <w:rFonts w:ascii="Times New Roman" w:hAnsi="Times New Roman"/>
          <w:b/>
          <w:color w:val="000000"/>
          <w:sz w:val="20"/>
        </w:rPr>
        <w:t>1. BACKGROUND AND BASIS OF PRESENTATION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CommScope Holding Company, Inc., along with its direct and indirect subsidiaries (CommScope or the Company), is a global provider of infrastructure solutions for communication, data center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9, 2024, the Company completed the sale of its Home Networks (Home) segment and substantially all of the associated segment assets and liabilities (Home business) to Vantiva SA (Vantiva) pursuant to the Call Option Agreement entered into on October 2, 2023 and Purchase Agreement dated as of December 7, 2023. In the fourth quarter of 2023, the Company determined the sale of the Home business met the “held for sale” criteria and the “discontinued operations” criteria in accordance with accounting guidance. All prior period amounts in these condensed consolidated financial statements have been recast to reflect the discontinuation of the Home business. The discussions in these condensed consolidated financial statements relate solely to the Company’s continuing operations, unless otherwise noted. As a result, the Company is reporting financial performance based on the following remaining four operating segments, which excludes the Home business: Connectivity and Cable Solutions (CCS), Outdoor Wireless Networks (OWN), Networking, Intelligent Cellular and Security Solutions (NICS) and Access Network Solutions (ANS). See Note 2 for further discussion of the discontinued operations related to the Home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2024, management shifted certain product lines from the Company's CCS segment to its ANS segment to better align with how the businesses are being managed. All prior period amounts in these condensed consolidated financial statements have been recast to reflect these operating segment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2023 (the 2023 Annual Report). The significant accounting policies followed by the Company are set forth in Note 2 within the Company’s audited consolidated financial statements included in the 2023 Annual Report. There were no material changes in the Company’s significant accounting policies during the three months ended March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Concentrations of Risk and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direct customer accounted for 10% or more of the Company’s total net sales during the three months ended March 31, 2024 or 2023. As of March 31, 2024, no direct customer accounted for 10% or more of the Company’s accounts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funds affiliated with Carlyle Partners VII S1 Holdings, L.P. (Carlyle) owned 100% of the Company's Series A convertible preferred stock (the Convertible Preferred Stock), which was sold to Carlyle to fund a portion of the acquisition of ARRIS International plc (ARRIS) in 2019. See Note 10 for further discussion of the Convertible Preferred Stock. Other than transactions related to the Convertible Preferred Stock and the Company's continuing involvement with Vantiva discussed in Note 2, there were no material related party transactions for the three months ended March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Warranties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 liability for the estimated claims that may be paid under its customer assurance-type warranty agreements to remedy potential deficiencies of quality or performance of the Company’s products. These product warranties extend over various periods, depending 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activity in the product warranty accrual, included in accrued and other liabilities and other noncurrent liabilities on the Condensed Consolidated Balance Sheets:</w:t>
      </w:r>
    </w:p>
    <w:tbl>
      <w:tblPr>
        <w:tblW w:w="5864" w:type="dxa"/>
        <w:jc w:val="left"/>
        <w:tblInd w:w="0" w:type="dxa"/>
        <w:tblLayout w:type="fixed"/>
        <w:tblCellMar>
          <w:top w:w="28" w:type="dxa"/>
          <w:left w:w="28" w:type="dxa"/>
          <w:bottom w:w="28" w:type="dxa"/>
          <w:right w:w="28" w:type="dxa"/>
        </w:tblCellMar>
      </w:tblPr>
      <w:tblGrid>
        <w:gridCol w:w="3841"/>
        <w:gridCol w:w="146"/>
        <w:gridCol w:w="211"/>
        <w:gridCol w:w="466"/>
        <w:gridCol w:w="166"/>
        <w:gridCol w:w="146"/>
        <w:gridCol w:w="211"/>
        <w:gridCol w:w="466"/>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shd w:fill="FFFFFF" w:val="cle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accrual,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11" w:type="dxa"/>
            <w:tcBorders/>
            <w:shd w:fill="CCEC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warranty claims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shd w:fill="FFFFFF" w:val="clear"/>
            <w:vAlign w:val="center"/>
          </w:tcPr>
          <w:p>
            <w:pPr>
              <w:pStyle w:val="TableContents"/>
              <w:bidi w:val="0"/>
              <w:spacing w:before="0" w:after="283"/>
              <w:jc w:val="left"/>
              <w:rPr/>
            </w:pPr>
            <w:r>
              <w:rPr/>
              <w:t> </w:t>
            </w:r>
          </w:p>
        </w:tc>
      </w:tr>
      <w:tr>
        <w:trPr/>
        <w:tc>
          <w:tcPr>
            <w:tcW w:w="38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claims paid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accrual,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Third-Party Guarantees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contingently liable under open standby letters of credit issued by its banks to support performance obligations of a third-party contractor that totaled $35.9 million as of March 31, 2024. These amounts represent an estimate of the maximum amounts the Company would expect to incur upon the contractual non-performance of the third-party contractor, but the Company also has cross-indemnities in place that may enable it to recover amounts in the event of non-performance by the third-party contractor. The Company believes the likelihood of having to perform under these guarantees is remote. There were no material amounts recorded in the condensed consolidated financial statements related to third-party guarantee agreements for the three months ended March 31, 2024 or 2023 or as of March 31, 2024 or December 31, 2023. As of March 31, 2024, these instruments reduced the available borrowings under the Company's senior secured asset-based revolving credit facility (the Revolving Credit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Non-cancellable Purchase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third quarter of 2023, the Company entered into a long-term supply contract with a third party to secure the supply of certain raw materials. Under the terms of the contract, the Company will make advance payments through 2026 totaling $120.0 million (undiscounted) and based on meeting certain minimum purchase requirements through 2031, such advance payments will be credited and applied to future orders on a quarterly basis beginning in 2027 through 2031. Advance payments of $30.0 million are capitalized as other noncurrent assets in the Condensed Consolidated Balance Sheets as of March 31, 2024 and December 31, 2023. The Company committed to purchases of raw materials under this agreement that began in 2023, growing to a level of approximately $137 million per year by 2026 and continuing through 2032.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 Impairments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tested for impairment annually or at other times if events have occurred or circumstances exist that indicate the carrying value of the reporting unit may exceed its fair value. As of January 1, 2024, the Company assessed goodwill for impairment due to a change in the composition of reporting units as a result of the new segment structure and certain other intrasegment realignments. The Company performed impairment testing immediately before and after the change and determined that no goodwill impairment existed. See Note 3 for further discussion. There were no goodwill impairments identified during the three months ended March 31, 2024 or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ANS and Building and Data Center Connectivity (BDCC) reporting units failed the annual goodwill impairment test, and partial impairments were recorded as of October 1, 2023. The BDCC reporting unit is in the CCS reportable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new segment structure and certain other intrasegment realignments, as of January 1, 2024, the BDCC and Network Cable and Connectivity (NCC) reporting units are being referred to as Enterprise and Broadband, respectively, which are both in the CCS reportable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the low headroom going forward for each of the ANS and Enterprise reporting units, there is a risk for future impairment in the event of declines in general economic, market or business conditions or any significant unfavorable change in the forecasted cash flows, weighted average cost of capital or growth rates. If current and long-term projections for the ANS and Enterprise reporting units are not realized or decrease materially, the Company may be required to recognize additional goodwill impairment charges, and these charges could be material to the Company's results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which include 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There were no definite-lived intangible or other long-lived asset impairments identified during the three months ended March 31, 2024 or 2023, other than certain assets impaired as a result of restructuring 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2024, the Company recognized income tax expense of $99.8 million on a pretax loss of $162.3 million. The Company's tax expense for the three months ended March 31, 2024, was unfavorably impacted by additional valuation allowance related to current year federal and state interest limitation carryforwards and U.S. anti-deferral provisions, partially offset by tax benefits related to federal tax credits.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2023, the Company recognized an income tax benefit of $4.0 million on pretax income of $25.8 million. The Company’s tax benefit was primarily due to a reduction in tax expense of $8.3 million related to the release of various uncertain tax positions, partially offset by the unfavorable impacts of U.S. anti-deferral provisions and non-creditable withholding taxes.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(loss) per share (EPS) from continuing operations is computed by dividing income (loss) from continuing operations, less any dividends and deemed dividends related to the Convertible Preferred Stock, by the weighted average number of common shares outstanding during the period. The numerator in diluted EPS from continuing operations is based on the basic EPS from continuing operations numerator, adjusted to add back any dividends and deemed dividends related to the Convertible Preferred Stock, subject to antidilution requirements. The denominator used in diluted EPS from continuing operations is based on the basic EPS computation plus the effect of potentially dilutive common shares related to the Convertible Preferred Stock and equity-based compensation plans, subject to antidilution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EPS from discontinued operations is computed by dividing loss from discontinued operations, net of income taxes by the weighted average number of common shares outstanding during the period. The numerator in diluted EPS from discontinued operations is based on the basic EPS from discontinued operations numerator. The denominator used in diluted EPS from discontinued operations is based on the basic EPS computation plus the effect of potentially dilutive common shares related to the Convertible Preferred Stock and equity-based compensation plans, subject to antidilution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and 2023, 18.0 million and 12.2 million shares, respectively, of outstanding equity-based compensation awards were not included in the computation of diluted EPS because the effect was antidilutive or the performance conditions were not met. Of those amounts, for the three months ended March 31, 2024, 1.4 million would have been considered dilutive if the Company had not been in a loss from continuing operations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and 2023, 42.3 million and 40.0 million, respectively, of as-if converted shares related to the Convertible Preferred Stock were excluded from the diluted share count because they were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presents the basis for the EPS computations (in millions, except per share data): </w:t>
      </w:r>
    </w:p>
    <w:tbl>
      <w:tblPr>
        <w:tblW w:w="8544" w:type="dxa"/>
        <w:jc w:val="left"/>
        <w:tblInd w:w="0" w:type="dxa"/>
        <w:tblLayout w:type="fixed"/>
        <w:tblCellMar>
          <w:top w:w="28" w:type="dxa"/>
          <w:left w:w="28" w:type="dxa"/>
          <w:bottom w:w="28" w:type="dxa"/>
          <w:right w:w="28" w:type="dxa"/>
        </w:tblCellMar>
      </w:tblPr>
      <w:tblGrid>
        <w:gridCol w:w="5971"/>
        <w:gridCol w:w="146"/>
        <w:gridCol w:w="211"/>
        <w:gridCol w:w="631"/>
        <w:gridCol w:w="166"/>
        <w:gridCol w:w="146"/>
        <w:gridCol w:w="211"/>
        <w:gridCol w:w="571"/>
        <w:gridCol w:w="49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91" w:type="dxa"/>
            <w:tcBorders/>
            <w:shd w:fill="FFFFFF" w:val="clear"/>
            <w:vAlign w:val="center"/>
          </w:tcPr>
          <w:p>
            <w:pPr>
              <w:pStyle w:val="TableContents"/>
              <w:bidi w:val="0"/>
              <w:spacing w:before="0" w:after="283"/>
              <w:jc w:val="center"/>
              <w:rPr/>
            </w:pPr>
            <w:r>
              <w:rPr/>
              <w:t> </w:t>
            </w:r>
          </w:p>
        </w:tc>
      </w:tr>
      <w:tr>
        <w:trPr/>
        <w:tc>
          <w:tcPr>
            <w:tcW w:w="5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ind w:left="0" w:right="0" w:firstLine="100"/>
              <w:jc w:val="left"/>
              <w:rPr/>
            </w:pPr>
            <w:r>
              <w:rPr/>
              <w:t> </w:t>
            </w:r>
          </w:p>
        </w:tc>
      </w:tr>
      <w:tr>
        <w:trPr/>
        <w:tc>
          <w:tcPr>
            <w:tcW w:w="59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97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97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Dividends on Series A convertible preferred stock</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49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CECFF" w:val="clear"/>
            <w:vAlign w:val="center"/>
          </w:tcPr>
          <w:p>
            <w:pPr>
              <w:pStyle w:val="TableContents"/>
              <w:bidi w:val="0"/>
              <w:spacing w:before="0" w:after="283"/>
              <w:ind w:left="100" w:right="0" w:firstLine="100"/>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left"/>
              <w:rPr/>
            </w:pPr>
            <w:r>
              <w:rPr/>
              <w:t> </w:t>
            </w:r>
          </w:p>
        </w:tc>
      </w:tr>
      <w:tr>
        <w:trPr/>
        <w:tc>
          <w:tcPr>
            <w:tcW w:w="5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97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common shares outstanding – basic</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491" w:type="dxa"/>
            <w:tcBorders/>
            <w:shd w:fill="CCECFF" w:val="clear"/>
            <w:vAlign w:val="center"/>
          </w:tcPr>
          <w:p>
            <w:pPr>
              <w:pStyle w:val="TableContents"/>
              <w:bidi w:val="0"/>
              <w:spacing w:before="0" w:after="283"/>
              <w:ind w:left="0" w:right="0" w:firstLine="300"/>
              <w:jc w:val="left"/>
              <w:rPr/>
            </w:pPr>
            <w:r>
              <w:rPr/>
              <w:t> </w:t>
            </w:r>
          </w:p>
        </w:tc>
      </w:tr>
      <w:tr>
        <w:trPr/>
        <w:tc>
          <w:tcPr>
            <w:tcW w:w="597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Dilutive effect of as-if converted Series A convertible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5971" w:type="dxa"/>
            <w:tcBorders/>
            <w:shd w:fill="CCEC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Dilutive effect of equity-based awards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left"/>
              <w:rPr/>
            </w:pPr>
            <w:r>
              <w:rPr/>
              <w:t> </w:t>
            </w:r>
          </w:p>
        </w:tc>
      </w:tr>
      <w:tr>
        <w:trPr/>
        <w:tc>
          <w:tcPr>
            <w:tcW w:w="5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97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91" w:type="dxa"/>
            <w:tcBorders/>
            <w:shd w:fill="CCECFF" w:val="clear"/>
            <w:vAlign w:val="center"/>
          </w:tcPr>
          <w:p>
            <w:pPr>
              <w:pStyle w:val="TableContents"/>
              <w:bidi w:val="0"/>
              <w:spacing w:before="0" w:after="283"/>
              <w:ind w:left="0" w:right="0" w:firstLine="100"/>
              <w:jc w:val="left"/>
              <w:rPr/>
            </w:pPr>
            <w:r>
              <w:rPr/>
              <w:t> </w:t>
            </w:r>
          </w:p>
        </w:tc>
      </w:tr>
      <w:tr>
        <w:trPr/>
        <w:tc>
          <w:tcPr>
            <w:tcW w:w="59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from discontinued operations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per share</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r>
      <w:tr>
        <w:trPr/>
        <w:tc>
          <w:tcPr>
            <w:tcW w:w="59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ind w:left="0" w:right="0" w:firstLine="100"/>
              <w:jc w:val="left"/>
              <w:rPr/>
            </w:pPr>
            <w:r>
              <w:rPr/>
              <w:t> </w:t>
            </w:r>
          </w:p>
        </w:tc>
      </w:tr>
      <w:tr>
        <w:trPr/>
        <w:tc>
          <w:tcPr>
            <w:tcW w:w="59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97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from discontinued operations per share</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Adopted During the Three Months Ended March 31, 2024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January 1, 2024, the Company adopted the rollforward disclosure requirement of Accounting Standards Update (ASU) No. 2022-04, </w:t>
      </w:r>
      <w:r>
        <w:rPr>
          <w:rFonts w:ascii="Times New Roman" w:hAnsi="Times New Roman"/>
          <w:i/>
          <w:color w:val="000000"/>
          <w:sz w:val="20"/>
        </w:rPr>
        <w:t>Liabilities—Supplier Finance Programs (Subtopic 405-50): Disclosure of Supplier Finance Program Obligations</w:t>
      </w:r>
      <w:r>
        <w:rPr>
          <w:rFonts w:ascii="Times New Roman" w:hAnsi="Times New Roman"/>
          <w:color w:val="000000"/>
          <w:sz w:val="20"/>
        </w:rPr>
        <w:t>. The new guidance improves the transparency of supplier finance programs by requiring that a buyer in a supplier finance program disclose sufficient qualitative and quantitative information about the program to allow a user of its financial statements to understand the program's nature, activity during the period, changes from period to period and potential effect on an entity's financial statements. The requirement to disclose rollforward information was effective prospectively for the Company as of January 1, 2024. The impact of adopting this new guidance was not material to the condensed consolidated financial statements and related disclosure.</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Issued but Not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Standards Board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The new guidance is expected to improve income tax disclosures primarily related to the rate reconciliation and income taxes paid information by requiring 1) consistent categories and greater disaggregation of information in the rate reconciliation and 2) income taxes paid to be disaggregated by jurisdiction. The guidance is effective for the Company on a prospective basis, although retrospective application is permitted, as of January 1, 2025 for the annual period. Early adoption is permitted. The Company is currently evaluating the impact of the new guidance on the condensed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2023, the FASB issued ASU No. 2023-07, </w:t>
      </w:r>
      <w:r>
        <w:rPr>
          <w:rFonts w:ascii="Times New Roman" w:hAnsi="Times New Roman"/>
          <w:i/>
          <w:color w:val="000000"/>
          <w:sz w:val="20"/>
        </w:rPr>
        <w:t xml:space="preserve">Segment Reporting (Topic 280): Improvements to Reportable Segment Disclosures. </w:t>
      </w:r>
      <w:r>
        <w:rPr>
          <w:rFonts w:ascii="Times New Roman" w:hAnsi="Times New Roman"/>
          <w:color w:val="000000"/>
          <w:sz w:val="20"/>
        </w:rPr>
        <w:t>The new guidance is expected to improve reportable segment disclosure requirements primarily through enhanced disclosures for significant segment expenses. The guidance is effective for the Company on a retrospective basis as of January 1, 2024 for the annual period and January 1, 2025 for the interim periods. Early adoption is permitted. The Company is currently evaluating the impact of the new guidance on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9, 2024, the Company completed the sale of the Home business to Vantiva pursuant to the Call Option Agreement entered into on October 2, 2023 and the Purchase Agreement dated as of December 7, 2023, in exchange for (i) 134,704,669 shares of Vantiva common stock representing a 24.73% equity stake in Vantiva (determined on a fully diluted basis), (ii) $250,465 in cash (in addition to cash paid in exchange for the cash on the Home business companies’ balance sheets) and (iii) an earn-out of up to $100 million in the aggregate. The earn-out payments are contingent upon Vantiva achieving adjusted EBITDA equal to or greater than €400 million for one or more of Vantiva’s first five fiscal years following the closing of the transaction. The earn-out payment with respect to any fiscal year will be subject to an additional annual cap, the amount of which will depend on certain elections made by the Company following Vantiva reaching the €400 million adjusted EBITDA threshold for the first time, and on Vantiva’s maintenance of certain liquidity levels (after giving effect to such payment).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fourth quarter of 2023, the Home business qualified as “held for sale” per ASC 360-10 and was classified as a discontinued operation per ASC 205-20, as the Company determined, qualitatively and quantitatively, that this transaction represents a strategic shift that has or will have a major effect on the Company’s operations and financial results. As such, activity directly attributable to the Home business has been removed from continuing operations and presented in loss from discontinued operations, net of income taxes, on the Condensed Consolidated Statements of Operations for all periods presented. In addition, all assets and liabilities of the Home business were classified as assets and liabilities held for sale on the Consolidated Balance Sheets as of December 31, 2023, and in connection with the “held for sale” classification, the Company recognized a loss on classification as held for sale of $177.0 million in the fourth quarter of 2023. Upon the closing of the transaction on January 9, 2024, the Company recognized an additional loss of $69.8 million, which was included in loss from of discontinued operations, net of income taxes, on the Condensed Consolidated Statements of Operations for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conjunction with the closing of the transaction, the Company entered into a transition service agreement (TSA) with Vantiva (Vantiva TSA), whereby the Company provides and receives certain post-closing support on a transitional basis which are included in continuing operations in transition service agreement income. The terms of the Vantiva TSA vary based on the services provided thereunder, with the longest such term having a duration of sixteen months. The Vantiva TSA provides options to extend services for up to two renewal terms of three months each. Following the closing of the transaction, the Company also entered into a Supply Agreement with Vantiva (Vantiva Supply Agreement), whereby the Company sells certain retained inventory at cost, or market price if below cost, for a period of two years. The Company’s investment in Vantiva is accounted for using the equity method of accounting, and the carrying value of the investment is included in other noncurrent assets in the Condensed Consolidated Balance Sheet. The Company's proportionate share of income or loss on the equity investment will be recorded in discontinued operations in the Condensed Consolidated Statements of Operations on a one-quarter lag basis. As such, no income or loss on the equity investment in Vantiva was recorded in the first quarter of 2024. The investment in the ordinary shares is subject to a lock-up period, until the earlier of eighteen months, or the occurrence of a change of control or the entry into an agreement that would result in a change of control, following closing.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the summarized components of loss from discontinued operations, net of income taxes:</w:t>
      </w:r>
    </w:p>
    <w:tbl>
      <w:tblPr>
        <w:tblW w:w="8329" w:type="dxa"/>
        <w:jc w:val="left"/>
        <w:tblInd w:w="0" w:type="dxa"/>
        <w:tblLayout w:type="fixed"/>
        <w:tblCellMar>
          <w:top w:w="28" w:type="dxa"/>
          <w:left w:w="28" w:type="dxa"/>
          <w:bottom w:w="28" w:type="dxa"/>
          <w:right w:w="28" w:type="dxa"/>
        </w:tblCellMar>
      </w:tblPr>
      <w:tblGrid>
        <w:gridCol w:w="6061"/>
        <w:gridCol w:w="146"/>
        <w:gridCol w:w="211"/>
        <w:gridCol w:w="526"/>
        <w:gridCol w:w="166"/>
        <w:gridCol w:w="146"/>
        <w:gridCol w:w="211"/>
        <w:gridCol w:w="571"/>
        <w:gridCol w:w="29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91" w:type="dxa"/>
            <w:tcBorders/>
            <w:shd w:fill="FFFFFF" w:val="clear"/>
            <w:vAlign w:val="center"/>
          </w:tcPr>
          <w:p>
            <w:pPr>
              <w:pStyle w:val="TableContents"/>
              <w:bidi w:val="0"/>
              <w:spacing w:before="0" w:after="283"/>
              <w:jc w:val="center"/>
              <w:rPr/>
            </w:pPr>
            <w:r>
              <w:rPr/>
              <w:t> </w:t>
            </w:r>
          </w:p>
        </w:tc>
      </w:tr>
      <w:tr>
        <w:trPr/>
        <w:tc>
          <w:tcPr>
            <w:tcW w:w="6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w:t>
            </w:r>
          </w:p>
        </w:tc>
        <w:tc>
          <w:tcPr>
            <w:tcW w:w="291" w:type="dxa"/>
            <w:tcBorders/>
            <w:shd w:fill="CCECFF" w:val="clear"/>
            <w:vAlign w:val="center"/>
          </w:tcPr>
          <w:p>
            <w:pPr>
              <w:pStyle w:val="TableContents"/>
              <w:bidi w:val="0"/>
              <w:spacing w:before="0" w:after="283"/>
              <w:jc w:val="left"/>
              <w:rPr/>
            </w:pPr>
            <w:r>
              <w:rPr/>
              <w:t> </w:t>
            </w:r>
          </w:p>
        </w:tc>
      </w:tr>
      <w:tr>
        <w:trPr/>
        <w:tc>
          <w:tcPr>
            <w:tcW w:w="60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(loss)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91" w:type="dxa"/>
            <w:tcBorders/>
            <w:shd w:fill="CCECFF" w:val="clear"/>
            <w:vAlign w:val="center"/>
          </w:tcPr>
          <w:p>
            <w:pPr>
              <w:pStyle w:val="TableContents"/>
              <w:bidi w:val="0"/>
              <w:spacing w:before="0" w:after="283"/>
              <w:jc w:val="left"/>
              <w:rPr/>
            </w:pPr>
            <w:r>
              <w:rPr/>
              <w:t> </w:t>
            </w:r>
          </w:p>
        </w:tc>
      </w:tr>
      <w:tr>
        <w:trPr/>
        <w:tc>
          <w:tcPr>
            <w:tcW w:w="6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606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6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606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6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6061" w:type="dxa"/>
            <w:tcBorders/>
            <w:shd w:fill="CCEC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Total operating expenses</w:t>
            </w:r>
          </w:p>
        </w:tc>
        <w:tc>
          <w:tcPr>
            <w:tcW w:w="146" w:type="dxa"/>
            <w:tcBorders/>
            <w:shd w:fill="CCECFF" w:val="clear"/>
            <w:vAlign w:val="center"/>
          </w:tcPr>
          <w:p>
            <w:pPr>
              <w:pStyle w:val="TableContents"/>
              <w:bidi w:val="0"/>
              <w:spacing w:before="0" w:after="283"/>
              <w:jc w:val="left"/>
              <w:rPr/>
            </w:pPr>
            <w:r>
              <w:rPr/>
              <w:t> </w:t>
            </w:r>
          </w:p>
        </w:tc>
        <w:tc>
          <w:tcPr>
            <w:tcW w:w="2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29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of discontinued Home business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Home business before income taxes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291" w:type="dxa"/>
            <w:tcBorders/>
            <w:shd w:fill="CCECFF" w:val="clear"/>
            <w:vAlign w:val="center"/>
          </w:tcPr>
          <w:p>
            <w:pPr>
              <w:pStyle w:val="TableContents"/>
              <w:bidi w:val="0"/>
              <w:spacing w:before="0" w:after="283"/>
              <w:jc w:val="left"/>
              <w:rPr/>
            </w:pPr>
            <w:r>
              <w:rPr/>
              <w:t> </w:t>
            </w:r>
          </w:p>
        </w:tc>
      </w:tr>
      <w:tr>
        <w:trPr/>
        <w:tc>
          <w:tcPr>
            <w:tcW w:w="6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income taxes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includes a charge of $19.5 million for excess and obsolete inventory related to the Home business during the three months ended March 31, 2024.</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balance sheet information for assets and liabilities held for sale:</w:t>
      </w:r>
    </w:p>
    <w:tbl>
      <w:tblPr>
        <w:tblW w:w="5018" w:type="dxa"/>
        <w:jc w:val="left"/>
        <w:tblInd w:w="0" w:type="dxa"/>
        <w:tblLayout w:type="fixed"/>
        <w:tblCellMar>
          <w:top w:w="28" w:type="dxa"/>
          <w:left w:w="28" w:type="dxa"/>
          <w:bottom w:w="28" w:type="dxa"/>
          <w:right w:w="28" w:type="dxa"/>
        </w:tblCellMar>
      </w:tblPr>
      <w:tblGrid>
        <w:gridCol w:w="3321"/>
        <w:gridCol w:w="146"/>
        <w:gridCol w:w="285"/>
        <w:gridCol w:w="855"/>
        <w:gridCol w:w="41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CECFF" w:val="clear"/>
            <w:vAlign w:val="center"/>
          </w:tcPr>
          <w:p>
            <w:pPr>
              <w:pStyle w:val="TableContents"/>
              <w:bidi w:val="0"/>
              <w:spacing w:before="0" w:after="283"/>
              <w:jc w:val="left"/>
              <w:rPr/>
            </w:pPr>
            <w:r>
              <w:rPr/>
              <w:t> </w:t>
            </w:r>
          </w:p>
        </w:tc>
        <w:tc>
          <w:tcPr>
            <w:tcW w:w="28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411" w:type="dxa"/>
            <w:tcBorders/>
            <w:shd w:fill="CCECFF" w:val="cle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411" w:type="dxa"/>
            <w:tcBorders/>
            <w:shd w:fill="FFFFFF" w:val="clear"/>
            <w:vAlign w:val="center"/>
          </w:tcPr>
          <w:p>
            <w:pPr>
              <w:pStyle w:val="TableContents"/>
              <w:bidi w:val="0"/>
              <w:spacing w:before="0" w:after="283"/>
              <w:jc w:val="left"/>
              <w:rPr/>
            </w:pPr>
            <w:r>
              <w:rPr/>
              <w:t> </w:t>
            </w:r>
          </w:p>
        </w:tc>
      </w:tr>
      <w:tr>
        <w:trPr/>
        <w:tc>
          <w:tcPr>
            <w:tcW w:w="332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CECFF" w:val="clear"/>
            <w:vAlign w:val="center"/>
          </w:tcPr>
          <w:p>
            <w:pPr>
              <w:pStyle w:val="TableContents"/>
              <w:bidi w:val="0"/>
              <w:spacing w:before="0" w:after="283"/>
              <w:jc w:val="left"/>
              <w:rPr/>
            </w:pPr>
            <w:r>
              <w:rPr/>
              <w:t> </w:t>
            </w:r>
          </w:p>
        </w:tc>
        <w:tc>
          <w:tcPr>
            <w:tcW w:w="285" w:type="dxa"/>
            <w:tcBorders/>
            <w:shd w:fill="CCECFF" w:val="clear"/>
            <w:vAlign w:val="center"/>
          </w:tcPr>
          <w:p>
            <w:pPr>
              <w:pStyle w:val="TableContents"/>
              <w:bidi w:val="0"/>
              <w:spacing w:before="0" w:after="283"/>
              <w:jc w:val="left"/>
              <w:rPr/>
            </w:pPr>
            <w:r>
              <w:rPr/>
              <w:t> </w:t>
            </w:r>
          </w:p>
        </w:tc>
        <w:tc>
          <w:tcPr>
            <w:tcW w:w="85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411" w:type="dxa"/>
            <w:tcBorders/>
            <w:shd w:fill="CCECFF" w:val="cle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CECFF" w:val="clear"/>
            <w:vAlign w:val="center"/>
          </w:tcPr>
          <w:p>
            <w:pPr>
              <w:pStyle w:val="TableContents"/>
              <w:bidi w:val="0"/>
              <w:spacing w:before="0" w:after="283"/>
              <w:jc w:val="left"/>
              <w:rPr/>
            </w:pPr>
            <w:r>
              <w:rPr/>
              <w:t> </w:t>
            </w:r>
          </w:p>
        </w:tc>
        <w:tc>
          <w:tcPr>
            <w:tcW w:w="285" w:type="dxa"/>
            <w:tcBorders/>
            <w:shd w:fill="CCECFF" w:val="clear"/>
            <w:vAlign w:val="center"/>
          </w:tcPr>
          <w:p>
            <w:pPr>
              <w:pStyle w:val="TableContents"/>
              <w:bidi w:val="0"/>
              <w:spacing w:before="0" w:after="283"/>
              <w:jc w:val="left"/>
              <w:rPr/>
            </w:pPr>
            <w:r>
              <w:rPr/>
              <w:t> </w:t>
            </w:r>
          </w:p>
        </w:tc>
        <w:tc>
          <w:tcPr>
            <w:tcW w:w="85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classification of held for sale</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 held for sale</w:t>
            </w:r>
          </w:p>
        </w:tc>
        <w:tc>
          <w:tcPr>
            <w:tcW w:w="146" w:type="dxa"/>
            <w:tcBorders/>
            <w:shd w:fill="CCECFF" w:val="clear"/>
            <w:vAlign w:val="center"/>
          </w:tcPr>
          <w:p>
            <w:pPr>
              <w:pStyle w:val="TableContents"/>
              <w:bidi w:val="0"/>
              <w:spacing w:before="0" w:after="283"/>
              <w:jc w:val="left"/>
              <w:rPr/>
            </w:pPr>
            <w:r>
              <w:rPr/>
              <w:t> </w:t>
            </w:r>
          </w:p>
        </w:tc>
        <w:tc>
          <w:tcPr>
            <w:tcW w:w="28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32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ECFF" w:val="clear"/>
            <w:vAlign w:val="center"/>
          </w:tcPr>
          <w:p>
            <w:pPr>
              <w:pStyle w:val="TableContents"/>
              <w:bidi w:val="0"/>
              <w:spacing w:before="0" w:after="283"/>
              <w:jc w:val="left"/>
              <w:rPr/>
            </w:pPr>
            <w:r>
              <w:rPr/>
              <w:t> </w:t>
            </w:r>
          </w:p>
        </w:tc>
        <w:tc>
          <w:tcPr>
            <w:tcW w:w="28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411" w:type="dxa"/>
            <w:tcBorders/>
            <w:shd w:fill="CCECFF" w:val="cle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411" w:type="dxa"/>
            <w:tcBorders/>
            <w:shd w:fill="FFFFFF" w:val="clear"/>
            <w:vAlign w:val="center"/>
          </w:tcPr>
          <w:p>
            <w:pPr>
              <w:pStyle w:val="TableContents"/>
              <w:bidi w:val="0"/>
              <w:spacing w:before="0" w:after="283"/>
              <w:jc w:val="left"/>
              <w:rPr/>
            </w:pPr>
            <w:r>
              <w:rPr/>
              <w:t> </w:t>
            </w:r>
          </w:p>
        </w:tc>
      </w:tr>
      <w:tr>
        <w:trPr/>
        <w:tc>
          <w:tcPr>
            <w:tcW w:w="332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CECFF" w:val="clear"/>
            <w:vAlign w:val="center"/>
          </w:tcPr>
          <w:p>
            <w:pPr>
              <w:pStyle w:val="TableContents"/>
              <w:bidi w:val="0"/>
              <w:spacing w:before="0" w:after="283"/>
              <w:jc w:val="left"/>
              <w:rPr/>
            </w:pPr>
            <w:r>
              <w:rPr/>
              <w:t> </w:t>
            </w:r>
          </w:p>
        </w:tc>
        <w:tc>
          <w:tcPr>
            <w:tcW w:w="2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 held for sale</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the details of the loss on disposal of Home business:</w:t>
      </w:r>
    </w:p>
    <w:tbl>
      <w:tblPr>
        <w:tblW w:w="6713" w:type="dxa"/>
        <w:jc w:val="left"/>
        <w:tblInd w:w="0" w:type="dxa"/>
        <w:tblLayout w:type="fixed"/>
        <w:tblCellMar>
          <w:top w:w="28" w:type="dxa"/>
          <w:left w:w="28" w:type="dxa"/>
          <w:bottom w:w="28" w:type="dxa"/>
          <w:right w:w="28" w:type="dxa"/>
        </w:tblCellMar>
      </w:tblPr>
      <w:tblGrid>
        <w:gridCol w:w="4851"/>
        <w:gridCol w:w="146"/>
        <w:gridCol w:w="373"/>
        <w:gridCol w:w="932"/>
        <w:gridCol w:w="41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9,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 received (net of cash acquired):</w:t>
            </w:r>
          </w:p>
        </w:tc>
        <w:tc>
          <w:tcPr>
            <w:tcW w:w="146" w:type="dxa"/>
            <w:tcBorders/>
            <w:shd w:fill="CCECFF" w:val="clear"/>
            <w:vAlign w:val="center"/>
          </w:tcPr>
          <w:p>
            <w:pPr>
              <w:pStyle w:val="TableContents"/>
              <w:bidi w:val="0"/>
              <w:spacing w:before="0" w:after="283"/>
              <w:jc w:val="left"/>
              <w:rPr/>
            </w:pPr>
            <w:r>
              <w:rPr/>
              <w:t> </w:t>
            </w:r>
          </w:p>
        </w:tc>
        <w:tc>
          <w:tcPr>
            <w:tcW w:w="1305" w:type="dxa"/>
            <w:gridSpan w:val="2"/>
            <w:tcBorders/>
            <w:shd w:fill="CCECFF" w:val="clear"/>
            <w:vAlign w:val="center"/>
          </w:tcPr>
          <w:p>
            <w:pPr>
              <w:pStyle w:val="TableContents"/>
              <w:bidi w:val="0"/>
              <w:spacing w:before="0" w:after="283"/>
              <w:jc w:val="center"/>
              <w:rPr/>
            </w:pPr>
            <w:r>
              <w:rPr/>
              <w:t> </w:t>
            </w:r>
          </w:p>
        </w:tc>
        <w:tc>
          <w:tcPr>
            <w:tcW w:w="411" w:type="dxa"/>
            <w:tcBorders/>
            <w:shd w:fill="CCECFF" w:val="clear"/>
            <w:vAlign w:val="center"/>
          </w:tcPr>
          <w:p>
            <w:pPr>
              <w:pStyle w:val="TableContents"/>
              <w:bidi w:val="0"/>
              <w:spacing w:before="0" w:after="283"/>
              <w:ind w:left="0" w:right="0" w:firstLine="100"/>
              <w:jc w:val="center"/>
              <w:rPr/>
            </w:pPr>
            <w:r>
              <w:rPr/>
              <w:t> </w:t>
            </w:r>
          </w:p>
        </w:tc>
      </w:tr>
      <w:tr>
        <w:trPr/>
        <w:tc>
          <w:tcPr>
            <w:tcW w:w="48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Fair value of shares issued to seller</w:t>
            </w:r>
          </w:p>
        </w:tc>
        <w:tc>
          <w:tcPr>
            <w:tcW w:w="146" w:type="dxa"/>
            <w:tcBorders/>
            <w:shd w:fill="FFFFFF" w:val="cle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disposal consideration</w:t>
            </w:r>
          </w:p>
        </w:tc>
        <w:tc>
          <w:tcPr>
            <w:tcW w:w="146" w:type="dxa"/>
            <w:tcBorders/>
            <w:shd w:fill="CCECFF" w:val="clear"/>
            <w:vAlign w:val="center"/>
          </w:tcPr>
          <w:p>
            <w:pPr>
              <w:pStyle w:val="TableContents"/>
              <w:bidi w:val="0"/>
              <w:spacing w:before="0" w:after="283"/>
              <w:jc w:val="left"/>
              <w:rPr/>
            </w:pPr>
            <w:r>
              <w:rPr/>
              <w:t> </w:t>
            </w:r>
          </w:p>
        </w:tc>
        <w:tc>
          <w:tcPr>
            <w:tcW w:w="373"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shd w:fill="CCECFF" w:val="clear"/>
            <w:vAlign w:val="center"/>
          </w:tcPr>
          <w:p>
            <w:pPr>
              <w:pStyle w:val="TableContents"/>
              <w:bidi w:val="0"/>
              <w:spacing w:before="0" w:after="283"/>
              <w:ind w:left="0" w:right="0" w:firstLine="100"/>
              <w:jc w:val="left"/>
              <w:rPr/>
            </w:pPr>
            <w:r>
              <w:rPr/>
              <w:t> </w:t>
            </w:r>
          </w:p>
        </w:tc>
      </w:tr>
      <w:tr>
        <w:trPr/>
        <w:tc>
          <w:tcPr>
            <w:tcW w:w="48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Carrying value of net assets sold</w:t>
            </w:r>
          </w:p>
        </w:tc>
        <w:tc>
          <w:tcPr>
            <w:tcW w:w="146" w:type="dxa"/>
            <w:tcBorders/>
            <w:shd w:fill="FFFFFF" w:val="cle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Loss on disposal of Home business before income taxes </w:t>
              <w:br/>
              <w:t>   and reclassification of foreign currency translation</w:t>
            </w:r>
          </w:p>
        </w:tc>
        <w:tc>
          <w:tcPr>
            <w:tcW w:w="146" w:type="dxa"/>
            <w:tcBorders/>
            <w:shd w:fill="CCECFF" w:val="clear"/>
            <w:vAlign w:val="center"/>
          </w:tcPr>
          <w:p>
            <w:pPr>
              <w:pStyle w:val="TableContents"/>
              <w:bidi w:val="0"/>
              <w:spacing w:before="0" w:after="283"/>
              <w:jc w:val="left"/>
              <w:rPr/>
            </w:pPr>
            <w:r>
              <w:rPr/>
              <w:t> </w:t>
            </w:r>
          </w:p>
        </w:tc>
        <w:tc>
          <w:tcPr>
            <w:tcW w:w="373"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41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Reclassification of foreign currency translation</w:t>
            </w:r>
          </w:p>
        </w:tc>
        <w:tc>
          <w:tcPr>
            <w:tcW w:w="146" w:type="dxa"/>
            <w:tcBorders/>
            <w:shd w:fill="FFFFFF" w:val="cle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disposal of Home business before income taxes</w:t>
            </w:r>
          </w:p>
        </w:tc>
        <w:tc>
          <w:tcPr>
            <w:tcW w:w="146" w:type="dxa"/>
            <w:tcBorders/>
            <w:shd w:fill="CCECFF" w:val="clear"/>
            <w:vAlign w:val="center"/>
          </w:tcPr>
          <w:p>
            <w:pPr>
              <w:pStyle w:val="TableContents"/>
              <w:bidi w:val="0"/>
              <w:spacing w:before="0" w:after="283"/>
              <w:jc w:val="left"/>
              <w:rPr/>
            </w:pPr>
            <w:r>
              <w:rPr/>
              <w:t> </w:t>
            </w:r>
          </w:p>
        </w:tc>
        <w:tc>
          <w:tcPr>
            <w:tcW w:w="373"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41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disposal of Home business, net of income taxes</w:t>
            </w:r>
          </w:p>
        </w:tc>
        <w:tc>
          <w:tcPr>
            <w:tcW w:w="146" w:type="dxa"/>
            <w:tcBorders/>
            <w:shd w:fill="CCECFF" w:val="clear"/>
            <w:vAlign w:val="center"/>
          </w:tcPr>
          <w:p>
            <w:pPr>
              <w:pStyle w:val="TableContents"/>
              <w:bidi w:val="0"/>
              <w:spacing w:before="0" w:after="283"/>
              <w:jc w:val="left"/>
              <w:rPr/>
            </w:pPr>
            <w:r>
              <w:rPr/>
              <w:t> </w:t>
            </w:r>
          </w:p>
        </w:tc>
        <w:tc>
          <w:tcPr>
            <w:tcW w:w="3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cash flows related to discontinued operations have not been segregated in the Condensed Consolidated Statements of Cash Flows, and accordingly, they include the results from continuing and discontinued operations. The following table summarizes significant non-cash operating items of the discontinued operations included in the Condensed Consolidated Statements of Cash Flows:</w:t>
      </w:r>
    </w:p>
    <w:tbl>
      <w:tblPr>
        <w:tblW w:w="5124" w:type="dxa"/>
        <w:jc w:val="left"/>
        <w:tblInd w:w="0" w:type="dxa"/>
        <w:tblLayout w:type="fixed"/>
        <w:tblCellMar>
          <w:top w:w="28" w:type="dxa"/>
          <w:left w:w="28" w:type="dxa"/>
          <w:bottom w:w="28" w:type="dxa"/>
          <w:right w:w="28" w:type="dxa"/>
        </w:tblCellMar>
      </w:tblPr>
      <w:tblGrid>
        <w:gridCol w:w="3041"/>
        <w:gridCol w:w="146"/>
        <w:gridCol w:w="211"/>
        <w:gridCol w:w="466"/>
        <w:gridCol w:w="146"/>
        <w:gridCol w:w="146"/>
        <w:gridCol w:w="211"/>
        <w:gridCol w:w="466"/>
        <w:gridCol w:w="291"/>
      </w:tblGrid>
      <w:tr>
        <w:trP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91" w:type="dxa"/>
            <w:tcBorders/>
            <w:shd w:fill="FFFFFF" w:val="clear"/>
            <w:vAlign w:val="center"/>
          </w:tcPr>
          <w:p>
            <w:pPr>
              <w:pStyle w:val="TableContents"/>
              <w:bidi w:val="0"/>
              <w:spacing w:before="0" w:after="283"/>
              <w:jc w:val="center"/>
              <w:rPr/>
            </w:pPr>
            <w:r>
              <w:rPr/>
              <w:t> </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04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on disposal of Home business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vAlign w:val="center"/>
          </w:tcPr>
          <w:p>
            <w:pPr>
              <w:pStyle w:val="TableContents"/>
              <w:bidi w:val="0"/>
              <w:spacing w:before="0" w:after="283"/>
              <w:jc w:val="right"/>
              <w:rPr>
                <w:color w:val="000000"/>
              </w:rPr>
            </w:pPr>
            <w:r>
              <w:rPr>
                <w:color w:val="000000"/>
              </w:rPr>
              <w:t>—</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30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GOODWILL</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activity in goodwill by reportable segment:</w:t>
      </w:r>
    </w:p>
    <w:tbl>
      <w:tblPr>
        <w:tblW w:w="10205" w:type="dxa"/>
        <w:jc w:val="left"/>
        <w:tblInd w:w="0" w:type="dxa"/>
        <w:tblLayout w:type="fixed"/>
        <w:tblCellMar>
          <w:top w:w="28" w:type="dxa"/>
          <w:left w:w="28" w:type="dxa"/>
          <w:bottom w:w="28" w:type="dxa"/>
          <w:right w:w="28" w:type="dxa"/>
        </w:tblCellMar>
      </w:tblPr>
      <w:tblGrid>
        <w:gridCol w:w="571"/>
        <w:gridCol w:w="146"/>
        <w:gridCol w:w="211"/>
        <w:gridCol w:w="721"/>
        <w:gridCol w:w="146"/>
        <w:gridCol w:w="146"/>
        <w:gridCol w:w="283"/>
        <w:gridCol w:w="1050"/>
        <w:gridCol w:w="166"/>
        <w:gridCol w:w="146"/>
        <w:gridCol w:w="211"/>
        <w:gridCol w:w="721"/>
        <w:gridCol w:w="146"/>
        <w:gridCol w:w="146"/>
        <w:gridCol w:w="311"/>
        <w:gridCol w:w="776"/>
        <w:gridCol w:w="166"/>
        <w:gridCol w:w="146"/>
        <w:gridCol w:w="211"/>
        <w:gridCol w:w="721"/>
        <w:gridCol w:w="146"/>
        <w:gridCol w:w="146"/>
        <w:gridCol w:w="283"/>
        <w:gridCol w:w="1050"/>
        <w:gridCol w:w="166"/>
        <w:gridCol w:w="146"/>
        <w:gridCol w:w="211"/>
        <w:gridCol w:w="721"/>
        <w:gridCol w:w="195"/>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Activity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 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Impairment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Foreign Exchange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Impairment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CCS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2,130.4</w:t>
            </w:r>
          </w:p>
        </w:tc>
        <w:tc>
          <w:tcPr>
            <w:tcW w:w="195" w:type="dxa"/>
            <w:tcBorders/>
            <w:shd w:fill="CCECFF" w:val="clear"/>
            <w:vAlign w:val="center"/>
          </w:tcPr>
          <w:p>
            <w:pPr>
              <w:pStyle w:val="TableContents"/>
              <w:bidi w:val="0"/>
              <w:spacing w:before="0" w:after="283"/>
              <w:jc w:val="left"/>
              <w:rPr/>
            </w:pPr>
            <w:r>
              <w:rPr/>
              <w:t> </w:t>
            </w:r>
          </w:p>
        </w:tc>
      </w:tr>
      <w:tr>
        <w:trPr/>
        <w:tc>
          <w:tcPr>
            <w:tcW w:w="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w:t>
            </w:r>
          </w:p>
        </w:tc>
        <w:tc>
          <w:tcPr>
            <w:tcW w:w="195" w:type="dxa"/>
            <w:tcBorders/>
            <w:shd w:fill="FFFFFF" w:val="clear"/>
            <w:vAlign w:val="center"/>
          </w:tcPr>
          <w:p>
            <w:pPr>
              <w:pStyle w:val="TableContents"/>
              <w:bidi w:val="0"/>
              <w:spacing w:before="0" w:after="283"/>
              <w:jc w:val="left"/>
              <w:rPr/>
            </w:pPr>
            <w:r>
              <w:rPr/>
              <w:t> </w:t>
            </w:r>
          </w:p>
        </w:tc>
      </w:tr>
      <w:tr>
        <w:trPr/>
        <w:tc>
          <w:tcPr>
            <w:tcW w:w="5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3" w:type="dxa"/>
            <w:tcBorders/>
            <w:shd w:fill="CCECFF" w:val="clear"/>
            <w:vAlign w:val="center"/>
          </w:tcPr>
          <w:p>
            <w:pPr>
              <w:pStyle w:val="TableContents"/>
              <w:bidi w:val="0"/>
              <w:spacing w:before="0" w:after="283"/>
              <w:jc w:val="left"/>
              <w:rPr/>
            </w:pPr>
            <w:r>
              <w:rPr/>
              <w:t> </w:t>
            </w:r>
          </w:p>
        </w:tc>
        <w:tc>
          <w:tcPr>
            <w:tcW w:w="105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11" w:type="dxa"/>
            <w:tcBorders/>
            <w:shd w:fill="CCECFF" w:val="clear"/>
            <w:vAlign w:val="center"/>
          </w:tcPr>
          <w:p>
            <w:pPr>
              <w:pStyle w:val="TableContents"/>
              <w:bidi w:val="0"/>
              <w:spacing w:before="0" w:after="283"/>
              <w:jc w:val="left"/>
              <w:rPr/>
            </w:pPr>
            <w:r>
              <w:rPr/>
              <w:t> </w:t>
            </w:r>
          </w:p>
        </w:tc>
        <w:tc>
          <w:tcPr>
            <w:tcW w:w="7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3" w:type="dxa"/>
            <w:tcBorders/>
            <w:shd w:fill="CCECFF" w:val="clear"/>
            <w:vAlign w:val="center"/>
          </w:tcPr>
          <w:p>
            <w:pPr>
              <w:pStyle w:val="TableContents"/>
              <w:bidi w:val="0"/>
              <w:spacing w:before="0" w:after="283"/>
              <w:jc w:val="left"/>
              <w:rPr/>
            </w:pPr>
            <w:r>
              <w:rPr/>
              <w:t> </w:t>
            </w:r>
          </w:p>
        </w:tc>
        <w:tc>
          <w:tcPr>
            <w:tcW w:w="105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w:t>
            </w:r>
          </w:p>
        </w:tc>
        <w:tc>
          <w:tcPr>
            <w:tcW w:w="195" w:type="dxa"/>
            <w:tcBorders/>
            <w:shd w:fill="CCECFF" w:val="clear"/>
            <w:vAlign w:val="center"/>
          </w:tcPr>
          <w:p>
            <w:pPr>
              <w:pStyle w:val="TableContents"/>
              <w:bidi w:val="0"/>
              <w:spacing w:before="0" w:after="283"/>
              <w:jc w:val="left"/>
              <w:rPr/>
            </w:pPr>
            <w:r>
              <w:rPr/>
              <w:t> </w:t>
            </w:r>
          </w:p>
        </w:tc>
      </w:tr>
      <w:tr>
        <w:trPr/>
        <w:tc>
          <w:tcPr>
            <w:tcW w:w="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3,500.4</w:t>
            </w:r>
          </w:p>
        </w:tc>
        <w:tc>
          <w:tcPr>
            <w:tcW w:w="19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at December 31, 2023 reflects the reorganization of the Company's segment structure, as disclosed in Note 1. As a result of the new segment structure and certain other intrasegment realignments, as of January 1, 2024, the Company assessed goodwill for impairment due to changes in the composition of certain reporting units. The Company performed impairment testing immediately before the change and after the change once goodwill was reallocated and determined that no goodwill impairment existed.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REVENUE FROM CONTRACTS WITH CUSTOMERS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8 for the presentation of net sales by segment and geographic region.</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Allowance for Doubtful Accounts</w:t>
      </w:r>
    </w:p>
    <w:tbl>
      <w:tblPr>
        <w:tblW w:w="6509" w:type="dxa"/>
        <w:jc w:val="left"/>
        <w:tblInd w:w="0" w:type="dxa"/>
        <w:tblLayout w:type="fixed"/>
        <w:tblCellMar>
          <w:top w:w="28" w:type="dxa"/>
          <w:left w:w="28" w:type="dxa"/>
          <w:bottom w:w="28" w:type="dxa"/>
          <w:right w:w="28" w:type="dxa"/>
        </w:tblCellMar>
      </w:tblPr>
      <w:tblGrid>
        <w:gridCol w:w="4486"/>
        <w:gridCol w:w="146"/>
        <w:gridCol w:w="211"/>
        <w:gridCol w:w="466"/>
        <w:gridCol w:w="166"/>
        <w:gridCol w:w="146"/>
        <w:gridCol w:w="211"/>
        <w:gridCol w:w="466"/>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shd w:fill="FFFFFF" w:val="cle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11" w:type="dxa"/>
            <w:tcBorders/>
            <w:shd w:fill="CCECFF"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 end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Customer Contract Balances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the balance sheet location and amounts of contract assets, or unbilled accounts receivable, and contract liabilities, or deferred revenue, from contracts with customers:</w:t>
      </w:r>
    </w:p>
    <w:tbl>
      <w:tblPr>
        <w:tblW w:w="10205" w:type="dxa"/>
        <w:jc w:val="left"/>
        <w:tblInd w:w="0" w:type="dxa"/>
        <w:tblLayout w:type="fixed"/>
        <w:tblCellMar>
          <w:top w:w="28" w:type="dxa"/>
          <w:left w:w="28" w:type="dxa"/>
          <w:bottom w:w="28" w:type="dxa"/>
          <w:right w:w="28" w:type="dxa"/>
        </w:tblCellMar>
      </w:tblPr>
      <w:tblGrid>
        <w:gridCol w:w="2427"/>
        <w:gridCol w:w="146"/>
        <w:gridCol w:w="4662"/>
        <w:gridCol w:w="146"/>
        <w:gridCol w:w="240"/>
        <w:gridCol w:w="650"/>
        <w:gridCol w:w="146"/>
        <w:gridCol w:w="146"/>
        <w:gridCol w:w="389"/>
        <w:gridCol w:w="1059"/>
        <w:gridCol w:w="194"/>
      </w:tblGrid>
      <w:tr>
        <w:trPr/>
        <w:tc>
          <w:tcPr>
            <w:tcW w:w="2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Balance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7"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accounts receivable</w:t>
            </w:r>
          </w:p>
        </w:tc>
        <w:tc>
          <w:tcPr>
            <w:tcW w:w="146" w:type="dxa"/>
            <w:tcBorders/>
            <w:shd w:fill="CCECFF" w:val="clear"/>
            <w:vAlign w:val="center"/>
          </w:tcPr>
          <w:p>
            <w:pPr>
              <w:pStyle w:val="TableContents"/>
              <w:bidi w:val="0"/>
              <w:spacing w:before="0" w:after="283"/>
              <w:jc w:val="left"/>
              <w:rPr/>
            </w:pPr>
            <w:r>
              <w:rPr/>
              <w:t> </w:t>
            </w:r>
          </w:p>
        </w:tc>
        <w:tc>
          <w:tcPr>
            <w:tcW w:w="4662"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of allowance for doubtful accounts</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89"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94" w:type="dxa"/>
            <w:tcBorders/>
            <w:shd w:fill="CCECFF" w:val="clear"/>
            <w:vAlign w:val="center"/>
          </w:tcPr>
          <w:p>
            <w:pPr>
              <w:pStyle w:val="TableContents"/>
              <w:bidi w:val="0"/>
              <w:spacing w:before="0" w:after="283"/>
              <w:jc w:val="left"/>
              <w:rPr/>
            </w:pPr>
            <w:r>
              <w:rPr/>
              <w:t> </w:t>
            </w:r>
          </w:p>
        </w:tc>
      </w:tr>
      <w:tr>
        <w:trPr/>
        <w:tc>
          <w:tcPr>
            <w:tcW w:w="24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8"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2427"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current</w:t>
            </w:r>
          </w:p>
        </w:tc>
        <w:tc>
          <w:tcPr>
            <w:tcW w:w="146" w:type="dxa"/>
            <w:tcBorders/>
            <w:shd w:fill="CCECFF" w:val="clear"/>
            <w:vAlign w:val="center"/>
          </w:tcPr>
          <w:p>
            <w:pPr>
              <w:pStyle w:val="TableContents"/>
              <w:bidi w:val="0"/>
              <w:spacing w:before="0" w:after="283"/>
              <w:jc w:val="left"/>
              <w:rPr/>
            </w:pPr>
            <w:r>
              <w:rPr/>
              <w:t> </w:t>
            </w:r>
          </w:p>
        </w:tc>
        <w:tc>
          <w:tcPr>
            <w:tcW w:w="4662"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89"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94" w:type="dxa"/>
            <w:tcBorders/>
            <w:shd w:fill="CCECFF" w:val="clear"/>
            <w:vAlign w:val="center"/>
          </w:tcPr>
          <w:p>
            <w:pPr>
              <w:pStyle w:val="TableContents"/>
              <w:bidi w:val="0"/>
              <w:spacing w:before="0" w:after="283"/>
              <w:jc w:val="left"/>
              <w:rPr/>
            </w:pPr>
            <w:r>
              <w:rPr/>
              <w:t> </w:t>
            </w:r>
          </w:p>
        </w:tc>
      </w:tr>
      <w:tr>
        <w:trPr/>
        <w:tc>
          <w:tcPr>
            <w:tcW w:w="24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noncurrent</w:t>
            </w:r>
          </w:p>
        </w:tc>
        <w:tc>
          <w:tcPr>
            <w:tcW w:w="146" w:type="dxa"/>
            <w:tcBorders/>
            <w:shd w:fill="FFFFFF" w:val="clear"/>
            <w:vAlign w:val="center"/>
          </w:tcPr>
          <w:p>
            <w:pPr>
              <w:pStyle w:val="TableContents"/>
              <w:bidi w:val="0"/>
              <w:spacing w:before="0" w:after="283"/>
              <w:jc w:val="left"/>
              <w:rPr/>
            </w:pPr>
            <w:r>
              <w:rPr/>
              <w:t> </w:t>
            </w:r>
          </w:p>
        </w:tc>
        <w:tc>
          <w:tcPr>
            <w:tcW w:w="4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7"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contract liabilities</w:t>
            </w:r>
          </w:p>
        </w:tc>
        <w:tc>
          <w:tcPr>
            <w:tcW w:w="146" w:type="dxa"/>
            <w:tcBorders/>
            <w:shd w:fill="CCECFF" w:val="clear"/>
            <w:vAlign w:val="center"/>
          </w:tcPr>
          <w:p>
            <w:pPr>
              <w:pStyle w:val="TableContents"/>
              <w:bidi w:val="0"/>
              <w:spacing w:before="0" w:after="283"/>
              <w:jc w:val="left"/>
              <w:rPr/>
            </w:pPr>
            <w:r>
              <w:rPr/>
              <w:t> </w:t>
            </w:r>
          </w:p>
        </w:tc>
        <w:tc>
          <w:tcPr>
            <w:tcW w:w="46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9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material changes to contract asset balances for the three months ended March 31, 2024 as a result of changes in estimates or impairments. The change in the contract liability balance from December 31, 2023 to March 31, 2024 was primarily due to upfront support billings to be recognized over the support term. During the three months ended March 31, 2024, the Company recognized $30.1 million of revenue related to contract liabilities recorded as of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SUPPLEMENTAL FINANCIAL STATEMENT INFORMATION</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Accounts Receivable</w:t>
      </w:r>
    </w:p>
    <w:tbl>
      <w:tblPr>
        <w:tblW w:w="5485" w:type="dxa"/>
        <w:jc w:val="left"/>
        <w:tblInd w:w="0" w:type="dxa"/>
        <w:tblLayout w:type="fixed"/>
        <w:tblCellMar>
          <w:top w:w="28" w:type="dxa"/>
          <w:left w:w="28" w:type="dxa"/>
          <w:bottom w:w="28" w:type="dxa"/>
          <w:right w:w="28" w:type="dxa"/>
        </w:tblCellMar>
      </w:tblPr>
      <w:tblGrid>
        <w:gridCol w:w="2776"/>
        <w:gridCol w:w="146"/>
        <w:gridCol w:w="243"/>
        <w:gridCol w:w="657"/>
        <w:gridCol w:w="166"/>
        <w:gridCol w:w="146"/>
        <w:gridCol w:w="306"/>
        <w:gridCol w:w="834"/>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trade</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w:t>
            </w:r>
          </w:p>
        </w:tc>
        <w:tc>
          <w:tcPr>
            <w:tcW w:w="211" w:type="dxa"/>
            <w:tcBorders/>
            <w:shd w:fill="CCECFF"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other</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CECFF" w:val="clear"/>
            <w:vAlign w:val="center"/>
          </w:tcPr>
          <w:p>
            <w:pPr>
              <w:pStyle w:val="TableContents"/>
              <w:bidi w:val="0"/>
              <w:spacing w:before="0" w:after="283"/>
              <w:jc w:val="left"/>
              <w:rPr/>
            </w:pPr>
            <w:r>
              <w:rPr/>
              <w:t> </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3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Inventories</w:t>
      </w:r>
    </w:p>
    <w:tbl>
      <w:tblPr>
        <w:tblW w:w="4562" w:type="dxa"/>
        <w:jc w:val="left"/>
        <w:tblInd w:w="0" w:type="dxa"/>
        <w:tblLayout w:type="fixed"/>
        <w:tblCellMar>
          <w:top w:w="28" w:type="dxa"/>
          <w:left w:w="28" w:type="dxa"/>
          <w:bottom w:w="28" w:type="dxa"/>
          <w:right w:w="28" w:type="dxa"/>
        </w:tblCellMar>
      </w:tblPr>
      <w:tblGrid>
        <w:gridCol w:w="1861"/>
        <w:gridCol w:w="146"/>
        <w:gridCol w:w="211"/>
        <w:gridCol w:w="721"/>
        <w:gridCol w:w="146"/>
        <w:gridCol w:w="146"/>
        <w:gridCol w:w="258"/>
        <w:gridCol w:w="882"/>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91" w:type="dxa"/>
            <w:tcBorders/>
            <w:shd w:fill="CCECFF"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91" w:type="dxa"/>
            <w:tcBorders/>
            <w:shd w:fill="FFFFFF" w:val="clear"/>
            <w:vAlign w:val="center"/>
          </w:tcPr>
          <w:p>
            <w:pPr>
              <w:pStyle w:val="TableContents"/>
              <w:bidi w:val="0"/>
              <w:spacing w:before="0" w:after="283"/>
              <w:jc w:val="left"/>
              <w:rPr/>
            </w:pPr>
            <w:r>
              <w:rPr/>
              <w:t> </w:t>
            </w:r>
          </w:p>
        </w:tc>
      </w:tr>
      <w:tr>
        <w:trPr/>
        <w:tc>
          <w:tcPr>
            <w:tcW w:w="18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Accrued and Other Liabilities</w:t>
      </w:r>
    </w:p>
    <w:tbl>
      <w:tblPr>
        <w:tblW w:w="6600" w:type="dxa"/>
        <w:jc w:val="left"/>
        <w:tblInd w:w="0" w:type="dxa"/>
        <w:tblLayout w:type="fixed"/>
        <w:tblCellMar>
          <w:top w:w="28" w:type="dxa"/>
          <w:left w:w="28" w:type="dxa"/>
          <w:bottom w:w="28" w:type="dxa"/>
          <w:right w:w="28" w:type="dxa"/>
        </w:tblCellMar>
      </w:tblPr>
      <w:tblGrid>
        <w:gridCol w:w="3931"/>
        <w:gridCol w:w="146"/>
        <w:gridCol w:w="243"/>
        <w:gridCol w:w="657"/>
        <w:gridCol w:w="146"/>
        <w:gridCol w:w="146"/>
        <w:gridCol w:w="306"/>
        <w:gridCol w:w="834"/>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employee benefit liabilities</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91" w:type="dxa"/>
            <w:tcBorders/>
            <w:shd w:fill="CCECFF"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pPr>
            <w:r>
              <w:rPr/>
              <w:t> </w:t>
            </w:r>
          </w:p>
        </w:tc>
        <w:tc>
          <w:tcPr>
            <w:tcW w:w="65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6"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91" w:type="dxa"/>
            <w:tcBorders/>
            <w:shd w:fill="CCECFF"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accrual</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pPr>
            <w:r>
              <w:rPr/>
              <w:t> </w:t>
            </w:r>
          </w:p>
        </w:tc>
        <w:tc>
          <w:tcPr>
            <w:tcW w:w="65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6"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shd w:fill="CCECFF"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liabilities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CECFF" w:val="clear"/>
            <w:vAlign w:val="center"/>
          </w:tcPr>
          <w:p>
            <w:pPr>
              <w:pStyle w:val="TableContents"/>
              <w:bidi w:val="0"/>
              <w:spacing w:before="0" w:after="283"/>
              <w:jc w:val="left"/>
              <w:rPr/>
            </w:pPr>
            <w:r>
              <w:rPr/>
              <w:t> </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and other liabilities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Lease Information</w:t>
      </w:r>
    </w:p>
    <w:p>
      <w:pPr>
        <w:pStyle w:val="TextBody"/>
        <w:bidi w:val="0"/>
        <w:jc w:val="left"/>
        <w:rPr/>
      </w:pPr>
      <w:r>
        <w:rPr/>
        <w:t> </w:t>
      </w:r>
    </w:p>
    <w:tbl>
      <w:tblPr>
        <w:tblW w:w="7591" w:type="dxa"/>
        <w:jc w:val="left"/>
        <w:tblInd w:w="0" w:type="dxa"/>
        <w:tblLayout w:type="fixed"/>
        <w:tblCellMar>
          <w:top w:w="28" w:type="dxa"/>
          <w:left w:w="28" w:type="dxa"/>
          <w:bottom w:w="28" w:type="dxa"/>
          <w:right w:w="28" w:type="dxa"/>
        </w:tblCellMar>
      </w:tblPr>
      <w:tblGrid>
        <w:gridCol w:w="2446"/>
        <w:gridCol w:w="2476"/>
        <w:gridCol w:w="146"/>
        <w:gridCol w:w="243"/>
        <w:gridCol w:w="657"/>
        <w:gridCol w:w="146"/>
        <w:gridCol w:w="146"/>
        <w:gridCol w:w="306"/>
        <w:gridCol w:w="834"/>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pPr>
            <w:r>
              <w:rPr/>
              <w:t> </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247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noncurrent assets</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91" w:type="dxa"/>
            <w:tcBorders/>
            <w:shd w:fill="CCEC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current</w:t>
            </w:r>
          </w:p>
        </w:tc>
        <w:tc>
          <w:tcPr>
            <w:tcW w:w="247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and other liabilities</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91" w:type="dxa"/>
            <w:tcBorders/>
            <w:shd w:fill="CCEC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noncurrent</w:t>
            </w:r>
          </w:p>
        </w:tc>
        <w:tc>
          <w:tcPr>
            <w:tcW w:w="24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47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00"/>
        <w:jc w:val="left"/>
        <w:rPr>
          <w:rFonts w:ascii="Times New Roman" w:hAnsi="Times New Roman"/>
          <w:b/>
          <w:color w:val="000000"/>
          <w:sz w:val="20"/>
        </w:rPr>
      </w:pPr>
      <w:r>
        <w:rPr>
          <w:rFonts w:ascii="Times New Roman" w:hAnsi="Times New Roman"/>
          <w:b/>
          <w:color w:val="000000"/>
          <w:sz w:val="20"/>
        </w:rPr>
        <w:t>Accumulated Other Comprehensive Loss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presents changes in accumulated other comprehensive loss (AOCL), net of tax:</w:t>
      </w:r>
    </w:p>
    <w:tbl>
      <w:tblPr>
        <w:tblW w:w="5324" w:type="dxa"/>
        <w:jc w:val="left"/>
        <w:tblInd w:w="0" w:type="dxa"/>
        <w:tblLayout w:type="fixed"/>
        <w:tblCellMar>
          <w:top w:w="28" w:type="dxa"/>
          <w:left w:w="28" w:type="dxa"/>
          <w:bottom w:w="28" w:type="dxa"/>
          <w:right w:w="28" w:type="dxa"/>
        </w:tblCellMar>
      </w:tblPr>
      <w:tblGrid>
        <w:gridCol w:w="2971"/>
        <w:gridCol w:w="146"/>
        <w:gridCol w:w="211"/>
        <w:gridCol w:w="631"/>
        <w:gridCol w:w="166"/>
        <w:gridCol w:w="146"/>
        <w:gridCol w:w="211"/>
        <w:gridCol w:w="631"/>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shd w:fill="FFFFFF" w:val="cle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C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Foreign currency translation</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11" w:type="dxa"/>
            <w:tcBorders/>
            <w:shd w:fill="CCEC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971" w:type="dxa"/>
            <w:tcBorders/>
            <w:shd w:fill="CCEC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Defined benefit plan activity</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Hedging instruments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9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AOCL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the amount reclassified from net AOCL related to foreign currency translation was recorded in the loss on disposal of the Home business, included in loss from discontinued operations, net of income taxes, on the Condensed Consolidated Statements of Operations.</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Cash Flow Information</w:t>
      </w:r>
    </w:p>
    <w:tbl>
      <w:tblPr>
        <w:tblW w:w="5989" w:type="dxa"/>
        <w:jc w:val="left"/>
        <w:tblInd w:w="0" w:type="dxa"/>
        <w:tblLayout w:type="fixed"/>
        <w:tblCellMar>
          <w:top w:w="28" w:type="dxa"/>
          <w:left w:w="28" w:type="dxa"/>
          <w:bottom w:w="28" w:type="dxa"/>
          <w:right w:w="28" w:type="dxa"/>
        </w:tblCellMar>
      </w:tblPr>
      <w:tblGrid>
        <w:gridCol w:w="3796"/>
        <w:gridCol w:w="146"/>
        <w:gridCol w:w="211"/>
        <w:gridCol w:w="571"/>
        <w:gridCol w:w="146"/>
        <w:gridCol w:w="146"/>
        <w:gridCol w:w="211"/>
        <w:gridCol w:w="57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shd w:fill="FFFFFF" w:val="cle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taxes, net of refunds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91" w:type="dxa"/>
            <w:tcBorders/>
            <w:shd w:fill="CCECFF"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 method investment from divestiture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191"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6. FINANCING</w:t>
      </w:r>
    </w:p>
    <w:tbl>
      <w:tblPr>
        <w:tblW w:w="6837" w:type="dxa"/>
        <w:jc w:val="left"/>
        <w:tblInd w:w="0" w:type="dxa"/>
        <w:tblLayout w:type="fixed"/>
        <w:tblCellMar>
          <w:top w:w="28" w:type="dxa"/>
          <w:left w:w="28" w:type="dxa"/>
          <w:bottom w:w="28" w:type="dxa"/>
          <w:right w:w="28" w:type="dxa"/>
        </w:tblCellMar>
      </w:tblPr>
      <w:tblGrid>
        <w:gridCol w:w="4096"/>
        <w:gridCol w:w="146"/>
        <w:gridCol w:w="211"/>
        <w:gridCol w:w="721"/>
        <w:gridCol w:w="166"/>
        <w:gridCol w:w="146"/>
        <w:gridCol w:w="258"/>
        <w:gridCol w:w="882"/>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7.125% senior notes due July 2028</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211" w:type="dxa"/>
            <w:tcBorders/>
            <w:shd w:fill="CCEC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 senior notes due March 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11" w:type="dxa"/>
            <w:tcBorders/>
            <w:shd w:fill="FFFFFF" w:val="clear"/>
            <w:vAlign w:val="center"/>
          </w:tcPr>
          <w:p>
            <w:pPr>
              <w:pStyle w:val="TableContents"/>
              <w:bidi w:val="0"/>
              <w:spacing w:before="0" w:after="283"/>
              <w:jc w:val="left"/>
              <w:rPr/>
            </w:pPr>
            <w:r>
              <w:rPr/>
              <w:t> </w:t>
            </w:r>
          </w:p>
        </w:tc>
      </w:tr>
      <w:tr>
        <w:trPr/>
        <w:tc>
          <w:tcPr>
            <w:tcW w:w="40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8.25% senior notes due March 2027</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211" w:type="dxa"/>
            <w:tcBorders/>
            <w:shd w:fill="CCEC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 senior notes due June 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w:t>
            </w:r>
          </w:p>
        </w:tc>
        <w:tc>
          <w:tcPr>
            <w:tcW w:w="211" w:type="dxa"/>
            <w:tcBorders/>
            <w:shd w:fill="FFFFFF" w:val="clear"/>
            <w:vAlign w:val="center"/>
          </w:tcPr>
          <w:p>
            <w:pPr>
              <w:pStyle w:val="TableContents"/>
              <w:bidi w:val="0"/>
              <w:spacing w:before="0" w:after="283"/>
              <w:jc w:val="left"/>
              <w:rPr/>
            </w:pPr>
            <w:r>
              <w:rPr/>
              <w:t> </w:t>
            </w:r>
          </w:p>
        </w:tc>
      </w:tr>
      <w:tr>
        <w:trPr/>
        <w:tc>
          <w:tcPr>
            <w:tcW w:w="40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4.75% senior secured notes due September 2029</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211" w:type="dxa"/>
            <w:tcBorders/>
            <w:shd w:fill="CCEC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 senior secured notes due March 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211" w:type="dxa"/>
            <w:tcBorders/>
            <w:shd w:fill="FFFFFF" w:val="clear"/>
            <w:vAlign w:val="center"/>
          </w:tcPr>
          <w:p>
            <w:pPr>
              <w:pStyle w:val="TableContents"/>
              <w:bidi w:val="0"/>
              <w:spacing w:before="0" w:after="283"/>
              <w:jc w:val="left"/>
              <w:rPr/>
            </w:pPr>
            <w:r>
              <w:rPr/>
              <w:t> </w:t>
            </w:r>
          </w:p>
        </w:tc>
      </w:tr>
      <w:tr>
        <w:trPr/>
        <w:tc>
          <w:tcPr>
            <w:tcW w:w="40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due April 2026</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3,064.0</w:t>
            </w:r>
          </w:p>
        </w:tc>
        <w:tc>
          <w:tcPr>
            <w:tcW w:w="211" w:type="dxa"/>
            <w:tcBorders/>
            <w:shd w:fill="CCEC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revolving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amount of debt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9,347.1</w:t>
            </w:r>
          </w:p>
        </w:tc>
        <w:tc>
          <w:tcPr>
            <w:tcW w:w="211" w:type="dxa"/>
            <w:tcBorders/>
            <w:shd w:fill="CCECFF"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Original issue discount, net of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issuance costs, net of amortization</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9,246.6</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8 within the Company’s audited consolidated financial statements included in the 2023 Annual Report for additional information on the terms and conditions of the Company’s debt obligations.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Senior Secured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the Company made the quarterly scheduled amortization payment of $8.0 million on the Company's senior secured term loan due 2026 (the 2026 Term Loan). The current portion of long-term debt reflects $32.0 million of repayments due under the 2026 Term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the Company did not reflect any portion of the 2026 Term Loan as a current portion of long-term debt related to the potentially required excess cash flow payment because the amount that may be payable in 2024, if any, cannot currently be reliably estimated. There is no excess cash flow payment required in 2024 related to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the Company did not borrow under the Revolving Credit Facility. As of March 31, 2024, the Company had no outstanding borrowings under the Revolving Credit Facility and had availability of $550.5 million, after giving effect to borrowing base limitations and outstanding letters of credit.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non-guarantor subsidiaries held $2,559 million, or 30%, of total assets and $629 million, or 6%, of total liabilities as of March 31, 2024 and accounted for $356 million, or 30%, of net sales for the three months ended March 31, 2024. All amounts presented exclude intercompany balances.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effective interest rate on outstanding borrowings, including the impact of the interest rate swap contracts and the amortization of debt issuance costs and original issue discount, was 7.21% and 7.22% as of March 31, 2024 and December 31,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consist primarily of cash and cash equivalents, trade receivables, trade payables, debt instruments, interest rate swap contracts and foreign currency contracts. For cash and cash equivalents, trade receivables and trade payables, the carrying amounts of these financial instruments as of March 31, 2024 and December 31, 2023 were considered representative of their fair values due to their short terms to maturity. The fair values of the Company’s debt instruments, interest rate swap contracts and foreign currency contracts were based on indicative quotes.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estimated fair values and valuation input levels of the Company’s debt instruments, interest rate swap contracts and foreign currency contracts as of March 31, 2024 and December 31, 2023, are as follows:</w:t>
      </w:r>
    </w:p>
    <w:p>
      <w:pPr>
        <w:pStyle w:val="TextBody"/>
        <w:bidi w:val="0"/>
        <w:jc w:val="left"/>
        <w:rPr/>
      </w:pPr>
      <w:r>
        <w:rPr/>
        <w:t> </w:t>
      </w:r>
    </w:p>
    <w:tbl>
      <w:tblPr>
        <w:tblW w:w="9249" w:type="dxa"/>
        <w:jc w:val="left"/>
        <w:tblInd w:w="0" w:type="dxa"/>
        <w:tblLayout w:type="fixed"/>
        <w:tblCellMar>
          <w:top w:w="28" w:type="dxa"/>
          <w:left w:w="28" w:type="dxa"/>
          <w:bottom w:w="28" w:type="dxa"/>
          <w:right w:w="28" w:type="dxa"/>
        </w:tblCellMar>
      </w:tblPr>
      <w:tblGrid>
        <w:gridCol w:w="3236"/>
        <w:gridCol w:w="246"/>
        <w:gridCol w:w="211"/>
        <w:gridCol w:w="721"/>
        <w:gridCol w:w="146"/>
        <w:gridCol w:w="146"/>
        <w:gridCol w:w="211"/>
        <w:gridCol w:w="721"/>
        <w:gridCol w:w="146"/>
        <w:gridCol w:w="146"/>
        <w:gridCol w:w="211"/>
        <w:gridCol w:w="721"/>
        <w:gridCol w:w="146"/>
        <w:gridCol w:w="146"/>
        <w:gridCol w:w="211"/>
        <w:gridCol w:w="721"/>
        <w:gridCol w:w="146"/>
        <w:gridCol w:w="146"/>
        <w:gridCol w:w="871"/>
      </w:tblGrid>
      <w:tr>
        <w:trPr/>
        <w:tc>
          <w:tcPr>
            <w:tcW w:w="32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Inputs</w:t>
            </w:r>
          </w:p>
        </w:tc>
      </w:tr>
      <w:tr>
        <w:trPr/>
        <w:tc>
          <w:tcPr>
            <w:tcW w:w="323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ind w:left="0" w:right="0" w:firstLine="100"/>
              <w:jc w:val="center"/>
              <w:rPr/>
            </w:pPr>
            <w:r>
              <w:rPr/>
              <w:t> </w:t>
            </w:r>
          </w:p>
        </w:tc>
      </w:tr>
      <w:tr>
        <w:trPr/>
        <w:tc>
          <w:tcPr>
            <w:tcW w:w="323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contracts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23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r>
      <w:tr>
        <w:trPr/>
        <w:tc>
          <w:tcPr>
            <w:tcW w:w="3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pPr>
            <w:r>
              <w:rPr/>
              <w:t> </w:t>
            </w:r>
          </w:p>
        </w:tc>
      </w:tr>
      <w:tr>
        <w:trPr/>
        <w:tc>
          <w:tcPr>
            <w:tcW w:w="323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7.125% senior notes due 2028</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2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5.00% senior notes due 2027</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236"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8.25% senior notes due 2027</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23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6.00% senior notes due 2025</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23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4.75% senior secured notes due 2029</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23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6.00% senior secured notes due 2026</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23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Senior secured term loan due 2026</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23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contracts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Level 2</w:t>
            </w:r>
          </w:p>
        </w:tc>
      </w:tr>
      <w:tr>
        <w:trPr/>
        <w:tc>
          <w:tcPr>
            <w:tcW w:w="323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1" w:type="dxa"/>
            <w:tcBorders/>
            <w:shd w:fill="CCEC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Non-Recurring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March 31, 2024, the Company recognized a loss on impairment of unutilized real estate within restructuring costs (credits), net on the Condensed Consolidated Statements of Operations. In addition, the Company recorded a loss on disposal of the Home business in loss from discontinued operations, net of income taxes on the Condensed Consolidated Statements of Operations. The fair values were determined using Level 1 and Level 3 valuation inputs which included contractual payment amounts and market comparable information. See Notes 2 and 9 in these unaudited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SEGMENTS AND 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divestiture of the Home business, the Company is reporting financial performance based on the following remaining four operating segments: CCS, OWN, NICS and ANS. As of January 1, 2024, management shifted certain product lines from the Company's CCS segment to its ANS segment to better align with how the businesses are being managed. For all periods presented, amounts have been recast to reflect these operating segment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Connectivity and Cable Solutions (CCS) segment provides fiber optic and copper connectivity and cable solutions for use in telecommunications, cable television, residential broadband networks, data centers and business enterprises.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 point to homes, businesses and cell sites.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Outdoor Wireless Networks (OWN) segment focuses on the macro and metro cell markets. The segment includes base station antennas, radio frequency (RF) filters, tower connectivity, microwave antennas, metro cell products, cabinets, steel, accessories and the wireless spectrum management business, Comsearch.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Networking, Intelligent Cellular and Security Solutions (NICS) segment provides wireless networks for enterprises and service providers. Product offerings include indoor cellular solutions such as distributed antenna systems, public key infrastructure solutions, indoor and outdoor Wi-Fi and long-term evolution (LTE) access points, access and aggregation switches; an Internet of Things suite; on-premises and cloud-based control and management systems; and software and software-as-a-service applications addressing security, location, reporting and analytics.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Access Network Solutions (ANS) segment’s product solutions include cable modem termination systems, video infrastructure, distribution and transmission equipment and cloud solutions that enable facility-based service providers to construct a state-of-the-art residential and metro distribution network.</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provides summary financial information by reportable segment:</w:t>
      </w:r>
    </w:p>
    <w:tbl>
      <w:tblPr>
        <w:tblW w:w="6292" w:type="dxa"/>
        <w:jc w:val="left"/>
        <w:tblInd w:w="0" w:type="dxa"/>
        <w:tblLayout w:type="fixed"/>
        <w:tblCellMar>
          <w:top w:w="28" w:type="dxa"/>
          <w:left w:w="28" w:type="dxa"/>
          <w:bottom w:w="28" w:type="dxa"/>
          <w:right w:w="28" w:type="dxa"/>
        </w:tblCellMar>
      </w:tblPr>
      <w:tblGrid>
        <w:gridCol w:w="3491"/>
        <w:gridCol w:w="146"/>
        <w:gridCol w:w="211"/>
        <w:gridCol w:w="721"/>
        <w:gridCol w:w="146"/>
        <w:gridCol w:w="146"/>
        <w:gridCol w:w="258"/>
        <w:gridCol w:w="882"/>
        <w:gridCol w:w="291"/>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segment-related assets:</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40" w:type="dxa"/>
            <w:gridSpan w:val="2"/>
            <w:tcBorders/>
            <w:shd w:fill="CCECFF" w:val="clear"/>
            <w:vAlign w:val="center"/>
          </w:tcPr>
          <w:p>
            <w:pPr>
              <w:pStyle w:val="TableContents"/>
              <w:bidi w:val="0"/>
              <w:spacing w:before="0" w:after="283"/>
              <w:jc w:val="left"/>
              <w:rPr/>
            </w:pPr>
            <w:r>
              <w:rPr/>
              <w:t> </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34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CCS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49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OWN</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34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NICS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49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1,957.0</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34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identifiable segment-related assets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7,820.1</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to total assets:</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40" w:type="dxa"/>
            <w:gridSpan w:val="2"/>
            <w:tcBorders/>
            <w:shd w:fill="CCECFF" w:val="clear"/>
            <w:vAlign w:val="center"/>
          </w:tcPr>
          <w:p>
            <w:pPr>
              <w:pStyle w:val="TableContents"/>
              <w:bidi w:val="0"/>
              <w:spacing w:before="0" w:after="283"/>
              <w:jc w:val="left"/>
              <w:rPr/>
            </w:pPr>
            <w:r>
              <w:rPr/>
              <w:t> </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34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49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w:t>
            </w:r>
          </w:p>
        </w:tc>
        <w:tc>
          <w:tcPr>
            <w:tcW w:w="291" w:type="dxa"/>
            <w:tcBorders/>
            <w:shd w:fill="CCECFF" w:val="clear"/>
            <w:vAlign w:val="center"/>
          </w:tcPr>
          <w:p>
            <w:pPr>
              <w:pStyle w:val="TableContents"/>
              <w:bidi w:val="0"/>
              <w:spacing w:before="0" w:after="283"/>
              <w:ind w:left="0" w:right="0" w:firstLine="100"/>
              <w:jc w:val="left"/>
              <w:rPr/>
            </w:pPr>
            <w:r>
              <w:rPr/>
              <w:t> </w:t>
            </w:r>
          </w:p>
        </w:tc>
      </w:tr>
      <w:tr>
        <w:trPr/>
        <w:tc>
          <w:tcPr>
            <w:tcW w:w="34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Home business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49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Home business assets line item above reflects certain assets retained by the Company related to the Home business, with the primary asset being net inventory in the amount of $60.8 million and $88.0 million as of March 31, 2024 and December 31, 2023, respectively. The Company entered into the Vantiva Supply Agreement, whereby the Company will sell the retained inventory to Vantiva at cost, or market price if below cost, for a period of two years following the close of the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core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net sales, adjusted EBITDA, depreciation expense and additions to property, plant and equipment by reportable segment:</w:t>
      </w:r>
    </w:p>
    <w:tbl>
      <w:tblPr>
        <w:tblW w:w="7754" w:type="dxa"/>
        <w:jc w:val="left"/>
        <w:tblInd w:w="0" w:type="dxa"/>
        <w:tblLayout w:type="fixed"/>
        <w:tblCellMar>
          <w:top w:w="28" w:type="dxa"/>
          <w:left w:w="28" w:type="dxa"/>
          <w:bottom w:w="28" w:type="dxa"/>
          <w:right w:w="28" w:type="dxa"/>
        </w:tblCellMar>
      </w:tblPr>
      <w:tblGrid>
        <w:gridCol w:w="4741"/>
        <w:gridCol w:w="246"/>
        <w:gridCol w:w="211"/>
        <w:gridCol w:w="721"/>
        <w:gridCol w:w="266"/>
        <w:gridCol w:w="246"/>
        <w:gridCol w:w="211"/>
        <w:gridCol w:w="721"/>
        <w:gridCol w:w="391"/>
      </w:tblGrid>
      <w:tr>
        <w:trPr/>
        <w:tc>
          <w:tcPr>
            <w:tcW w:w="47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4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OWN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NICS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4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4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OWN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4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NICS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6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4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and other</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adjusted EBITDA</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391" w:type="dxa"/>
            <w:tcBorders/>
            <w:shd w:fill="FFFFFF" w:val="clear"/>
            <w:vAlign w:val="center"/>
          </w:tcPr>
          <w:p>
            <w:pPr>
              <w:pStyle w:val="TableContents"/>
              <w:bidi w:val="0"/>
              <w:spacing w:before="0" w:after="283"/>
              <w:jc w:val="left"/>
              <w:rPr/>
            </w:pPr>
            <w:r>
              <w:rPr/>
              <w:t> </w:t>
            </w:r>
          </w:p>
        </w:tc>
      </w:tr>
      <w:tr>
        <w:trPr/>
        <w:tc>
          <w:tcPr>
            <w:tcW w:w="4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2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3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credits, net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FFFFFF" w:val="clear"/>
            <w:vAlign w:val="center"/>
          </w:tcPr>
          <w:p>
            <w:pPr>
              <w:pStyle w:val="TableContents"/>
              <w:bidi w:val="0"/>
              <w:spacing w:before="0" w:after="283"/>
              <w:jc w:val="left"/>
              <w:rPr/>
            </w:pPr>
            <w:r>
              <w:rPr/>
              <w:t> </w:t>
            </w:r>
          </w:p>
        </w:tc>
      </w:tr>
      <w:tr>
        <w:trPr/>
        <w:tc>
          <w:tcPr>
            <w:tcW w:w="4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accounting adjustments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operating income</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4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OWN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NICS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4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6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and other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depreciation expense</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41" w:type="dxa"/>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CCS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4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OWN</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NICS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4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6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and other</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additions to property, plant and equipment</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corporate and other line item above reflects general corporate costs that were previously allocated to the Home segment. These indirect expenses have been classified as continuing operations for the prior year period, since the costs were not directly attributable to the discontinued operations of the Home business. Beginning in the first quarter of 2024, these costs have been reallocated to the Company's remaining segments and are partially offset by income from the Vantiva TSA.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Sales to customers located outside of the U.S. comprised 35.2% of total net sales for the three months ended March 31, 2024, compared to 31.1% of total net sales for the three months ended March 31, 2023. Sales by geographic region, based on the destination of product shipments or service provided, were as follows:</w:t>
      </w:r>
    </w:p>
    <w:tbl>
      <w:tblPr>
        <w:tblW w:w="8236"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72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Geographic Region:</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NICS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Geographic Region:</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1" w:type="dxa"/>
            <w:tcBorders/>
            <w:shd w:fill="CCECFF"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RESTRUCTURING COSTS (CREDITS),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Company’s net pretax restructuring activity included in restructuring costs (credits), net on the Condensed Consolidated Statements of Operations, by segment, was as follows:</w:t>
      </w:r>
    </w:p>
    <w:tbl>
      <w:tblPr>
        <w:tblW w:w="3804" w:type="dxa"/>
        <w:jc w:val="left"/>
        <w:tblInd w:w="0" w:type="dxa"/>
        <w:tblLayout w:type="fixed"/>
        <w:tblCellMar>
          <w:top w:w="28" w:type="dxa"/>
          <w:left w:w="28" w:type="dxa"/>
          <w:bottom w:w="28" w:type="dxa"/>
          <w:right w:w="28" w:type="dxa"/>
        </w:tblCellMar>
      </w:tblPr>
      <w:tblGrid>
        <w:gridCol w:w="1741"/>
        <w:gridCol w:w="146"/>
        <w:gridCol w:w="211"/>
        <w:gridCol w:w="466"/>
        <w:gridCol w:w="146"/>
        <w:gridCol w:w="146"/>
        <w:gridCol w:w="211"/>
        <w:gridCol w:w="526"/>
        <w:gridCol w:w="2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shd w:fill="FFFFFF" w:val="clear"/>
            <w:vAlign w:val="center"/>
          </w:tcPr>
          <w:p>
            <w:pPr>
              <w:pStyle w:val="TableContents"/>
              <w:bidi w:val="0"/>
              <w:spacing w:before="0" w:after="283"/>
              <w:jc w:val="center"/>
              <w:rPr/>
            </w:pPr>
            <w:r>
              <w:rPr/>
              <w:t> </w:t>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CCS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1" w:type="dxa"/>
            <w:tcBorders/>
            <w:shd w:fill="CCECFF"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FFFFFF" w:val="clear"/>
            <w:vAlign w:val="center"/>
          </w:tcPr>
          <w:p>
            <w:pPr>
              <w:pStyle w:val="TableContents"/>
              <w:bidi w:val="0"/>
              <w:spacing w:before="0" w:after="283"/>
              <w:jc w:val="left"/>
              <w:rPr/>
            </w:pPr>
            <w:r>
              <w:rPr/>
              <w:t> </w:t>
            </w:r>
          </w:p>
        </w:tc>
      </w:tr>
      <w:tr>
        <w:trPr/>
        <w:tc>
          <w:tcPr>
            <w:tcW w:w="1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corporate and other line item above reflects general corporate restructuring costs that were previously allocated to the Home segment. These indirect expenses have been classified as continuing operations for the prior year period presented, since the costs were not directly attributable to the discontinued operations of the Home business. Beginning in the first quarter of 2024, these costs have been reallocated to the Company’s remaining segments.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Restructuring liabilities were included in the Company’s Condensed Consolidated Balance Sheets as follows:</w:t>
      </w:r>
    </w:p>
    <w:tbl>
      <w:tblPr>
        <w:tblW w:w="5085" w:type="dxa"/>
        <w:jc w:val="left"/>
        <w:tblInd w:w="0" w:type="dxa"/>
        <w:tblLayout w:type="fixed"/>
        <w:tblCellMar>
          <w:top w:w="28" w:type="dxa"/>
          <w:left w:w="28" w:type="dxa"/>
          <w:bottom w:w="28" w:type="dxa"/>
          <w:right w:w="28" w:type="dxa"/>
        </w:tblCellMar>
      </w:tblPr>
      <w:tblGrid>
        <w:gridCol w:w="2461"/>
        <w:gridCol w:w="146"/>
        <w:gridCol w:w="332"/>
        <w:gridCol w:w="568"/>
        <w:gridCol w:w="146"/>
        <w:gridCol w:w="146"/>
        <w:gridCol w:w="341"/>
        <w:gridCol w:w="754"/>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ECFF" w:val="clear"/>
            <w:vAlign w:val="center"/>
          </w:tcPr>
          <w:p>
            <w:pPr>
              <w:pStyle w:val="TableContents"/>
              <w:bidi w:val="0"/>
              <w:spacing w:before="0" w:after="283"/>
              <w:jc w:val="left"/>
              <w:rPr/>
            </w:pPr>
            <w:r>
              <w:rPr/>
              <w:t> </w:t>
            </w:r>
          </w:p>
        </w:tc>
        <w:tc>
          <w:tcPr>
            <w:tcW w:w="332"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shd w:fill="CCECFF"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liabilities</w:t>
            </w:r>
          </w:p>
        </w:tc>
        <w:tc>
          <w:tcPr>
            <w:tcW w:w="146" w:type="dxa"/>
            <w:tcBorders/>
            <w:shd w:fill="CCECFF" w:val="clear"/>
            <w:vAlign w:val="center"/>
          </w:tcPr>
          <w:p>
            <w:pPr>
              <w:pStyle w:val="TableContents"/>
              <w:bidi w:val="0"/>
              <w:spacing w:before="0" w:after="283"/>
              <w:jc w:val="left"/>
              <w:rPr/>
            </w:pPr>
            <w:r>
              <w:rPr/>
              <w:t> </w:t>
            </w:r>
          </w:p>
        </w:tc>
        <w:tc>
          <w:tcPr>
            <w:tcW w:w="3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CommScope NEXT Restructuring Actions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In the first quarter of 2021, the Company announced and began implementing a business transformation initiative called CommScope NEXT. This initiative is designed to drive shareholder value through three pillars: profitable growth, operational efficiency and portfolio optimization. The activity within the liability established for CommScope NEXT restructuring actions was as follows:</w:t>
      </w:r>
    </w:p>
    <w:tbl>
      <w:tblPr>
        <w:tblW w:w="7961" w:type="dxa"/>
        <w:jc w:val="left"/>
        <w:tblInd w:w="0" w:type="dxa"/>
        <w:tblLayout w:type="fixed"/>
        <w:tblCellMar>
          <w:top w:w="28" w:type="dxa"/>
          <w:left w:w="28" w:type="dxa"/>
          <w:bottom w:w="28" w:type="dxa"/>
          <w:right w:w="28" w:type="dxa"/>
        </w:tblCellMar>
      </w:tblPr>
      <w:tblGrid>
        <w:gridCol w:w="3646"/>
        <w:gridCol w:w="146"/>
        <w:gridCol w:w="579"/>
        <w:gridCol w:w="1281"/>
        <w:gridCol w:w="166"/>
        <w:gridCol w:w="146"/>
        <w:gridCol w:w="211"/>
        <w:gridCol w:w="526"/>
        <w:gridCol w:w="166"/>
        <w:gridCol w:w="146"/>
        <w:gridCol w:w="211"/>
        <w:gridCol w:w="526"/>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Employee-Related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579"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1" w:type="dxa"/>
            <w:tcBorders/>
            <w:shd w:fill="CCECFF"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expense, net</w:t>
            </w:r>
          </w:p>
        </w:tc>
        <w:tc>
          <w:tcPr>
            <w:tcW w:w="146"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11" w:type="dxa"/>
            <w:tcBorders/>
            <w:shd w:fill="FFFFFF" w:val="clear"/>
            <w:vAlign w:val="center"/>
          </w:tcPr>
          <w:p>
            <w:pPr>
              <w:pStyle w:val="TableContents"/>
              <w:bidi w:val="0"/>
              <w:spacing w:before="0" w:after="283"/>
              <w:jc w:val="left"/>
              <w:rPr/>
            </w:pPr>
            <w:r>
              <w:rPr/>
              <w:t> </w:t>
            </w:r>
          </w:p>
        </w:tc>
      </w:tr>
      <w:tr>
        <w:trPr/>
        <w:tc>
          <w:tcPr>
            <w:tcW w:w="364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579" w:type="dxa"/>
            <w:tcBorders/>
            <w:shd w:fill="CCECFF" w:val="clear"/>
            <w:vAlign w:val="center"/>
          </w:tcPr>
          <w:p>
            <w:pPr>
              <w:pStyle w:val="TableContents"/>
              <w:bidi w:val="0"/>
              <w:spacing w:before="0" w:after="283"/>
              <w:jc w:val="left"/>
              <w:rPr/>
            </w:pPr>
            <w:r>
              <w:rPr/>
              <w:t> </w:t>
            </w:r>
          </w:p>
        </w:tc>
        <w:tc>
          <w:tcPr>
            <w:tcW w:w="12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and other non-cash items</w:t>
            </w:r>
          </w:p>
        </w:tc>
        <w:tc>
          <w:tcPr>
            <w:tcW w:w="146" w:type="dxa"/>
            <w:tcBorders/>
            <w:shd w:fill="FFFFFF" w:val="cle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57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color w:val="000000"/>
          <w:sz w:val="20"/>
        </w:rPr>
      </w:pPr>
      <w:r>
        <w:rPr>
          <w:rFonts w:ascii="Times New Roman" w:hAnsi="Times New Roman"/>
          <w:color w:val="000000"/>
          <w:sz w:val="20"/>
        </w:rPr>
        <w:t>CommScope NEXT actions to date have included the closure of manufacturing, administration and warehouse facilities, as well as headcount reductions in other manufacturing locations and engineering, marketing, sales and administrative functions, and asset impairments associated with restructuring-related actions. During the three months ended March 31, 2024, additional expenses were recorded for employee-related costs for severance. Other costs included the impairment of idled administration and engineering facilities during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recognized restructuring charges of $205.0 million to date related to CommScope NEXT actions. The Company expects to make cash payments of $9.1 million during the remainder of 2024 to settle CommScope NEXT restructuring actions. Additional restructuring actions related to CommScope NEXT are expected to be identified, and the resulting charges and cash requirements could be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SERIES A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4, 2019, the Company issued and sold 1,000,000 shares of the Convertible Preferred Stock to Carlyle for $1.0 billion, or $1,000 per share, pursuant to an Investment Agreement between the Company and Carlyle, dated November 8, 2018. The Convertible Preferred Stock is convertible, at the option of the holders, at any time into shares of CommScope common stock at an initial conversion rate of 36.3636 shares of common stock per share of the Convertible Preferred Stock (equivalent to $27.50 per common share). The conversion rate is subject to customary antidilution and other adjustments. As of March 31, 2024, the Company had authorized 1,400,000 shares of the Convertible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The Company paid dividends in-kind of $16.0 million and $15.1 million during the three months ended March 31, 2024 and 2023, respectively, which were recorded as additional Convertible Preferred Stock in the Condensed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Equity-Based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$59.7 million of total unrecognized compensation expense related to unvested stock options, restricted stock units (RSUs) and performance share units (PSUs) is expected to be recognized over a remaining weighted average period of 1.8 years. There were no significant capitalized equity-based compensation costs at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CommScope Holding Company,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shows a summary of the equity-based compensation expense included in the Condensed Consolidated Statements of Operations:</w:t>
      </w:r>
    </w:p>
    <w:tbl>
      <w:tblPr>
        <w:tblW w:w="5924" w:type="dxa"/>
        <w:jc w:val="left"/>
        <w:tblInd w:w="0" w:type="dxa"/>
        <w:tblLayout w:type="fixed"/>
        <w:tblCellMar>
          <w:top w:w="28" w:type="dxa"/>
          <w:left w:w="28" w:type="dxa"/>
          <w:bottom w:w="28" w:type="dxa"/>
          <w:right w:w="28" w:type="dxa"/>
        </w:tblCellMar>
      </w:tblPr>
      <w:tblGrid>
        <w:gridCol w:w="3741"/>
        <w:gridCol w:w="146"/>
        <w:gridCol w:w="211"/>
        <w:gridCol w:w="466"/>
        <w:gridCol w:w="146"/>
        <w:gridCol w:w="146"/>
        <w:gridCol w:w="211"/>
        <w:gridCol w:w="466"/>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vAlign w:val="center"/>
          </w:tcPr>
          <w:p>
            <w:pPr>
              <w:pStyle w:val="TableContents"/>
              <w:bidi w:val="0"/>
              <w:spacing w:before="0" w:after="283"/>
              <w:jc w:val="center"/>
              <w:rPr/>
            </w:pPr>
            <w:r>
              <w:rPr/>
              <w:t> </w:t>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shd w:fill="CCECFF" w:val="clear"/>
            <w:vAlign w:val="center"/>
          </w:tcPr>
          <w:p>
            <w:pPr>
              <w:pStyle w:val="TableContents"/>
              <w:bidi w:val="0"/>
              <w:spacing w:before="0" w:after="283"/>
              <w:jc w:val="left"/>
              <w:rPr/>
            </w:pPr>
            <w:r>
              <w:rPr/>
              <w:t> </w:t>
            </w:r>
          </w:p>
        </w:tc>
      </w:tr>
      <w:tr>
        <w:trPr/>
        <w:tc>
          <w:tcPr>
            <w:tcW w:w="3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shd w:fill="FFFFFF" w:val="clear"/>
            <w:vAlign w:val="center"/>
          </w:tcPr>
          <w:p>
            <w:pPr>
              <w:pStyle w:val="TableContents"/>
              <w:bidi w:val="0"/>
              <w:spacing w:before="0" w:after="283"/>
              <w:jc w:val="left"/>
              <w:rPr/>
            </w:pPr>
            <w:r>
              <w:rPr/>
              <w:t> </w:t>
            </w:r>
          </w:p>
        </w:tc>
      </w:tr>
      <w:tr>
        <w:trPr/>
        <w:tc>
          <w:tcPr>
            <w:tcW w:w="37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equity-based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entitle the holder to shares of common stock after a vesting period of generally three years. The fair value of the awards is determined on the grant date based on the Company’s stock price.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the RSU activity (in millions, except per share data):</w:t>
      </w:r>
    </w:p>
    <w:tbl>
      <w:tblPr>
        <w:tblW w:w="6590" w:type="dxa"/>
        <w:jc w:val="left"/>
        <w:tblInd w:w="0" w:type="dxa"/>
        <w:tblLayout w:type="fixed"/>
        <w:tblCellMar>
          <w:top w:w="28" w:type="dxa"/>
          <w:left w:w="28" w:type="dxa"/>
          <w:bottom w:w="28" w:type="dxa"/>
          <w:right w:w="28" w:type="dxa"/>
        </w:tblCellMar>
      </w:tblPr>
      <w:tblGrid>
        <w:gridCol w:w="3781"/>
        <w:gridCol w:w="146"/>
        <w:gridCol w:w="210"/>
        <w:gridCol w:w="675"/>
        <w:gridCol w:w="166"/>
        <w:gridCol w:w="146"/>
        <w:gridCol w:w="397"/>
        <w:gridCol w:w="878"/>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Restricted </w:t>
              <w:br/>
              <w:t>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share units at December 31, 2023</w:t>
            </w:r>
          </w:p>
        </w:tc>
        <w:tc>
          <w:tcPr>
            <w:tcW w:w="146" w:type="dxa"/>
            <w:tcBorders/>
            <w:shd w:fill="CCECFF" w:val="clear"/>
            <w:vAlign w:val="center"/>
          </w:tcPr>
          <w:p>
            <w:pPr>
              <w:pStyle w:val="TableContents"/>
              <w:bidi w:val="0"/>
              <w:spacing w:before="0" w:after="283"/>
              <w:jc w:val="left"/>
              <w:rPr/>
            </w:pPr>
            <w:r>
              <w:rPr/>
              <w:t> </w:t>
            </w:r>
          </w:p>
        </w:tc>
        <w:tc>
          <w:tcPr>
            <w:tcW w:w="210" w:type="dxa"/>
            <w:tcBorders/>
            <w:shd w:fill="CCECFF" w:val="clear"/>
            <w:vAlign w:val="center"/>
          </w:tcPr>
          <w:p>
            <w:pPr>
              <w:pStyle w:val="TableContents"/>
              <w:bidi w:val="0"/>
              <w:spacing w:before="0" w:after="283"/>
              <w:jc w:val="left"/>
              <w:rPr/>
            </w:pPr>
            <w:r>
              <w:rPr/>
              <w:t> </w:t>
            </w:r>
          </w:p>
        </w:tc>
        <w:tc>
          <w:tcPr>
            <w:tcW w:w="67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97"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91" w:type="dxa"/>
            <w:tcBorders/>
            <w:shd w:fill="CCECFF"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shd w:fill="FFFFFF" w:val="clear"/>
            <w:vAlign w:val="center"/>
          </w:tcPr>
          <w:p>
            <w:pPr>
              <w:pStyle w:val="TableContents"/>
              <w:bidi w:val="0"/>
              <w:spacing w:before="0" w:after="283"/>
              <w:jc w:val="left"/>
              <w:rPr/>
            </w:pPr>
            <w:r>
              <w:rPr/>
              <w:t> </w:t>
            </w:r>
          </w:p>
        </w:tc>
      </w:tr>
      <w:tr>
        <w:trPr/>
        <w:tc>
          <w:tcPr>
            <w:tcW w:w="378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CECFF" w:val="clear"/>
            <w:vAlign w:val="center"/>
          </w:tcPr>
          <w:p>
            <w:pPr>
              <w:pStyle w:val="TableContents"/>
              <w:bidi w:val="0"/>
              <w:spacing w:before="0" w:after="283"/>
              <w:jc w:val="left"/>
              <w:rPr/>
            </w:pPr>
            <w:r>
              <w:rPr/>
              <w:t> </w:t>
            </w:r>
          </w:p>
        </w:tc>
        <w:tc>
          <w:tcPr>
            <w:tcW w:w="21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397"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91" w:type="dxa"/>
            <w:tcBorders/>
            <w:shd w:fill="CCECFF"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share units at March 31, 2024</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Performance Share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PSUs are stock awards in which the number of shares ultimately received by the employee depends on achievement towards a performance measure. Certain of CommScope’s PSUs have an internal performance measure while others have a market condition performance measure. PSUs generally vest over a three-year period. No PSUs were granted in the first quarter of 2024.</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the PSU activity (in millions, except per share data):</w:t>
      </w:r>
    </w:p>
    <w:tbl>
      <w:tblPr>
        <w:tblW w:w="6756" w:type="dxa"/>
        <w:jc w:val="left"/>
        <w:tblInd w:w="0" w:type="dxa"/>
        <w:tblLayout w:type="fixed"/>
        <w:tblCellMar>
          <w:top w:w="28" w:type="dxa"/>
          <w:left w:w="28" w:type="dxa"/>
          <w:bottom w:w="28" w:type="dxa"/>
          <w:right w:w="28" w:type="dxa"/>
        </w:tblCellMar>
      </w:tblPr>
      <w:tblGrid>
        <w:gridCol w:w="3781"/>
        <w:gridCol w:w="146"/>
        <w:gridCol w:w="270"/>
        <w:gridCol w:w="781"/>
        <w:gridCol w:w="166"/>
        <w:gridCol w:w="146"/>
        <w:gridCol w:w="343"/>
        <w:gridCol w:w="932"/>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br/>
              <w:t>Share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share units at December 31, 2023</w:t>
            </w:r>
          </w:p>
        </w:tc>
        <w:tc>
          <w:tcPr>
            <w:tcW w:w="146" w:type="dxa"/>
            <w:tcBorders/>
            <w:shd w:fill="CCECFF" w:val="clear"/>
            <w:vAlign w:val="center"/>
          </w:tcPr>
          <w:p>
            <w:pPr>
              <w:pStyle w:val="TableContents"/>
              <w:bidi w:val="0"/>
              <w:spacing w:before="0" w:after="283"/>
              <w:jc w:val="left"/>
              <w:rPr/>
            </w:pPr>
            <w:r>
              <w:rPr/>
              <w:t> </w:t>
            </w:r>
          </w:p>
        </w:tc>
        <w:tc>
          <w:tcPr>
            <w:tcW w:w="270"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91" w:type="dxa"/>
            <w:tcBorders/>
            <w:shd w:fill="CCECFF"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91" w:type="dxa"/>
            <w:tcBorders/>
            <w:shd w:fill="FFFFFF" w:val="clear"/>
            <w:vAlign w:val="center"/>
          </w:tcPr>
          <w:p>
            <w:pPr>
              <w:pStyle w:val="TableContents"/>
              <w:bidi w:val="0"/>
              <w:spacing w:before="0" w:after="283"/>
              <w:jc w:val="left"/>
              <w:rPr/>
            </w:pPr>
            <w:r>
              <w:rPr/>
              <w:t> </w:t>
            </w:r>
          </w:p>
        </w:tc>
      </w:tr>
      <w:tr>
        <w:trPr/>
        <w:tc>
          <w:tcPr>
            <w:tcW w:w="378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share units at March 31, 2024</w:t>
            </w:r>
          </w:p>
        </w:tc>
        <w:tc>
          <w:tcPr>
            <w:tcW w:w="146" w:type="dxa"/>
            <w:tcBorders/>
            <w:shd w:fill="CCECFF" w:val="clear"/>
            <w:vAlign w:val="center"/>
          </w:tcPr>
          <w:p>
            <w:pPr>
              <w:pStyle w:val="TableContents"/>
              <w:bidi w:val="0"/>
              <w:spacing w:before="0" w:after="283"/>
              <w:jc w:val="left"/>
              <w:rPr/>
            </w:pPr>
            <w:r>
              <w:rPr/>
              <w:t> </w:t>
            </w:r>
          </w:p>
        </w:tc>
        <w:tc>
          <w:tcPr>
            <w:tcW w:w="2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gridSpan w:val="2"/>
            <w:tcBorders/>
            <w:shd w:fill="CCECFF" w:val="clear"/>
            <w:vAlign w:val="center"/>
          </w:tcPr>
          <w:p>
            <w:pPr>
              <w:pStyle w:val="TableContents"/>
              <w:bidi w:val="0"/>
              <w:spacing w:before="0" w:after="283"/>
              <w:jc w:val="right"/>
              <w:rPr/>
            </w:pPr>
            <w:r>
              <w:rPr/>
              <w:t> </w:t>
            </w:r>
          </w:p>
        </w:tc>
        <w:tc>
          <w:tcPr>
            <w:tcW w:w="191" w:type="dxa"/>
            <w:tcBorders/>
            <w:shd w:fill="CCECFF" w:val="clear"/>
            <w:vAlign w:val="center"/>
          </w:tcPr>
          <w:p>
            <w:pPr>
              <w:pStyle w:val="TableContents"/>
              <w:bidi w:val="0"/>
              <w:spacing w:before="0" w:after="283"/>
              <w:jc w:val="right"/>
              <w:rPr/>
            </w:pPr>
            <w:r>
              <w:rPr/>
              <w:t> </w:t>
            </w:r>
          </w:p>
        </w:tc>
      </w:tr>
    </w:tbl>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bookmarkStart w:id="12" w:name="item_2_managements_discussion_analysis_f"/>
      <w:bookmarkEnd w:id="12"/>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narrative is an analysis of the three months ended March 31, 2024 compared to the three months ended March 31, 2023.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2023 (2023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below for more information about these non-GAAP financial measures, including our reasons for including the measures and material limitations with respect to the usefulness of the measures.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provider of infrastructure solutions for communication, data center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CommScope NEXT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2021, we have been engaged in a transformation initiative referred to as CommScope NEXT, which is designed to drive shareholder value through three pillars: profitable growth, operational efficiency and portfolio optimization. We believe these efforts are critical to making us more competitive and allowing us to invest in growth, de-leverage our indebtedness and maximize stockholder and other stakeholder value in the future. In 2022, CommScope NEXT generated positive impacts on net sales, profitability and cash flow from our execution on pricing initiatives, capacity expansion and operational efficiencies. In 2023, we experienced headwinds related to a slow-down in spending by our customers as discussed further below, but we continued to execute under CommScope NEXT to improve our profitability and cash flows by continuing to drive operational efficiencies and focusing on portfolio optimization. In the first quarter of 2024, we continued to focus on driving operational efficiencies and other cost savings initiatives as well as portfolio optimization, all of which should enable us to take advantage of the expected recovery in demand in the second half of 2024. To that end, we incurred $30.6 million of net restructuring costs and $8.5 million of transaction, transformation and integration costs during the three months ended March 31, 2024, respectively, primarily related to CommScope NEXT initiatives. We expect to continue to incur such costs during the remainder of 2024 as we continue executing on CommScope NEXT initiatives, and the resulting charges and cash requirements could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9, 2024, we completed the sale of our Home Networks (Home) segment and substantially all of the associated segment assets and liabilities (Home business) to Vantiva SA (Vantiva) pursuant to the Call Option Agreement entered into on October 2, 2023 and the Purchase Agreement dated as of December 7, 2023. In the fourth quarter of 2023, we determined the sale of our Home business met the “held for sale” criteria and the “discontinued operations” criteria in accordance with accounting guidance. All prior period amounts have been recast to reflect the discontinuation of our Home business. Unless otherwise noted, the following discussions relate solely to our continuing operations. For further discussion of the discontinued operation related to our Home business, see Note 2 in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our recast continuing operations do not align with our historical “Core” measures, which excluded the Home segment. Our continuing operations results for the prior year period include general corporate costs that were previously allocated to the Home segment. These indirect costs, reflected on the corporate and other line item within our segment information below, are classified as continuing operations for the prior year period presented, since they were not directly attributable to the discontinued operations of the Home segment. Beginning in the first quarter of 2024, these costs have been reallocated to our remaining segments and partially offset by income from our transition services agreement with Vantiva.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divestiture of the Home business, we are now reporting financial performance based on the following remaining four operating segments, which excludes our Home business: Connectivity and Cable Solutions (CCS), Outdoor Wireless Networks (OWN), Networking, Intelligent Cellular and Security Solutions (NICS) and Access Network Solutions (ANS). For the prior year period presented, amounts have been recast to reflect these operating segment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1, 2024, we shifted certain product lines from our CCS segment to our ANS segment to better align with how the businesses are being managed. All prior period amounts have been recast to reflect these operating segment changes.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Impacts of Current 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macroeconomic factors such as higher interest rates, inflation and concerns about a global economic slow-down softened demand for our products, with certain customers reducing purchases as they right-size their inventories and others pausing capital spending. This industry recession has continued to negatively impact our net sales in all segments for the first quarter of 2024. We currently do not expect to begin to see a recovery in demand until the second half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2023, we began implementing additional cost savings initiatives to improve profitability, and we continued to implement further initiatives during the three months ended March 31, 2024. These initiatives should enable us to take advantage of the expected recovery in demand in the second half of 2024. If the expected recovery in demand of our products does not occur in 2024, our outlook will be materially impacted.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more discussion on risks related to our customers, see Part I, Item 1A, “Risk Factors” in our 2023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critical accounting policies as disclosed in our 2023 Annual Report.</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COMPARISON OF RESULTS OF OPERATIONS FOR THE THREE MONTHS ENDED MARCH 31, 2024 WITH THE THREE MONTHS ENDED MARCH 31, 2023</w:t>
      </w:r>
    </w:p>
    <w:tbl>
      <w:tblPr>
        <w:tblW w:w="10205" w:type="dxa"/>
        <w:jc w:val="left"/>
        <w:tblInd w:w="0" w:type="dxa"/>
        <w:tblLayout w:type="fixed"/>
        <w:tblCellMar>
          <w:top w:w="28" w:type="dxa"/>
          <w:left w:w="28" w:type="dxa"/>
          <w:bottom w:w="28" w:type="dxa"/>
          <w:right w:w="28" w:type="dxa"/>
        </w:tblCellMar>
      </w:tblPr>
      <w:tblGrid>
        <w:gridCol w:w="2754"/>
        <w:gridCol w:w="146"/>
        <w:gridCol w:w="211"/>
        <w:gridCol w:w="721"/>
        <w:gridCol w:w="166"/>
        <w:gridCol w:w="146"/>
        <w:gridCol w:w="159"/>
        <w:gridCol w:w="622"/>
        <w:gridCol w:w="271"/>
        <w:gridCol w:w="146"/>
        <w:gridCol w:w="211"/>
        <w:gridCol w:w="721"/>
        <w:gridCol w:w="146"/>
        <w:gridCol w:w="146"/>
        <w:gridCol w:w="159"/>
        <w:gridCol w:w="622"/>
        <w:gridCol w:w="271"/>
        <w:gridCol w:w="146"/>
        <w:gridCol w:w="211"/>
        <w:gridCol w:w="631"/>
        <w:gridCol w:w="166"/>
        <w:gridCol w:w="146"/>
        <w:gridCol w:w="146"/>
        <w:gridCol w:w="781"/>
        <w:gridCol w:w="360"/>
      </w:tblGrid>
      <w:tr>
        <w:trPr/>
        <w:tc>
          <w:tcPr>
            <w:tcW w:w="2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7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47"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360" w:type="dxa"/>
            <w:tcBorders/>
            <w:shd w:fill="FFFFFF" w:val="clear"/>
            <w:vAlign w:val="center"/>
          </w:tcPr>
          <w:p>
            <w:pPr>
              <w:pStyle w:val="TableContents"/>
              <w:bidi w:val="0"/>
              <w:spacing w:before="0" w:after="283"/>
              <w:jc w:val="center"/>
              <w:rPr/>
            </w:pPr>
            <w:r>
              <w:rPr/>
              <w:t> </w:t>
            </w:r>
          </w:p>
        </w:tc>
      </w:tr>
      <w:tr>
        <w:trPr/>
        <w:tc>
          <w:tcPr>
            <w:tcW w:w="27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360" w:type="dxa"/>
            <w:tcBorders/>
            <w:shd w:fill="FFFFFF" w:val="clear"/>
            <w:vAlign w:val="center"/>
          </w:tcPr>
          <w:p>
            <w:pPr>
              <w:pStyle w:val="TableContents"/>
              <w:bidi w:val="0"/>
              <w:spacing w:before="0" w:after="283"/>
              <w:jc w:val="center"/>
              <w:rPr/>
            </w:pPr>
            <w:r>
              <w:rPr/>
              <w:t> </w:t>
            </w:r>
          </w:p>
        </w:tc>
      </w:tr>
      <w:tr>
        <w:trPr/>
        <w:tc>
          <w:tcPr>
            <w:tcW w:w="27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r>
      <w:tr>
        <w:trPr/>
        <w:tc>
          <w:tcPr>
            <w:tcW w:w="27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5"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 except per share amounts)</w:t>
            </w:r>
          </w:p>
        </w:tc>
        <w:tc>
          <w:tcPr>
            <w:tcW w:w="360" w:type="dxa"/>
            <w:tcBorders/>
            <w:shd w:fill="FFFFFF" w:val="clear"/>
            <w:vAlign w:val="center"/>
          </w:tcPr>
          <w:p>
            <w:pPr>
              <w:pStyle w:val="TableContents"/>
              <w:bidi w:val="0"/>
              <w:spacing w:before="0" w:after="283"/>
              <w:jc w:val="center"/>
              <w:rPr/>
            </w:pPr>
            <w:r>
              <w:rPr/>
              <w:t> </w:t>
            </w:r>
          </w:p>
        </w:tc>
      </w:tr>
      <w:tr>
        <w:trPr/>
        <w:tc>
          <w:tcPr>
            <w:tcW w:w="2754"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59" w:type="dxa"/>
            <w:tcBorders/>
            <w:shd w:fill="CCECFF" w:val="clear"/>
            <w:vAlign w:val="center"/>
          </w:tcPr>
          <w:p>
            <w:pPr>
              <w:pStyle w:val="TableContents"/>
              <w:bidi w:val="0"/>
              <w:spacing w:before="0" w:after="283"/>
              <w:jc w:val="left"/>
              <w:rPr/>
            </w:pPr>
            <w:r>
              <w:rPr/>
              <w:t> </w:t>
            </w:r>
          </w:p>
        </w:tc>
        <w:tc>
          <w:tcPr>
            <w:tcW w:w="62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59" w:type="dxa"/>
            <w:tcBorders/>
            <w:shd w:fill="CCECFF" w:val="clear"/>
            <w:vAlign w:val="center"/>
          </w:tcPr>
          <w:p>
            <w:pPr>
              <w:pStyle w:val="TableContents"/>
              <w:bidi w:val="0"/>
              <w:spacing w:before="0" w:after="283"/>
              <w:jc w:val="left"/>
              <w:rPr/>
            </w:pPr>
            <w:r>
              <w:rPr/>
              <w:t> </w:t>
            </w:r>
          </w:p>
        </w:tc>
        <w:tc>
          <w:tcPr>
            <w:tcW w:w="62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60"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3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4"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59" w:type="dxa"/>
            <w:tcBorders/>
            <w:shd w:fill="CCECFF" w:val="clear"/>
            <w:vAlign w:val="center"/>
          </w:tcPr>
          <w:p>
            <w:pPr>
              <w:pStyle w:val="TableContents"/>
              <w:bidi w:val="0"/>
              <w:spacing w:before="0" w:after="283"/>
              <w:jc w:val="left"/>
              <w:rPr/>
            </w:pPr>
            <w:r>
              <w:rPr/>
              <w:t> </w:t>
            </w:r>
          </w:p>
        </w:tc>
        <w:tc>
          <w:tcPr>
            <w:tcW w:w="62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59" w:type="dxa"/>
            <w:tcBorders/>
            <w:shd w:fill="CCECFF" w:val="clear"/>
            <w:vAlign w:val="center"/>
          </w:tcPr>
          <w:p>
            <w:pPr>
              <w:pStyle w:val="TableContents"/>
              <w:bidi w:val="0"/>
              <w:spacing w:before="0" w:after="283"/>
              <w:jc w:val="left"/>
              <w:rPr/>
            </w:pPr>
            <w:r>
              <w:rPr/>
              <w:t> </w:t>
            </w:r>
          </w:p>
        </w:tc>
        <w:tc>
          <w:tcPr>
            <w:tcW w:w="62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60"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adjusted EBITDA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4"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59" w:type="dxa"/>
            <w:tcBorders/>
            <w:shd w:fill="CCECFF" w:val="clear"/>
            <w:vAlign w:val="center"/>
          </w:tcPr>
          <w:p>
            <w:pPr>
              <w:pStyle w:val="TableContents"/>
              <w:bidi w:val="0"/>
              <w:spacing w:before="0" w:after="283"/>
              <w:jc w:val="left"/>
              <w:rPr/>
            </w:pPr>
            <w:r>
              <w:rPr/>
              <w:t> </w:t>
            </w:r>
          </w:p>
        </w:tc>
        <w:tc>
          <w:tcPr>
            <w:tcW w:w="62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59" w:type="dxa"/>
            <w:tcBorders/>
            <w:shd w:fill="CCECFF" w:val="clear"/>
            <w:vAlign w:val="center"/>
          </w:tcPr>
          <w:p>
            <w:pPr>
              <w:pStyle w:val="TableContents"/>
              <w:bidi w:val="0"/>
              <w:spacing w:before="0" w:after="283"/>
              <w:jc w:val="left"/>
              <w:rPr/>
            </w:pPr>
            <w:r>
              <w:rPr/>
              <w:t> </w:t>
            </w:r>
          </w:p>
        </w:tc>
        <w:tc>
          <w:tcPr>
            <w:tcW w:w="62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360"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Diluted earnings (loss) from continuing </w:t>
              <w:br/>
              <w:t>   operations per share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(1,971.4</w:t>
            </w:r>
          </w:p>
        </w:tc>
        <w:tc>
          <w:tcPr>
            <w:tcW w:w="3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“Reconciliation of Non-GAAP Measures” in this Management’s Discussion and Analysis of Financial Condition and Results of Operations,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Net sales</w:t>
      </w:r>
    </w:p>
    <w:tbl>
      <w:tblPr>
        <w:tblW w:w="6967" w:type="dxa"/>
        <w:jc w:val="left"/>
        <w:tblInd w:w="0" w:type="dxa"/>
        <w:tblLayout w:type="fixed"/>
        <w:tblCellMar>
          <w:top w:w="28" w:type="dxa"/>
          <w:left w:w="28" w:type="dxa"/>
          <w:bottom w:w="28" w:type="dxa"/>
          <w:right w:w="28" w:type="dxa"/>
        </w:tblCellMar>
      </w:tblPr>
      <w:tblGrid>
        <w:gridCol w:w="1271"/>
        <w:gridCol w:w="246"/>
        <w:gridCol w:w="211"/>
        <w:gridCol w:w="721"/>
        <w:gridCol w:w="246"/>
        <w:gridCol w:w="246"/>
        <w:gridCol w:w="211"/>
        <w:gridCol w:w="721"/>
        <w:gridCol w:w="246"/>
        <w:gridCol w:w="246"/>
        <w:gridCol w:w="211"/>
        <w:gridCol w:w="631"/>
        <w:gridCol w:w="266"/>
        <w:gridCol w:w="246"/>
        <w:gridCol w:w="146"/>
        <w:gridCol w:w="526"/>
        <w:gridCol w:w="576"/>
      </w:tblGrid>
      <w:tr>
        <w:trPr/>
        <w:tc>
          <w:tcPr>
            <w:tcW w:w="1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12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shd w:fill="FFFFFF" w:val="clear"/>
            <w:vAlign w:val="center"/>
          </w:tcPr>
          <w:p>
            <w:pPr>
              <w:pStyle w:val="TableContents"/>
              <w:bidi w:val="0"/>
              <w:spacing w:before="0" w:after="283"/>
              <w:jc w:val="center"/>
              <w:rPr/>
            </w:pPr>
            <w:r>
              <w:rPr/>
              <w:t> </w:t>
            </w:r>
          </w:p>
        </w:tc>
      </w:tr>
      <w:tr>
        <w:trPr/>
        <w:tc>
          <w:tcPr>
            <w:tcW w:w="12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87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576" w:type="dxa"/>
            <w:tcBorders/>
            <w:shd w:fill="FFFFFF" w:val="clear"/>
            <w:vAlign w:val="center"/>
          </w:tcPr>
          <w:p>
            <w:pPr>
              <w:pStyle w:val="TableContents"/>
              <w:bidi w:val="0"/>
              <w:spacing w:before="0" w:after="283"/>
              <w:jc w:val="center"/>
              <w:rPr/>
            </w:pPr>
            <w:r>
              <w:rPr/>
              <w:t> </w:t>
            </w:r>
          </w:p>
        </w:tc>
      </w:tr>
      <w:tr>
        <w:trPr/>
        <w:tc>
          <w:tcPr>
            <w:tcW w:w="12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1,168.4</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1,664.4</w:t>
            </w:r>
          </w:p>
        </w:tc>
        <w:tc>
          <w:tcPr>
            <w:tcW w:w="246"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2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Domestic</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71"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w:t>
            </w:r>
          </w:p>
        </w:tc>
        <w:tc>
          <w:tcPr>
            <w:tcW w:w="246" w:type="dxa"/>
            <w:tcBorders/>
            <w:shd w:fill="CCECFF" w:val="clear"/>
            <w:vAlign w:val="center"/>
          </w:tcPr>
          <w:p>
            <w:pPr>
              <w:pStyle w:val="TableContents"/>
              <w:bidi w:val="0"/>
              <w:spacing w:before="0" w:after="283"/>
              <w:ind w:left="0" w:right="0" w:firstLine="100"/>
              <w:jc w:val="left"/>
              <w:rPr/>
            </w:pPr>
            <w:r>
              <w:rPr/>
              <w:t> </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6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5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00"/>
        <w:jc w:val="left"/>
        <w:rPr>
          <w:rFonts w:ascii="Times New Roman" w:hAnsi="Times New Roman"/>
          <w:color w:val="000000"/>
          <w:sz w:val="20"/>
        </w:rPr>
      </w:pPr>
      <w:r>
        <w:rPr>
          <w:rFonts w:ascii="Times New Roman" w:hAnsi="Times New Roman"/>
          <w:color w:val="000000"/>
          <w:sz w:val="20"/>
        </w:rPr>
        <w:t>Net sales for the three months ended March 31, 2024 decreased $496.0 million, or 29.8%, compared to the prior year period primarily driven by decreased sales volumes as certain customers have continued their reduced purchasing as they right-size their inventories and others have continued their pause in capital spending. The decrease in net sales for the three months ended March 31, 2024 was driven by lower net sales of $216.4 million in the CCS segment, $113.0 million in the ANS segment, $104.2 million in the NICS segment and $62.4 million in the OWN segment. For further details by segment, see “Segment Results”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a regional perspective, for the three months ended March 31, 2024 compared to the prior year period, net sales decreased in the U.S. by $390.5 million, the Europe, Middle East and Africa (EMEA) region by $61.1 million, the Caribbean and Latin American (CALA) region by $21.7 million, Canada by $13.7 million and the Asia Pacific (APAC) region by $9.0 million. Net sales to customers located outside of the U.S. comprised 35.2% and 31.1% of total net sales for the three months ended March 31, 2024 and 2023, respectively. Foreign exchange rate changes did not have a material impact on our net sales during the three months ended March 31, 2024. For additional information on regional sales by segment, see “Segment Results” below and Note 8 in the Notes to Unaudited Condensed Consolidated Financial Statements included herein.</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Gross profit, TSA income, SG&amp;A expense and R&amp;D expense</w:t>
      </w:r>
    </w:p>
    <w:tbl>
      <w:tblPr>
        <w:tblW w:w="6701" w:type="dxa"/>
        <w:jc w:val="left"/>
        <w:tblInd w:w="0" w:type="dxa"/>
        <w:tblLayout w:type="fixed"/>
        <w:tblCellMar>
          <w:top w:w="28" w:type="dxa"/>
          <w:left w:w="28" w:type="dxa"/>
          <w:bottom w:w="28" w:type="dxa"/>
          <w:right w:w="28" w:type="dxa"/>
        </w:tblCellMar>
      </w:tblPr>
      <w:tblGrid>
        <w:gridCol w:w="1906"/>
        <w:gridCol w:w="246"/>
        <w:gridCol w:w="196"/>
        <w:gridCol w:w="511"/>
        <w:gridCol w:w="256"/>
        <w:gridCol w:w="146"/>
        <w:gridCol w:w="196"/>
        <w:gridCol w:w="511"/>
        <w:gridCol w:w="256"/>
        <w:gridCol w:w="146"/>
        <w:gridCol w:w="196"/>
        <w:gridCol w:w="571"/>
        <w:gridCol w:w="166"/>
        <w:gridCol w:w="146"/>
        <w:gridCol w:w="153"/>
        <w:gridCol w:w="508"/>
        <w:gridCol w:w="591"/>
      </w:tblGrid>
      <w:tr>
        <w:trPr/>
        <w:tc>
          <w:tcPr>
            <w:tcW w:w="19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8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91" w:type="dxa"/>
            <w:tcBorders/>
            <w:shd w:fill="FFFFFF" w:val="cle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3958"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591" w:type="dxa"/>
            <w:tcBorders/>
            <w:shd w:fill="FFFFFF" w:val="clear"/>
            <w:vAlign w:val="center"/>
          </w:tcPr>
          <w:p>
            <w:pPr>
              <w:pStyle w:val="TableContents"/>
              <w:bidi w:val="0"/>
              <w:spacing w:before="0" w:after="283"/>
              <w:jc w:val="center"/>
              <w:rPr/>
            </w:pPr>
            <w:r>
              <w:rPr/>
              <w:t> </w:t>
            </w:r>
          </w:p>
        </w:tc>
      </w:tr>
      <w:tr>
        <w:trPr/>
        <w:tc>
          <w:tcPr>
            <w:tcW w:w="1906" w:type="dxa"/>
            <w:tcBorders/>
            <w:shd w:fill="CCEC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Gross profit</w:t>
            </w:r>
          </w:p>
        </w:tc>
        <w:tc>
          <w:tcPr>
            <w:tcW w:w="2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402.2</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630.2</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w:t>
            </w:r>
          </w:p>
        </w:tc>
        <w:tc>
          <w:tcPr>
            <w:tcW w:w="166"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591" w:type="dxa"/>
            <w:tcBorders/>
            <w:shd w:fill="CCEC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FFFFFF" w:val="cle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 a percent of sales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1906" w:type="dxa"/>
            <w:tcBorders/>
            <w:shd w:fill="CCECFF" w:val="cle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TSA income</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196" w:type="dxa"/>
            <w:tcBorders/>
            <w:shd w:fill="CCECFF" w:val="clear"/>
            <w:vAlign w:val="center"/>
          </w:tcPr>
          <w:p>
            <w:pPr>
              <w:pStyle w:val="TableContents"/>
              <w:bidi w:val="0"/>
              <w:spacing w:before="0" w:after="283"/>
              <w:jc w:val="left"/>
              <w:rPr/>
            </w:pPr>
            <w:r>
              <w:rPr/>
              <w:t> </w:t>
            </w:r>
          </w:p>
        </w:tc>
        <w:tc>
          <w:tcPr>
            <w:tcW w:w="51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511" w:type="dxa"/>
            <w:tcBorders/>
            <w:shd w:fill="CCECFF" w:val="clear"/>
            <w:vAlign w:val="center"/>
          </w:tcPr>
          <w:p>
            <w:pPr>
              <w:pStyle w:val="TableContents"/>
              <w:bidi w:val="0"/>
              <w:spacing w:before="0" w:after="283"/>
              <w:jc w:val="right"/>
              <w:rPr>
                <w:color w:val="000000"/>
              </w:rPr>
            </w:pPr>
            <w:r>
              <w:rPr>
                <w:color w:val="000000"/>
              </w:rPr>
              <w:t>—</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1" w:type="dxa"/>
            <w:gridSpan w:val="2"/>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591" w:type="dxa"/>
            <w:tcBorders/>
            <w:shd w:fill="CCECFF" w:val="clear"/>
            <w:vAlign w:val="center"/>
          </w:tcPr>
          <w:p>
            <w:pPr>
              <w:pStyle w:val="TableContents"/>
              <w:bidi w:val="0"/>
              <w:spacing w:before="0" w:after="283"/>
              <w:ind w:left="0" w:right="0" w:firstLine="200"/>
              <w:jc w:val="right"/>
              <w:rPr/>
            </w:pPr>
            <w:r>
              <w:rPr/>
              <w:t> </w:t>
            </w:r>
          </w:p>
        </w:tc>
      </w:tr>
      <w:tr>
        <w:trPr/>
        <w:tc>
          <w:tcPr>
            <w:tcW w:w="1906" w:type="dxa"/>
            <w:tcBorders/>
            <w:shd w:fill="FFFFFF" w:val="cle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 a percent of sales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1906" w:type="dxa"/>
            <w:tcBorders/>
            <w:shd w:fill="CCEC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SG&amp;A expense</w:t>
            </w:r>
          </w:p>
        </w:tc>
        <w:tc>
          <w:tcPr>
            <w:tcW w:w="2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51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51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591" w:type="dxa"/>
            <w:tcBorders/>
            <w:shd w:fill="CCEC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FFFFFF" w:val="cle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 a percent of sales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1906" w:type="dxa"/>
            <w:tcBorders/>
            <w:shd w:fill="CCEC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R&amp;D expense</w:t>
            </w:r>
          </w:p>
        </w:tc>
        <w:tc>
          <w:tcPr>
            <w:tcW w:w="2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51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51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25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shd w:fill="CCEC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591" w:type="dxa"/>
            <w:tcBorders/>
            <w:shd w:fill="CCEC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06" w:type="dxa"/>
            <w:tcBorders/>
            <w:shd w:fill="FFFFFF" w:val="cle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As a percent of sales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1906" w:type="dxa"/>
            <w:tcBorders/>
            <w:shd w:fill="FFFFFF" w:val="clear"/>
            <w:vAlign w:val="center"/>
          </w:tcPr>
          <w:p>
            <w:pPr>
              <w:pStyle w:val="TableContents"/>
              <w:bidi w:val="0"/>
              <w:spacing w:before="0" w:after="283"/>
              <w:ind w:left="400" w:right="0" w:firstLine="40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2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 (net sales less 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decreased by $228.0 million for the three months ended March 31, 2024 compared to the prior year period primarily due to lower net sales volumes, partially offset by favorable product mix and lower material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Transition service agreement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Transition service agreement (TSA) income is related to the TSA we entered into with Vantiva in conjunction with the closing of the transaction to divest of the Home business in January 2024. Under the TSA agreement, we are providing (and in some instances receiving) certain post-closing support on a transitional basis. The TSA has varying terms for duration up to sixteen months, depending on the service, and provides for options to extend services for up to two renewal terms of three months each. The majority of the services are expected to cease by the end of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selling, general and administrative (SG&amp;A) expense decreased by $32.3 million compared to the prior year period primarily due to cost savings initiatives and lower variable incentive compensation expense of $4.3 million. During the three months ended March 31, 2024, these favorable impacts were partially offset by higher transaction, transformation and integration costs of $8.2 million due to ongoing CommScope NEXT initiatives. We expect to continue to incur these costs during the remainder of 2024, and the resulting charges and cash requirements could be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 decreased by $21.2 million for the three months ended March 31, 2024 compared to the prior year period primarily due to lower spending across all segments. R&amp;D activities generally involve ensuring that our products are capable of meeting the evolving technological needs of our customers, bringing new products to market and modifying existing products to better serve our customers.</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Amortization of purchased intangible assets and Restructuring costs (credits), net</w:t>
      </w:r>
    </w:p>
    <w:tbl>
      <w:tblPr>
        <w:tblW w:w="7982" w:type="dxa"/>
        <w:jc w:val="left"/>
        <w:tblInd w:w="0" w:type="dxa"/>
        <w:tblLayout w:type="fixed"/>
        <w:tblCellMar>
          <w:top w:w="28" w:type="dxa"/>
          <w:left w:w="28" w:type="dxa"/>
          <w:bottom w:w="28" w:type="dxa"/>
          <w:right w:w="28" w:type="dxa"/>
        </w:tblCellMar>
      </w:tblPr>
      <w:tblGrid>
        <w:gridCol w:w="3676"/>
        <w:gridCol w:w="146"/>
        <w:gridCol w:w="211"/>
        <w:gridCol w:w="466"/>
        <w:gridCol w:w="146"/>
        <w:gridCol w:w="146"/>
        <w:gridCol w:w="211"/>
        <w:gridCol w:w="571"/>
        <w:gridCol w:w="166"/>
        <w:gridCol w:w="146"/>
        <w:gridCol w:w="211"/>
        <w:gridCol w:w="526"/>
        <w:gridCol w:w="166"/>
        <w:gridCol w:w="146"/>
        <w:gridCol w:w="146"/>
        <w:gridCol w:w="526"/>
        <w:gridCol w:w="37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5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shd w:fill="FFFFFF" w:val="cle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8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76" w:type="dxa"/>
            <w:tcBorders/>
            <w:shd w:fill="FFFFFF" w:val="clear"/>
            <w:vAlign w:val="center"/>
          </w:tcPr>
          <w:p>
            <w:pPr>
              <w:pStyle w:val="TableContents"/>
              <w:bidi w:val="0"/>
              <w:spacing w:before="0" w:after="283"/>
              <w:jc w:val="center"/>
              <w:rPr/>
            </w:pPr>
            <w:r>
              <w:rPr/>
              <w:t> </w:t>
            </w:r>
          </w:p>
        </w:tc>
      </w:tr>
      <w:tr>
        <w:trPr/>
        <w:tc>
          <w:tcPr>
            <w:tcW w:w="36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purchased intangible assets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(credits),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FFFFFF" w:val="clear"/>
            <w:vAlign w:val="center"/>
          </w:tcPr>
          <w:p>
            <w:pPr>
              <w:pStyle w:val="TableContents"/>
              <w:bidi w:val="0"/>
              <w:spacing w:before="0" w:after="283"/>
              <w:jc w:val="right"/>
              <w:rPr/>
            </w:pPr>
            <w:r>
              <w:rPr/>
              <w:t> </w:t>
            </w:r>
          </w:p>
        </w:tc>
      </w:tr>
      <w:tr>
        <w:trPr/>
        <w:tc>
          <w:tcPr>
            <w:tcW w:w="3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Amortization of purchased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amortization of purchased intangible assets was lower compared to the prior year period because certain of our intangible assets became fully amortized.</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Restructuring costs (credits),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restructuring costs recorded during the three months ended March 31, 2024 and 2023 were primarily related to CommScope NEXT. For the three months ended March 31, 2024, our restructuring costs were $30.6 million, and we paid $9.3 million to settle restructuring liabilities. We expect to pay an additional $9.1 million during the remainder of 2024 related to restructuring actions that have been initiated. Additional restructuring actions related to CommScope NEXT are expected to be identified, and the resulting charges and cash requirements could be material.</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Other income (expense), net</w:t>
      </w:r>
    </w:p>
    <w:tbl>
      <w:tblPr>
        <w:tblW w:w="6575" w:type="dxa"/>
        <w:jc w:val="left"/>
        <w:tblInd w:w="0" w:type="dxa"/>
        <w:tblLayout w:type="fixed"/>
        <w:tblCellMar>
          <w:top w:w="28" w:type="dxa"/>
          <w:left w:w="28" w:type="dxa"/>
          <w:bottom w:w="28" w:type="dxa"/>
          <w:right w:w="28" w:type="dxa"/>
        </w:tblCellMar>
      </w:tblPr>
      <w:tblGrid>
        <w:gridCol w:w="2386"/>
        <w:gridCol w:w="146"/>
        <w:gridCol w:w="215"/>
        <w:gridCol w:w="429"/>
        <w:gridCol w:w="169"/>
        <w:gridCol w:w="148"/>
        <w:gridCol w:w="215"/>
        <w:gridCol w:w="429"/>
        <w:gridCol w:w="166"/>
        <w:gridCol w:w="146"/>
        <w:gridCol w:w="220"/>
        <w:gridCol w:w="441"/>
        <w:gridCol w:w="166"/>
        <w:gridCol w:w="146"/>
        <w:gridCol w:w="146"/>
        <w:gridCol w:w="631"/>
        <w:gridCol w:w="37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shd w:fill="FFFFFF" w:val="cle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67"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76" w:type="dxa"/>
            <w:tcBorders/>
            <w:shd w:fill="FFFFFF" w:val="clear"/>
            <w:vAlign w:val="center"/>
          </w:tcPr>
          <w:p>
            <w:pPr>
              <w:pStyle w:val="TableContents"/>
              <w:bidi w:val="0"/>
              <w:spacing w:before="0" w:after="283"/>
              <w:jc w:val="center"/>
              <w:rPr/>
            </w:pPr>
            <w:r>
              <w:rPr/>
              <w:t> </w:t>
            </w:r>
          </w:p>
        </w:tc>
      </w:tr>
      <w:tr>
        <w:trPr/>
        <w:tc>
          <w:tcPr>
            <w:tcW w:w="238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9"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20"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Foreign currency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loss includes the net foreign currency gains and losses resulting from the settlement of receivables and payables, foreign currency contracts and short-term intercompany advances in a currency other than the subsidiary’s functional currency. The change in foreign currency loss for the three months ended March 31, 2024 compared to the prior year period was primarily driven by certain unhedged currencies.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other income (expense), net for the three months ended March 31, 2024 compared to the prior year period was primarily driven by a gain of $7.5 million on the early extinguishment of debt related to our debt repurchases in the prior year period. There were no debt repurchases during the three months ended March 31, 2024.</w:t>
      </w:r>
    </w:p>
    <w:p>
      <w:pPr>
        <w:pStyle w:val="TextBody"/>
        <w:bidi w:val="0"/>
        <w:spacing w:before="360" w:after="200"/>
        <w:jc w:val="left"/>
        <w:rPr>
          <w:rFonts w:ascii="Times New Roman" w:hAnsi="Times New Roman"/>
          <w:b/>
          <w:color w:val="000000"/>
          <w:sz w:val="20"/>
        </w:rPr>
      </w:pPr>
      <w:r>
        <w:rPr>
          <w:rFonts w:ascii="Times New Roman" w:hAnsi="Times New Roman"/>
          <w:b/>
          <w:color w:val="000000"/>
          <w:sz w:val="20"/>
        </w:rPr>
        <w:t>Interest expense, Interest income and Income taxes</w:t>
      </w:r>
    </w:p>
    <w:tbl>
      <w:tblPr>
        <w:tblW w:w="7312" w:type="dxa"/>
        <w:jc w:val="left"/>
        <w:tblInd w:w="0" w:type="dxa"/>
        <w:tblLayout w:type="fixed"/>
        <w:tblCellMar>
          <w:top w:w="28" w:type="dxa"/>
          <w:left w:w="28" w:type="dxa"/>
          <w:bottom w:w="28" w:type="dxa"/>
          <w:right w:w="28" w:type="dxa"/>
        </w:tblCellMar>
      </w:tblPr>
      <w:tblGrid>
        <w:gridCol w:w="2461"/>
        <w:gridCol w:w="146"/>
        <w:gridCol w:w="211"/>
        <w:gridCol w:w="631"/>
        <w:gridCol w:w="166"/>
        <w:gridCol w:w="146"/>
        <w:gridCol w:w="211"/>
        <w:gridCol w:w="631"/>
        <w:gridCol w:w="166"/>
        <w:gridCol w:w="146"/>
        <w:gridCol w:w="211"/>
        <w:gridCol w:w="631"/>
        <w:gridCol w:w="166"/>
        <w:gridCol w:w="146"/>
        <w:gridCol w:w="146"/>
        <w:gridCol w:w="781"/>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8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16" w:type="dxa"/>
            <w:tcBorders/>
            <w:shd w:fill="FFFFFF" w:val="clear"/>
            <w:vAlign w:val="center"/>
          </w:tcPr>
          <w:p>
            <w:pPr>
              <w:pStyle w:val="TableContents"/>
              <w:bidi w:val="0"/>
              <w:spacing w:before="0" w:after="283"/>
              <w:jc w:val="center"/>
              <w:rPr/>
            </w:pPr>
            <w:r>
              <w:rPr/>
              <w:t> </w:t>
            </w:r>
          </w:p>
        </w:tc>
      </w:tr>
      <w:tr>
        <w:trPr/>
        <w:tc>
          <w:tcPr>
            <w:tcW w:w="24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16" w:type="dxa"/>
            <w:tcBorders/>
            <w:shd w:fill="FFFFFF" w:val="clear"/>
            <w:vAlign w:val="center"/>
          </w:tcPr>
          <w:p>
            <w:pPr>
              <w:pStyle w:val="TableContents"/>
              <w:bidi w:val="0"/>
              <w:spacing w:before="0" w:after="283"/>
              <w:jc w:val="left"/>
              <w:rPr/>
            </w:pPr>
            <w:r>
              <w:rPr/>
              <w:t> </w:t>
            </w:r>
          </w:p>
        </w:tc>
      </w:tr>
      <w:tr>
        <w:trPr/>
        <w:tc>
          <w:tcPr>
            <w:tcW w:w="246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8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(2,595.0</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 and 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interest expense for the three months ended March 31, 2024 compared to the prior year period was driven by the increased variable interest rate on our senior secured term loan due 2026 (2026 Term Loan) as a result of the Federal Reserve’s increases in interest rates. Our weighted average effective interest rate on outstanding borrowings, including the impact of the interest rate swap contracts and the amortization of debt issuance costs and original issue discount, was 7.21% at March 31, 2024, 7.22% at December 31, 2023 and 7.06% at March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interest expense and payments on our variable rate debt will continue to increase if the Federal Reserve increases interest rates in 2024. See Part II, Item 7A, “Quantitative and Qualitative Disclosure About Market Risk” in our 2023 Annual Report for further discussion of our interest rate risk.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we recognized income tax expense of $99.8 million on a pretax loss of $162.3 million. Our tax expense for the three months ended March 31, 2024, was unfavorably impacted by additional valuation allowance related to current year federal and state interest limitation carryforwards and U.S. anti-deferral provisions, partially offset by tax benefits related to federal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2023, we recognized an income tax benefit of $4.0 million on pretax income of $25.8 million. This tax benefit was primarily due to a reduction in tax expense of $8.3 million related to the release of various uncertain tax positions, partially offset by the unfavorable impacts of U.S. anti-deferral provisions and non-creditable withholding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Segment Results</w:t>
      </w:r>
    </w:p>
    <w:tbl>
      <w:tblPr>
        <w:tblW w:w="10205" w:type="dxa"/>
        <w:jc w:val="left"/>
        <w:tblInd w:w="0" w:type="dxa"/>
        <w:tblLayout w:type="fixed"/>
        <w:tblCellMar>
          <w:top w:w="28" w:type="dxa"/>
          <w:left w:w="28" w:type="dxa"/>
          <w:bottom w:w="28" w:type="dxa"/>
          <w:right w:w="28" w:type="dxa"/>
        </w:tblCellMar>
      </w:tblPr>
      <w:tblGrid>
        <w:gridCol w:w="2185"/>
        <w:gridCol w:w="246"/>
        <w:gridCol w:w="211"/>
        <w:gridCol w:w="721"/>
        <w:gridCol w:w="166"/>
        <w:gridCol w:w="146"/>
        <w:gridCol w:w="155"/>
        <w:gridCol w:w="609"/>
        <w:gridCol w:w="166"/>
        <w:gridCol w:w="271"/>
        <w:gridCol w:w="146"/>
        <w:gridCol w:w="211"/>
        <w:gridCol w:w="721"/>
        <w:gridCol w:w="166"/>
        <w:gridCol w:w="146"/>
        <w:gridCol w:w="150"/>
        <w:gridCol w:w="591"/>
        <w:gridCol w:w="166"/>
        <w:gridCol w:w="271"/>
        <w:gridCol w:w="146"/>
        <w:gridCol w:w="211"/>
        <w:gridCol w:w="631"/>
        <w:gridCol w:w="166"/>
        <w:gridCol w:w="146"/>
        <w:gridCol w:w="146"/>
        <w:gridCol w:w="631"/>
        <w:gridCol w:w="166"/>
        <w:gridCol w:w="518"/>
      </w:tblGrid>
      <w:tr>
        <w:trPr/>
        <w:tc>
          <w:tcPr>
            <w:tcW w:w="218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185"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576" w:type="dxa"/>
            <w:gridSpan w:val="1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18" w:type="dxa"/>
            <w:tcBorders/>
            <w:shd w:fill="FFFFFF" w:val="clear"/>
            <w:vAlign w:val="center"/>
          </w:tcPr>
          <w:p>
            <w:pPr>
              <w:pStyle w:val="TableContents"/>
              <w:bidi w:val="0"/>
              <w:spacing w:before="0" w:after="283"/>
              <w:jc w:val="center"/>
              <w:rPr/>
            </w:pPr>
            <w:r>
              <w:rPr/>
              <w:t> </w:t>
            </w:r>
          </w:p>
        </w:tc>
      </w:tr>
      <w:tr>
        <w:trPr/>
        <w:tc>
          <w:tcPr>
            <w:tcW w:w="2185"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576"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18" w:type="dxa"/>
            <w:tcBorders/>
            <w:shd w:fill="FFFFFF" w:val="clear"/>
            <w:vAlign w:val="center"/>
          </w:tcPr>
          <w:p>
            <w:pPr>
              <w:pStyle w:val="TableContents"/>
              <w:bidi w:val="0"/>
              <w:spacing w:before="0" w:after="283"/>
              <w:jc w:val="center"/>
              <w:rPr/>
            </w:pPr>
            <w:r>
              <w:rPr/>
              <w:t> </w:t>
            </w:r>
          </w:p>
        </w:tc>
      </w:tr>
      <w:tr>
        <w:trPr/>
        <w:tc>
          <w:tcPr>
            <w:tcW w:w="2185"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0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15" w:type="dxa"/>
            <w:gridSpan w:val="8"/>
            <w:tcBorders/>
            <w:shd w:fill="FFFFFF" w:val="clear"/>
            <w:vAlign w:val="center"/>
          </w:tcPr>
          <w:p>
            <w:pPr>
              <w:pStyle w:val="TableContents"/>
              <w:bidi w:val="0"/>
              <w:spacing w:before="0" w:after="283"/>
              <w:jc w:val="center"/>
              <w:rPr/>
            </w:pPr>
            <w:r>
              <w:rPr/>
              <w:t> </w:t>
            </w:r>
          </w:p>
        </w:tc>
      </w:tr>
      <w:tr>
        <w:trPr/>
        <w:tc>
          <w:tcPr>
            <w:tcW w:w="2185"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Net </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8" w:type="dxa"/>
            <w:tcBorders/>
            <w:shd w:fill="FFFF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090" w:type="dxa"/>
            <w:gridSpan w:val="2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66" w:type="dxa"/>
            <w:tcBorders/>
            <w:shd w:fill="FFFFFF" w:val="clear"/>
            <w:vAlign w:val="center"/>
          </w:tcPr>
          <w:p>
            <w:pPr>
              <w:pStyle w:val="TableContents"/>
              <w:bidi w:val="0"/>
              <w:spacing w:before="0" w:after="283"/>
              <w:jc w:val="center"/>
              <w:rPr/>
            </w:pPr>
            <w:r>
              <w:rPr/>
              <w:t> </w:t>
            </w:r>
          </w:p>
        </w:tc>
        <w:tc>
          <w:tcPr>
            <w:tcW w:w="518"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by segment:</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64"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41"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ind w:left="0" w:right="0" w:firstLine="200"/>
              <w:jc w:val="left"/>
              <w:rPr/>
            </w:pPr>
            <w:r>
              <w:rPr/>
              <w:t> </w:t>
            </w:r>
          </w:p>
        </w:tc>
      </w:tr>
      <w:tr>
        <w:trPr/>
        <w:tc>
          <w:tcPr>
            <w:tcW w:w="218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OWN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5" w:type="dxa"/>
            <w:tcBorders/>
            <w:shd w:fill="CCECFF" w:val="clear"/>
            <w:vAlign w:val="center"/>
          </w:tcPr>
          <w:p>
            <w:pPr>
              <w:pStyle w:val="TableContents"/>
              <w:bidi w:val="0"/>
              <w:spacing w:before="0" w:after="283"/>
              <w:jc w:val="left"/>
              <w:rPr/>
            </w:pPr>
            <w:r>
              <w:rPr/>
              <w:t> </w:t>
            </w:r>
          </w:p>
        </w:tc>
        <w:tc>
          <w:tcPr>
            <w:tcW w:w="60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0" w:type="dxa"/>
            <w:tcBorders/>
            <w:shd w:fill="CCECFF" w:val="clear"/>
            <w:vAlign w:val="center"/>
          </w:tcPr>
          <w:p>
            <w:pPr>
              <w:pStyle w:val="TableContents"/>
              <w:bidi w:val="0"/>
              <w:spacing w:before="0" w:after="283"/>
              <w:jc w:val="left"/>
              <w:rPr/>
            </w:pPr>
            <w:r>
              <w:rPr/>
              <w:t> </w:t>
            </w:r>
          </w:p>
        </w:tc>
        <w:tc>
          <w:tcPr>
            <w:tcW w:w="59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CECFF" w:val="clear"/>
            <w:vAlign w:val="center"/>
          </w:tcPr>
          <w:p>
            <w:pPr>
              <w:pStyle w:val="TableContents"/>
              <w:bidi w:val="0"/>
              <w:spacing w:before="0" w:after="283"/>
              <w:ind w:left="0" w:right="0" w:firstLine="200"/>
              <w:jc w:val="left"/>
              <w:rPr/>
            </w:pPr>
            <w:r>
              <w:rPr/>
              <w:t> </w:t>
            </w:r>
          </w:p>
        </w:tc>
      </w:tr>
      <w:tr>
        <w:trPr/>
        <w:tc>
          <w:tcPr>
            <w:tcW w:w="218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NICS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vAlign w:val="center"/>
          </w:tcPr>
          <w:p>
            <w:pPr>
              <w:pStyle w:val="TableContents"/>
              <w:bidi w:val="0"/>
              <w:spacing w:before="0" w:after="283"/>
              <w:ind w:left="0" w:right="0" w:firstLine="200"/>
              <w:jc w:val="left"/>
              <w:rPr/>
            </w:pPr>
            <w:r>
              <w:rPr/>
              <w:t> </w:t>
            </w:r>
          </w:p>
        </w:tc>
      </w:tr>
      <w:tr>
        <w:trPr/>
        <w:tc>
          <w:tcPr>
            <w:tcW w:w="2185"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5" w:type="dxa"/>
            <w:tcBorders/>
            <w:shd w:fill="CCECFF" w:val="clear"/>
            <w:vAlign w:val="center"/>
          </w:tcPr>
          <w:p>
            <w:pPr>
              <w:pStyle w:val="TableContents"/>
              <w:bidi w:val="0"/>
              <w:spacing w:before="0" w:after="283"/>
              <w:jc w:val="left"/>
              <w:rPr/>
            </w:pPr>
            <w:r>
              <w:rPr/>
              <w:t> </w:t>
            </w:r>
          </w:p>
        </w:tc>
        <w:tc>
          <w:tcPr>
            <w:tcW w:w="60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0" w:type="dxa"/>
            <w:tcBorders/>
            <w:shd w:fill="CCECFF" w:val="clear"/>
            <w:vAlign w:val="center"/>
          </w:tcPr>
          <w:p>
            <w:pPr>
              <w:pStyle w:val="TableContents"/>
              <w:bidi w:val="0"/>
              <w:spacing w:before="0" w:after="283"/>
              <w:jc w:val="left"/>
              <w:rPr/>
            </w:pPr>
            <w:r>
              <w:rPr/>
              <w:t> </w:t>
            </w:r>
          </w:p>
        </w:tc>
        <w:tc>
          <w:tcPr>
            <w:tcW w:w="59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sales</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64"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41"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7"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518"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 by segment:</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ind w:left="0" w:right="0" w:firstLine="200"/>
              <w:jc w:val="left"/>
              <w:rPr/>
            </w:pPr>
            <w:r>
              <w:rPr/>
              <w:t> </w:t>
            </w:r>
          </w:p>
        </w:tc>
      </w:tr>
      <w:tr>
        <w:trPr/>
        <w:tc>
          <w:tcPr>
            <w:tcW w:w="2185"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5" w:type="dxa"/>
            <w:tcBorders/>
            <w:shd w:fill="CCECFF" w:val="clear"/>
            <w:vAlign w:val="center"/>
          </w:tcPr>
          <w:p>
            <w:pPr>
              <w:pStyle w:val="TableContents"/>
              <w:bidi w:val="0"/>
              <w:spacing w:before="0" w:after="283"/>
              <w:jc w:val="left"/>
              <w:rPr/>
            </w:pPr>
            <w:r>
              <w:rPr/>
              <w:t> </w:t>
            </w:r>
          </w:p>
        </w:tc>
        <w:tc>
          <w:tcPr>
            <w:tcW w:w="60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0" w:type="dxa"/>
            <w:tcBorders/>
            <w:shd w:fill="CCECFF" w:val="clear"/>
            <w:vAlign w:val="center"/>
          </w:tcPr>
          <w:p>
            <w:pPr>
              <w:pStyle w:val="TableContents"/>
              <w:bidi w:val="0"/>
              <w:spacing w:before="0" w:after="283"/>
              <w:jc w:val="left"/>
              <w:rPr/>
            </w:pPr>
            <w:r>
              <w:rPr/>
              <w:t> </w:t>
            </w:r>
          </w:p>
        </w:tc>
        <w:tc>
          <w:tcPr>
            <w:tcW w:w="59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OWN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vAlign w:val="center"/>
          </w:tcPr>
          <w:p>
            <w:pPr>
              <w:pStyle w:val="TableContents"/>
              <w:bidi w:val="0"/>
              <w:spacing w:before="0" w:after="283"/>
              <w:ind w:left="0" w:right="0" w:firstLine="200"/>
              <w:jc w:val="left"/>
              <w:rPr/>
            </w:pPr>
            <w:r>
              <w:rPr/>
              <w:t> </w:t>
            </w:r>
          </w:p>
        </w:tc>
      </w:tr>
      <w:tr>
        <w:trPr/>
        <w:tc>
          <w:tcPr>
            <w:tcW w:w="2185"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NICS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55" w:type="dxa"/>
            <w:tcBorders/>
            <w:shd w:fill="CCECFF" w:val="clear"/>
            <w:vAlign w:val="center"/>
          </w:tcPr>
          <w:p>
            <w:pPr>
              <w:pStyle w:val="TableContents"/>
              <w:bidi w:val="0"/>
              <w:spacing w:before="0" w:after="283"/>
              <w:jc w:val="left"/>
              <w:rPr/>
            </w:pPr>
            <w:r>
              <w:rPr/>
              <w:t> </w:t>
            </w:r>
          </w:p>
        </w:tc>
        <w:tc>
          <w:tcPr>
            <w:tcW w:w="60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0" w:type="dxa"/>
            <w:tcBorders/>
            <w:shd w:fill="CCECFF" w:val="clear"/>
            <w:vAlign w:val="center"/>
          </w:tcPr>
          <w:p>
            <w:pPr>
              <w:pStyle w:val="TableContents"/>
              <w:bidi w:val="0"/>
              <w:spacing w:before="0" w:after="283"/>
              <w:jc w:val="left"/>
              <w:rPr/>
            </w:pPr>
            <w:r>
              <w:rPr/>
              <w:t> </w:t>
            </w:r>
          </w:p>
        </w:tc>
        <w:tc>
          <w:tcPr>
            <w:tcW w:w="59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CECFF" w:val="clear"/>
            <w:vAlign w:val="center"/>
          </w:tcPr>
          <w:p>
            <w:pPr>
              <w:pStyle w:val="TableContents"/>
              <w:bidi w:val="0"/>
              <w:spacing w:before="0" w:after="283"/>
              <w:ind w:left="0" w:right="0" w:firstLine="200"/>
              <w:jc w:val="left"/>
              <w:rPr/>
            </w:pPr>
            <w:r>
              <w:rPr/>
              <w:t> </w:t>
            </w:r>
          </w:p>
        </w:tc>
      </w:tr>
      <w:tr>
        <w:trPr/>
        <w:tc>
          <w:tcPr>
            <w:tcW w:w="218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FFFFFF" w:val="clear"/>
            <w:vAlign w:val="center"/>
          </w:tcPr>
          <w:p>
            <w:pPr>
              <w:pStyle w:val="TableContents"/>
              <w:bidi w:val="0"/>
              <w:spacing w:before="0" w:after="283"/>
              <w:jc w:val="right"/>
              <w:rPr/>
            </w:pPr>
            <w:r>
              <w:rPr/>
              <w:t> </w:t>
            </w:r>
          </w:p>
        </w:tc>
        <w:tc>
          <w:tcPr>
            <w:tcW w:w="518" w:type="dxa"/>
            <w:tcBorders/>
            <w:shd w:fill="FFFFFF" w:val="clear"/>
            <w:vAlign w:val="center"/>
          </w:tcPr>
          <w:p>
            <w:pPr>
              <w:pStyle w:val="TableContents"/>
              <w:bidi w:val="0"/>
              <w:spacing w:before="0" w:after="283"/>
              <w:ind w:left="0" w:right="0" w:firstLine="200"/>
              <w:jc w:val="left"/>
              <w:rPr/>
            </w:pPr>
            <w:r>
              <w:rPr/>
              <w:t> </w:t>
            </w:r>
          </w:p>
        </w:tc>
      </w:tr>
      <w:tr>
        <w:trPr/>
        <w:tc>
          <w:tcPr>
            <w:tcW w:w="2185" w:type="dxa"/>
            <w:tcBorders/>
            <w:shd w:fill="CCEC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(1)</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64" w:type="dxa"/>
            <w:gridSpan w:val="2"/>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vAlign w:val="center"/>
          </w:tcPr>
          <w:p>
            <w:pPr>
              <w:pStyle w:val="TableContents"/>
              <w:bidi w:val="0"/>
              <w:spacing w:before="0" w:after="283"/>
              <w:jc w:val="righ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741" w:type="dxa"/>
            <w:gridSpan w:val="2"/>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vAlign w:val="center"/>
          </w:tcPr>
          <w:p>
            <w:pPr>
              <w:pStyle w:val="TableContents"/>
              <w:bidi w:val="0"/>
              <w:spacing w:before="0" w:after="283"/>
              <w:jc w:val="righ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7" w:type="dxa"/>
            <w:gridSpan w:val="2"/>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vAlign w:val="center"/>
          </w:tcPr>
          <w:p>
            <w:pPr>
              <w:pStyle w:val="TableContents"/>
              <w:bidi w:val="0"/>
              <w:spacing w:before="0" w:after="283"/>
              <w:jc w:val="right"/>
              <w:rPr/>
            </w:pPr>
            <w:r>
              <w:rPr/>
              <w:t> </w:t>
            </w:r>
          </w:p>
        </w:tc>
        <w:tc>
          <w:tcPr>
            <w:tcW w:w="518"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operating income</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CCECFF" w:val="clear"/>
            <w:vAlign w:val="center"/>
          </w:tcPr>
          <w:p>
            <w:pPr>
              <w:pStyle w:val="TableContents"/>
              <w:bidi w:val="0"/>
              <w:spacing w:before="0" w:after="283"/>
              <w:jc w:val="left"/>
              <w:rPr/>
            </w:pPr>
            <w:r>
              <w:rPr/>
              <w:t> </w:t>
            </w:r>
          </w:p>
        </w:tc>
        <w:tc>
          <w:tcPr>
            <w:tcW w:w="2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64"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3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41"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7"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518"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by segment:</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ind w:left="0" w:right="0" w:firstLine="200"/>
              <w:jc w:val="left"/>
              <w:rPr/>
            </w:pPr>
            <w:r>
              <w:rPr/>
              <w:t> </w:t>
            </w:r>
          </w:p>
        </w:tc>
      </w:tr>
      <w:tr>
        <w:trPr/>
        <w:tc>
          <w:tcPr>
            <w:tcW w:w="2185"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5" w:type="dxa"/>
            <w:tcBorders/>
            <w:shd w:fill="CCECFF" w:val="clear"/>
            <w:vAlign w:val="center"/>
          </w:tcPr>
          <w:p>
            <w:pPr>
              <w:pStyle w:val="TableContents"/>
              <w:bidi w:val="0"/>
              <w:spacing w:before="0" w:after="283"/>
              <w:jc w:val="left"/>
              <w:rPr/>
            </w:pPr>
            <w:r>
              <w:rPr/>
              <w:t> </w:t>
            </w:r>
          </w:p>
        </w:tc>
        <w:tc>
          <w:tcPr>
            <w:tcW w:w="60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0" w:type="dxa"/>
            <w:tcBorders/>
            <w:shd w:fill="CCECFF" w:val="clear"/>
            <w:vAlign w:val="center"/>
          </w:tcPr>
          <w:p>
            <w:pPr>
              <w:pStyle w:val="TableContents"/>
              <w:bidi w:val="0"/>
              <w:spacing w:before="0" w:after="283"/>
              <w:jc w:val="left"/>
              <w:rPr/>
            </w:pPr>
            <w:r>
              <w:rPr/>
              <w:t> </w:t>
            </w:r>
          </w:p>
        </w:tc>
        <w:tc>
          <w:tcPr>
            <w:tcW w:w="59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OWN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vAlign w:val="center"/>
          </w:tcPr>
          <w:p>
            <w:pPr>
              <w:pStyle w:val="TableContents"/>
              <w:bidi w:val="0"/>
              <w:spacing w:before="0" w:after="283"/>
              <w:ind w:left="0" w:right="0" w:firstLine="200"/>
              <w:jc w:val="left"/>
              <w:rPr/>
            </w:pPr>
            <w:r>
              <w:rPr/>
              <w:t> </w:t>
            </w:r>
          </w:p>
        </w:tc>
      </w:tr>
      <w:tr>
        <w:trPr/>
        <w:tc>
          <w:tcPr>
            <w:tcW w:w="2185"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NICS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55" w:type="dxa"/>
            <w:tcBorders/>
            <w:shd w:fill="CCECFF" w:val="clear"/>
            <w:vAlign w:val="center"/>
          </w:tcPr>
          <w:p>
            <w:pPr>
              <w:pStyle w:val="TableContents"/>
              <w:bidi w:val="0"/>
              <w:spacing w:before="0" w:after="283"/>
              <w:jc w:val="left"/>
              <w:rPr/>
            </w:pPr>
            <w:r>
              <w:rPr/>
              <w:t> </w:t>
            </w:r>
          </w:p>
        </w:tc>
        <w:tc>
          <w:tcPr>
            <w:tcW w:w="60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0" w:type="dxa"/>
            <w:tcBorders/>
            <w:shd w:fill="CCECFF" w:val="clear"/>
            <w:vAlign w:val="center"/>
          </w:tcPr>
          <w:p>
            <w:pPr>
              <w:pStyle w:val="TableContents"/>
              <w:bidi w:val="0"/>
              <w:spacing w:before="0" w:after="283"/>
              <w:jc w:val="left"/>
              <w:rPr/>
            </w:pPr>
            <w:r>
              <w:rPr/>
              <w:t> </w:t>
            </w:r>
          </w:p>
        </w:tc>
        <w:tc>
          <w:tcPr>
            <w:tcW w:w="59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CECFF" w:val="clear"/>
            <w:vAlign w:val="center"/>
          </w:tcPr>
          <w:p>
            <w:pPr>
              <w:pStyle w:val="TableContents"/>
              <w:bidi w:val="0"/>
              <w:spacing w:before="0" w:after="283"/>
              <w:jc w:val="lef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CECFF" w:val="clear"/>
            <w:vAlign w:val="center"/>
          </w:tcPr>
          <w:p>
            <w:pPr>
              <w:pStyle w:val="TableContents"/>
              <w:bidi w:val="0"/>
              <w:spacing w:before="0" w:after="283"/>
              <w:ind w:left="0" w:right="0" w:firstLine="200"/>
              <w:jc w:val="left"/>
              <w:rPr/>
            </w:pPr>
            <w:r>
              <w:rPr/>
              <w:t> </w:t>
            </w:r>
          </w:p>
        </w:tc>
      </w:tr>
      <w:tr>
        <w:trPr/>
        <w:tc>
          <w:tcPr>
            <w:tcW w:w="218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vAlign w:val="center"/>
          </w:tcPr>
          <w:p>
            <w:pPr>
              <w:pStyle w:val="TableContents"/>
              <w:bidi w:val="0"/>
              <w:spacing w:before="0" w:after="283"/>
              <w:ind w:left="0" w:right="0" w:firstLine="200"/>
              <w:jc w:val="left"/>
              <w:rPr/>
            </w:pPr>
            <w:r>
              <w:rPr/>
              <w:t> </w:t>
            </w:r>
          </w:p>
        </w:tc>
      </w:tr>
      <w:tr>
        <w:trPr/>
        <w:tc>
          <w:tcPr>
            <w:tcW w:w="2185" w:type="dxa"/>
            <w:tcBorders/>
            <w:shd w:fill="CCEC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(1)</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64" w:type="dxa"/>
            <w:gridSpan w:val="2"/>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vAlign w:val="center"/>
          </w:tcPr>
          <w:p>
            <w:pPr>
              <w:pStyle w:val="TableContents"/>
              <w:bidi w:val="0"/>
              <w:spacing w:before="0" w:after="283"/>
              <w:jc w:val="righ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741" w:type="dxa"/>
            <w:gridSpan w:val="2"/>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vAlign w:val="center"/>
          </w:tcPr>
          <w:p>
            <w:pPr>
              <w:pStyle w:val="TableContents"/>
              <w:bidi w:val="0"/>
              <w:spacing w:before="0" w:after="283"/>
              <w:jc w:val="right"/>
              <w:rPr/>
            </w:pPr>
            <w:r>
              <w:rPr/>
              <w:t> </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77" w:type="dxa"/>
            <w:gridSpan w:val="2"/>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66" w:type="dxa"/>
            <w:tcBorders/>
            <w:shd w:fill="CCECFF" w:val="clear"/>
            <w:vAlign w:val="center"/>
          </w:tcPr>
          <w:p>
            <w:pPr>
              <w:pStyle w:val="TableContents"/>
              <w:bidi w:val="0"/>
              <w:spacing w:before="0" w:after="283"/>
              <w:jc w:val="right"/>
              <w:rPr/>
            </w:pPr>
            <w:r>
              <w:rPr/>
              <w:t> </w:t>
            </w:r>
          </w:p>
        </w:tc>
        <w:tc>
          <w:tcPr>
            <w:tcW w:w="518"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consolidated adjusted </w:t>
              <w:br/>
              <w:t xml:space="preserve">     EBITDA </w:t>
            </w:r>
            <w:r>
              <w:rPr>
                <w:rFonts w:ascii="Times New Roman" w:hAnsi="Times New Roman"/>
                <w:color w:val="000000"/>
                <w:sz w:val="13"/>
              </w:rPr>
              <w:t>(2)</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2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prior year period includes general corporate costs that were previously allocated to the Home segment. These indirect costs have been classified as continuing operations for the prior year period, since they were not directly attributable to the discontinued operations of the Home segment. Beginning in the first quarter of 2024, these costs have been reallocated to our remaining segments and partially offset by income from our transition service agreement with Vantiva.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“Reconciliation of Non-GAAP Measures” within this Management’s Discussion and Analysis of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Connectivity and Cable Solutions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for the CCS segment decreased for the three months ended March 31, 2024 compared to the prior year period primarily due to lower sales volumes as certain customers have paused spending as they right-size their inventory levels. From a regional perspective, for the three months ended March 31, 2024, net sales decreased in the U.S. by $174.7 million, the EMEA region by $14.2 million, the CALA region by $13.9 million, Canada by $7.7 million and the APAC region by $5.9 million compared to the prior year period. Foreign exchange rate changes did not have a material impact on our CCS net sales during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CCS segment operating income and adjusted EBITDA decreased compared to the prior year period primarily due to lower sales volumes, partially offset by lower SG&amp;A costs, favorable product mix and lower material and R&amp;D costs. The reductions in SG&amp;A costs impacting both operating income and adjusted EBITDA were primarily due to cost savings initiatives. CCS segment operating income for the three months ended March 31, 2023 was also favorably impacted by a $20.2 million gain in restructuring costs related to the sale of an international manufacturing facility. Restructuring costs are not reflected in adjusted EBITDA. See “Reconciliation of Segment Adjusted EBITDA”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Outdoor Wireless Networks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OWN segment net sales decreased compared to the prior year period primarily due to lower sales volumes as a result of reductions in spending by certain North American operators. From a regional perspective, for the three months ended March 31, 2024, OWN segment net sales decreased in the U.S. by $63.2 million, Canada by $0.8 million and the EMEA region by $0.7 million, but increased in the APAC region by $2.1 million and the CALA region by $0.2 million compared to the prior year period. Foreign exchange rate changes did not have a material impact on our OWN net sales during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OWN segment operating income and adjusted EBITDA decreased compared to the prior year period primarily due to lower sales volumes partially offset by lower SG&amp;A costs. The reductions in SG&amp;A costs impacting both operating income and adjusted EBITDA were primarily due to cost savings initiatives. See “Reconciliation of Segment Adjusted EBITDA”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Networking, Intelligent Cellular and Security Solutions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NICS segment net sales decreased compared to the prior year period primarily due to lower sales volumes of our Ruckus products. From a regional perspective, for the three months ended March 31, 2024, NICS segment net sales decreased in the U.S. by $67.5 million, the EMEA region by $25.0 million, the APAC region by $8.7 million, the CALA region by $2.3 million and Canada by $0.7 million compared to the prior year period. Foreign exchange rate changes did not have a material impact on our NICS net sales during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NICS segment operating loss increased and adjusted EBITDA decreased compared to the prior year period primarily due to lower sales volumes and lower pricing, partially offset by favorable product mix and lower R&amp;D and SG&amp;A costs. The reductions in SG&amp;A costs impacting both operating income and adjusted EBITDA were primarily due to cost savings initiatives. See “Reconciliation of Segment Adjusted EBITDA”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Access Network Solutions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net sales decreased in the ANS segment due to lower sales volumes compared to the prior year period primarily due to lower sales volumes as certain customers have paused spending as they right-size their inventory levels. From a regional perspective, for the three months ended March 31, 2024, ANS segment net sales decreased in the U.S. by $85.1 million, the EMEA region by $21.2 million, the CALA region by $5.7 million and Canada by $4.5 million, but increased in the APAC region by $3.5 million compared to the prior year period. Foreign exchange rate changes did not have a material impact on our ANS net sales during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2024, ANS segment operating loss increased and adjusted EBITDA decreased compared to the prior year period primarily due to lower sales volumes but benefited from lower freight, favorable product mix and lower SG&amp;A and R&amp;D costs compared to the prior year period. The reductions in SG&amp;A costs impacting both operating income and adjusted EBITDA were primarily due to cost savings initiatives. For the three months ended March 31, 2024, ANS segment operating loss was negatively impacted by increases of $27.6 million in restructuring costs and $4.8 million in transaction, transformation and integration costs. These negative impacts were partially offset by a reduction of $23.9 million in amortization expense. Restructuring costs, transaction, transformation and integration costs and amortization expense are not reflected in adjusted EBITDA. See “Reconciliation of Segment Adjusted EBITDA”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liquidity_capital_resources"/>
      <w:bookmarkEnd w:id="13"/>
      <w:r>
        <w:rPr>
          <w:rFonts w:ascii="Times New Roman" w:hAnsi="Times New Roman"/>
          <w:b/>
          <w:color w:val="000000"/>
          <w:sz w:val="20"/>
        </w:rPr>
        <w:t>LIQUIDITY AND CAPITAL RESOURCES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summarizes certain key measures of our liquidity and capital resources (in millions, except percentage data):</w:t>
      </w:r>
    </w:p>
    <w:tbl>
      <w:tblPr>
        <w:tblW w:w="9876" w:type="dxa"/>
        <w:jc w:val="left"/>
        <w:tblInd w:w="0" w:type="dxa"/>
        <w:tblLayout w:type="fixed"/>
        <w:tblCellMar>
          <w:top w:w="28" w:type="dxa"/>
          <w:left w:w="28" w:type="dxa"/>
          <w:bottom w:w="28" w:type="dxa"/>
          <w:right w:w="28" w:type="dxa"/>
        </w:tblCellMar>
      </w:tblPr>
      <w:tblGrid>
        <w:gridCol w:w="4516"/>
        <w:gridCol w:w="146"/>
        <w:gridCol w:w="211"/>
        <w:gridCol w:w="721"/>
        <w:gridCol w:w="271"/>
        <w:gridCol w:w="146"/>
        <w:gridCol w:w="258"/>
        <w:gridCol w:w="882"/>
        <w:gridCol w:w="271"/>
        <w:gridCol w:w="146"/>
        <w:gridCol w:w="211"/>
        <w:gridCol w:w="631"/>
        <w:gridCol w:w="166"/>
        <w:gridCol w:w="146"/>
        <w:gridCol w:w="146"/>
        <w:gridCol w:w="526"/>
        <w:gridCol w:w="166"/>
        <w:gridCol w:w="316"/>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9" w:type="dxa"/>
            <w:gridSpan w:val="6"/>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3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166" w:type="dxa"/>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5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Working capital, net of assets and liabilities held for </w:t>
              <w:br/>
              <w:t xml:space="preserve">   sale </w:t>
            </w:r>
            <w:r>
              <w:rPr>
                <w:rFonts w:ascii="Times New Roman" w:hAnsi="Times New Roman"/>
                <w:color w:val="000000"/>
                <w:sz w:val="13"/>
              </w:rPr>
              <w:t xml:space="preserve">(1) </w:t>
            </w:r>
            <w:r>
              <w:rPr>
                <w:rFonts w:ascii="Times New Roman" w:hAnsi="Times New Roman"/>
                <w:color w:val="000000"/>
                <w:sz w:val="20"/>
              </w:rPr>
              <w:t xml:space="preserve">and excluding cash and cash equivalents and </w:t>
              <w:br/>
              <w:t>   current portion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5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Availability under Revolving Credit Facility</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CFF"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including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9,278.6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516"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capitalization </w:t>
            </w:r>
            <w:r>
              <w:rPr>
                <w:rFonts w:ascii="Times New Roman" w:hAnsi="Times New Roman"/>
                <w:color w:val="000000"/>
                <w:sz w:val="13"/>
              </w:rPr>
              <w:t>(2)</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7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7,123.1</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7,471.9</w:t>
            </w:r>
          </w:p>
        </w:tc>
        <w:tc>
          <w:tcPr>
            <w:tcW w:w="27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CECFF"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as a percentage of total capitalization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Working capital is net of assets and liabilities held for sale and consists of current assets of $2,407.4 million less current liabilities of $1,048.9 million as of March 31, 2024 and current assets of $2,584.1 million less current liabilities of $1,102.2 million as of December 31, 2023.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Total capitalization includes long-term debt, including the current portion, Series A convertible preferred stock (the Convertible Preferred Stock) and stockholders’ deficit.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sources of liquidity on a short-term basis are cash and cash equivalents, cash flows provided by operations and availability under our credit facilities. On a long-term basis, our potential sources of liquidity also include raising capital through the issuance of additional equity and/or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primary uses of liquidity include debt service requirements, voluntary debt repayments, redemptions or purchases on the open market, working capital requirements, capital expenditures, business separation transaction costs, transformation costs, restructuring costs, dividends related to the Convertible Preferred Stock if we elect to pay such dividends in cash, litigation settlements, income tax payments and other 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believe that our existing cash, cash equivalents and cash flows from operations, combined with availability under our Revolving Credit Facility, will be sufficient to meet our presently anticipated future cash needs. However, we may be required to obtain additional financing in the future to address our liquidity needs, and, subject to market conditions, we may from time to time seek to amend, refinance, restructure, exchange or repurchase our outstanding indebtedness and/or raise additional equity or other financing. Any debt we incur in the future may have terms (including cash interest rate, financial covenants and covenants limiting our operating flexibility or ability to obtain additional financings) that are not favorable to us, and any such additional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amendment, refinancing, restructuring, exchange or repurchases could have a material and adverse effect on our results of operations, cash flows, financial condition and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volatility in cash flows between periods due to, among other reasons, variability in the timing of vendor payments and customer receipts. We may, from time to time, seek to obtain alternative sources of financing, by borrowing additional amounts under our senior secured asset-based revolving credit facility (Revolving Credit Facility),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outstanding debt securities and debt under our credit facilities are currently trading at substantial discounts to their respective principal amounts. In order to reduce future cash interest payments, as well as future amounts due at maturity or upon redemption, we may, from time to time, purchase such debt for cash, in exchange for common or preferred stock or debt, or for a combination thereof, in each case in open-market purchases and/or privately negotiated transactions, tender offers or exchange offers and upon such terms and at such prices as we may determine. Any such transactions will be dependent upon several factors, including our liquidity requirements, contractual restrictions, general market conditions and applicable regulatory, legal and accounting factors. Whether or not we engage in any such transactions will be determined at our discretion. The amounts involved in any such transactions, individually or in the aggregate, may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the “Reconciliation of Non-GAAP Measures” section below, but also give pro forma effect to certain events, including acquisitions, synergies and savings from cost reduction initiatives such as facility closures and headcount reductions. For the twelve months ended March 31, 2024, our non-GAAP pro forma adjusted EBITDA, as measured pursuant to the indentures governing our notes, was $903.3 million, which included annualized savings expected from cost reduction initiatives of $65.0 million so that the impact of cost reduction initiatives is fully reflected in the twelve-month period used in the calculation of the ratios. In addition to limitations under these indentures, our senior secured credit facilities contain customary negative covenants based on similar financial measures. We believe we are in compliance with the covenants under our indentures and senior secured credit facilities as of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decreased during the three months ended March 31, 2024 primarily driven by cash used in operating activities of $177.7 million. As of March 31, 2024, approximately 64% of our cash and cash equivalents were held outside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Working capital, net of assets and liabilities held for sale and excluding cash and cash equivalents and the current portion of long-term debt, increased during the three months ended March 31, 2024 compared to the fourth quarter of 2023 primarily due to lower accrued liabilities due to the pay-out of our 2023 variable incentive compensation and interest payments. During the three months ended March 31, 2024, we sold accounts receivable under customer-sponsored supplier financing agreements. This had an impact of approximately $45 million on working capital, excluding cash and cash equivalents and the current portion of long-term debt, as of March 31, 2024. Under these agreements, we are able to sell certain accounts receivable to a bank, and we retain no interest in and have no servicing responsibilities for the accounts receivable sold. The net reduction in total capitalization during the three months ended March 31, 2024 reflected the net loss for the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 Overview</w:t>
      </w:r>
    </w:p>
    <w:tbl>
      <w:tblPr>
        <w:tblW w:w="8047" w:type="dxa"/>
        <w:jc w:val="left"/>
        <w:tblInd w:w="0" w:type="dxa"/>
        <w:tblLayout w:type="fixed"/>
        <w:tblCellMar>
          <w:top w:w="28" w:type="dxa"/>
          <w:left w:w="28" w:type="dxa"/>
          <w:bottom w:w="28" w:type="dxa"/>
          <w:right w:w="28" w:type="dxa"/>
        </w:tblCellMar>
      </w:tblPr>
      <w:tblGrid>
        <w:gridCol w:w="3511"/>
        <w:gridCol w:w="146"/>
        <w:gridCol w:w="211"/>
        <w:gridCol w:w="631"/>
        <w:gridCol w:w="166"/>
        <w:gridCol w:w="146"/>
        <w:gridCol w:w="211"/>
        <w:gridCol w:w="526"/>
        <w:gridCol w:w="166"/>
        <w:gridCol w:w="146"/>
        <w:gridCol w:w="211"/>
        <w:gridCol w:w="631"/>
        <w:gridCol w:w="166"/>
        <w:gridCol w:w="146"/>
        <w:gridCol w:w="146"/>
        <w:gridCol w:w="571"/>
        <w:gridCol w:w="31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7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16" w:type="dxa"/>
            <w:tcBorders/>
            <w:shd w:fill="FFFFFF" w:val="clear"/>
            <w:vAlign w:val="center"/>
          </w:tcPr>
          <w:p>
            <w:pPr>
              <w:pStyle w:val="TableContents"/>
              <w:bidi w:val="0"/>
              <w:spacing w:before="0" w:after="283"/>
              <w:jc w:val="center"/>
              <w:rPr/>
            </w:pPr>
            <w:r>
              <w:rPr/>
              <w:t> </w:t>
            </w:r>
          </w:p>
        </w:tc>
      </w:tr>
      <w:tr>
        <w:trPr/>
        <w:tc>
          <w:tcPr>
            <w:tcW w:w="35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Activities</w:t>
      </w:r>
    </w:p>
    <w:tbl>
      <w:tblPr>
        <w:tblW w:w="9949" w:type="dxa"/>
        <w:jc w:val="left"/>
        <w:tblInd w:w="0" w:type="dxa"/>
        <w:tblLayout w:type="fixed"/>
        <w:tblCellMar>
          <w:top w:w="28" w:type="dxa"/>
          <w:left w:w="28" w:type="dxa"/>
          <w:bottom w:w="28" w:type="dxa"/>
          <w:right w:w="28" w:type="dxa"/>
        </w:tblCellMar>
      </w:tblPr>
      <w:tblGrid>
        <w:gridCol w:w="6996"/>
        <w:gridCol w:w="146"/>
        <w:gridCol w:w="211"/>
        <w:gridCol w:w="631"/>
        <w:gridCol w:w="166"/>
        <w:gridCol w:w="146"/>
        <w:gridCol w:w="211"/>
        <w:gridCol w:w="631"/>
        <w:gridCol w:w="811"/>
      </w:tblGrid>
      <w:tr>
        <w:trPr/>
        <w:tc>
          <w:tcPr>
            <w:tcW w:w="6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811" w:type="dxa"/>
            <w:tcBorders/>
            <w:shd w:fill="FFFFFF" w:val="clear"/>
            <w:vAlign w:val="center"/>
          </w:tcPr>
          <w:p>
            <w:pPr>
              <w:pStyle w:val="TableContents"/>
              <w:bidi w:val="0"/>
              <w:spacing w:before="0" w:after="283"/>
              <w:jc w:val="center"/>
              <w:rPr/>
            </w:pPr>
            <w:r>
              <w:rPr/>
              <w:t> </w:t>
            </w:r>
          </w:p>
        </w:tc>
      </w:tr>
      <w:tr>
        <w:trPr/>
        <w:tc>
          <w:tcPr>
            <w:tcW w:w="6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811" w:type="dxa"/>
            <w:tcBorders/>
            <w:shd w:fill="FFFFFF" w:val="clear"/>
            <w:vAlign w:val="center"/>
          </w:tcPr>
          <w:p>
            <w:pPr>
              <w:pStyle w:val="TableContents"/>
              <w:bidi w:val="0"/>
              <w:spacing w:before="0" w:after="283"/>
              <w:ind w:left="0" w:right="0" w:firstLine="200"/>
              <w:jc w:val="center"/>
              <w:rPr/>
            </w:pPr>
            <w:r>
              <w:rPr/>
              <w:t> </w:t>
            </w:r>
          </w:p>
        </w:tc>
      </w:tr>
      <w:tr>
        <w:trPr/>
        <w:tc>
          <w:tcPr>
            <w:tcW w:w="699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811" w:type="dxa"/>
            <w:tcBorders/>
            <w:shd w:fill="CCECFF" w:val="clear"/>
            <w:vAlign w:val="center"/>
          </w:tcPr>
          <w:p>
            <w:pPr>
              <w:pStyle w:val="TableContents"/>
              <w:bidi w:val="0"/>
              <w:spacing w:before="0" w:after="283"/>
              <w:ind w:left="0" w:right="0" w:firstLine="200"/>
              <w:jc w:val="left"/>
              <w:rPr/>
            </w:pPr>
            <w:r>
              <w:rPr/>
              <w:t> </w:t>
            </w:r>
          </w:p>
        </w:tc>
      </w:tr>
      <w:tr>
        <w:trPr/>
        <w:tc>
          <w:tcPr>
            <w:tcW w:w="69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996" w:type="dxa"/>
            <w:tcBorders/>
            <w:shd w:fill="CCEC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811" w:type="dxa"/>
            <w:tcBorders/>
            <w:shd w:fill="CCECFF" w:val="clear"/>
            <w:vAlign w:val="center"/>
          </w:tcPr>
          <w:p>
            <w:pPr>
              <w:pStyle w:val="TableContents"/>
              <w:bidi w:val="0"/>
              <w:spacing w:before="0" w:after="283"/>
              <w:ind w:left="0" w:right="0" w:firstLine="400"/>
              <w:jc w:val="left"/>
              <w:rPr/>
            </w:pPr>
            <w:r>
              <w:rPr/>
              <w:t> </w:t>
            </w:r>
          </w:p>
        </w:tc>
      </w:tr>
      <w:tr>
        <w:trPr/>
        <w:tc>
          <w:tcPr>
            <w:tcW w:w="69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996" w:type="dxa"/>
            <w:tcBorders/>
            <w:shd w:fill="CCEC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811" w:type="dxa"/>
            <w:tcBorders/>
            <w:shd w:fill="CCEC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6996" w:type="dxa"/>
            <w:tcBorders/>
            <w:shd w:fill="CCEC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811" w:type="dxa"/>
            <w:tcBorders/>
            <w:shd w:fill="CCECFF" w:val="clear"/>
            <w:vAlign w:val="center"/>
          </w:tcPr>
          <w:p>
            <w:pPr>
              <w:pStyle w:val="TableContents"/>
              <w:bidi w:val="0"/>
              <w:spacing w:before="0" w:after="283"/>
              <w:ind w:left="0" w:right="0" w:firstLine="600"/>
              <w:jc w:val="left"/>
              <w:rPr/>
            </w:pPr>
            <w:r>
              <w:rPr/>
              <w:t> </w:t>
            </w:r>
          </w:p>
        </w:tc>
      </w:tr>
      <w:tr>
        <w:trPr/>
        <w:tc>
          <w:tcPr>
            <w:tcW w:w="699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CEC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811" w:type="dxa"/>
            <w:tcBorders/>
            <w:shd w:fill="CCECFF" w:val="clear"/>
            <w:vAlign w:val="center"/>
          </w:tcPr>
          <w:p>
            <w:pPr>
              <w:pStyle w:val="TableContents"/>
              <w:bidi w:val="0"/>
              <w:spacing w:before="0" w:after="283"/>
              <w:ind w:left="0" w:right="0" w:firstLine="600"/>
              <w:jc w:val="left"/>
              <w:rPr/>
            </w:pPr>
            <w:r>
              <w:rPr/>
              <w:t> </w:t>
            </w:r>
          </w:p>
        </w:tc>
      </w:tr>
      <w:tr>
        <w:trPr/>
        <w:tc>
          <w:tcPr>
            <w:tcW w:w="699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CEC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8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During the three months ended March 31, 2024, the increase in cash used in operating activities compared to the prior year period was primarily driven by better operating performance in the first quarter of 2023 compared to the first quarter of 2024, partially offset by lower variable incentive compensation paid in the first quarter of 2024 compared to the first quarter of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tbl>
      <w:tblPr>
        <w:tblW w:w="6774" w:type="dxa"/>
        <w:jc w:val="left"/>
        <w:tblInd w:w="0" w:type="dxa"/>
        <w:tblLayout w:type="fixed"/>
        <w:tblCellMar>
          <w:top w:w="28" w:type="dxa"/>
          <w:left w:w="28" w:type="dxa"/>
          <w:bottom w:w="28" w:type="dxa"/>
          <w:right w:w="28" w:type="dxa"/>
        </w:tblCellMar>
      </w:tblPr>
      <w:tblGrid>
        <w:gridCol w:w="4536"/>
        <w:gridCol w:w="146"/>
        <w:gridCol w:w="211"/>
        <w:gridCol w:w="421"/>
        <w:gridCol w:w="166"/>
        <w:gridCol w:w="146"/>
        <w:gridCol w:w="211"/>
        <w:gridCol w:w="526"/>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shd w:fill="FFFFFF" w:val="cle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453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53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color w:val="000000"/>
          <w:sz w:val="20"/>
        </w:rPr>
        <w:t>During the three months ended March 31, 2024, the decrease</w:t>
      </w:r>
      <w:r>
        <w:rPr>
          <w:rFonts w:ascii="Times New Roman" w:hAnsi="Times New Roman"/>
          <w:color w:val="FF0000"/>
          <w:sz w:val="20"/>
        </w:rPr>
        <w:t xml:space="preserve"> </w:t>
      </w:r>
      <w:r>
        <w:rPr>
          <w:rFonts w:ascii="Times New Roman" w:hAnsi="Times New Roman"/>
          <w:color w:val="000000"/>
          <w:sz w:val="20"/>
        </w:rPr>
        <w:t>in</w:t>
      </w:r>
      <w:r>
        <w:rPr>
          <w:rFonts w:ascii="Times New Roman" w:hAnsi="Times New Roman"/>
          <w:color w:val="FF0000"/>
          <w:sz w:val="20"/>
        </w:rPr>
        <w:t xml:space="preserve"> </w:t>
      </w:r>
      <w:r>
        <w:rPr>
          <w:rFonts w:ascii="Times New Roman" w:hAnsi="Times New Roman"/>
          <w:color w:val="000000"/>
          <w:sz w:val="20"/>
        </w:rPr>
        <w:t xml:space="preserve">cash generated by investing activities compared to the prior year period was primarily driven by $41.0 million of proceeds from the sale of property, plant and equipment received during the three months ended March 31, 2023, partially offset by an $8.4 million decrease in capital expenditures. The proceeds on the sale of property, plant and equipment in the prior year period primarily related to the sale of an international manufacturing facility that was closed as part of CommScope NEXT. The cash received from other investing activities in both periods related to the sale of certain nonfinancial assets.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tbl>
      <w:tblPr>
        <w:tblW w:w="8469" w:type="dxa"/>
        <w:jc w:val="left"/>
        <w:tblInd w:w="0" w:type="dxa"/>
        <w:tblLayout w:type="fixed"/>
        <w:tblCellMar>
          <w:top w:w="28" w:type="dxa"/>
          <w:left w:w="28" w:type="dxa"/>
          <w:bottom w:w="28" w:type="dxa"/>
          <w:right w:w="28" w:type="dxa"/>
        </w:tblCellMar>
      </w:tblPr>
      <w:tblGrid>
        <w:gridCol w:w="6231"/>
        <w:gridCol w:w="146"/>
        <w:gridCol w:w="211"/>
        <w:gridCol w:w="421"/>
        <w:gridCol w:w="166"/>
        <w:gridCol w:w="146"/>
        <w:gridCol w:w="211"/>
        <w:gridCol w:w="526"/>
        <w:gridCol w:w="4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shd w:fill="FFFFFF" w:val="clear"/>
            <w:vAlign w:val="center"/>
          </w:tcPr>
          <w:p>
            <w:pPr>
              <w:pStyle w:val="TableContents"/>
              <w:bidi w:val="0"/>
              <w:spacing w:before="0" w:after="283"/>
              <w:jc w:val="center"/>
              <w:rPr/>
            </w:pPr>
            <w:r>
              <w:rPr/>
              <w:t> </w:t>
            </w:r>
          </w:p>
        </w:tc>
      </w:tr>
      <w:tr>
        <w:trPr/>
        <w:tc>
          <w:tcPr>
            <w:tcW w:w="6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623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repaid</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repurchases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withholding payments for vested equity-based compensation awards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During the three months ended March 31, 2024, we paid the quarterly scheduled amortization payment of $8.0 million on the 2026 Term Loan. We did not borrow under our Revolving Credit Facility. As of March 31, 2024, we had no outstanding borrowings under the Revolving Credit Facility and the remaining availability was $550.5 million, reflecting a borrowing base subject to maximum capacity of $645.1 million reduced by $94.6 million of letters of credit issued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2023, we repurchased $47.4 million aggregate principal amount of our 8.25% senior notes due 2027, $3.1 million aggregate principal amount of our 7.125% senior notes due 2028 and $7.0 million aggregate principal amount of our 6.00% senior notes due 2025, for total cash consideration paid of $50.0 million. We also paid a quarterly scheduled amortization payment of $8.0 million on the 2026 Term Loan during the three months ended March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employees surrendered shares of our common stock to satisfy their tax withholding requirements on vested restricted stock units (RSUs) and performance share units (PSUs), which reduced cash flows by $0.2 million compared to $5.0 million in the prior year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Reconciliation of 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believe presenting these non-GAAP results for the twelve months ended March 31, 2024 provides an additional tool for assessing our recent performance. Such amounts are unaudited and are derived by subtracting the data for the three months ended March 31, 2023 from the data for the year ended December 31, 2023 and then adding the data for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Consolidated</w:t>
      </w:r>
    </w:p>
    <w:tbl>
      <w:tblPr>
        <w:tblW w:w="9918" w:type="dxa"/>
        <w:jc w:val="left"/>
        <w:tblInd w:w="0" w:type="dxa"/>
        <w:tblLayout w:type="fixed"/>
        <w:tblCellMar>
          <w:top w:w="28" w:type="dxa"/>
          <w:left w:w="28" w:type="dxa"/>
          <w:bottom w:w="28" w:type="dxa"/>
          <w:right w:w="28" w:type="dxa"/>
        </w:tblCellMar>
      </w:tblPr>
      <w:tblGrid>
        <w:gridCol w:w="4406"/>
        <w:gridCol w:w="246"/>
        <w:gridCol w:w="211"/>
        <w:gridCol w:w="631"/>
        <w:gridCol w:w="166"/>
        <w:gridCol w:w="146"/>
        <w:gridCol w:w="211"/>
        <w:gridCol w:w="571"/>
        <w:gridCol w:w="166"/>
        <w:gridCol w:w="146"/>
        <w:gridCol w:w="274"/>
        <w:gridCol w:w="821"/>
        <w:gridCol w:w="166"/>
        <w:gridCol w:w="146"/>
        <w:gridCol w:w="255"/>
        <w:gridCol w:w="945"/>
        <w:gridCol w:w="411"/>
      </w:tblGrid>
      <w:tr>
        <w:trPr/>
        <w:tc>
          <w:tcPr>
            <w:tcW w:w="4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0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w:t>
            </w:r>
          </w:p>
        </w:tc>
        <w:tc>
          <w:tcPr>
            <w:tcW w:w="411" w:type="dxa"/>
            <w:tcBorders/>
            <w:shd w:fill="FFFFFF" w:val="clear"/>
            <w:vAlign w:val="center"/>
          </w:tcPr>
          <w:p>
            <w:pPr>
              <w:pStyle w:val="TableContents"/>
              <w:bidi w:val="0"/>
              <w:spacing w:before="0" w:after="283"/>
              <w:jc w:val="center"/>
              <w:rPr/>
            </w:pPr>
            <w:r>
              <w:rPr/>
              <w:t> </w:t>
            </w:r>
          </w:p>
        </w:tc>
      </w:tr>
      <w:tr>
        <w:trPr/>
        <w:tc>
          <w:tcPr>
            <w:tcW w:w="440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w:t>
            </w:r>
          </w:p>
        </w:tc>
        <w:tc>
          <w:tcPr>
            <w:tcW w:w="411" w:type="dxa"/>
            <w:tcBorders/>
            <w:shd w:fill="FFFFFF" w:val="clear"/>
            <w:vAlign w:val="center"/>
          </w:tcPr>
          <w:p>
            <w:pPr>
              <w:pStyle w:val="TableContents"/>
              <w:bidi w:val="0"/>
              <w:spacing w:before="0" w:after="283"/>
              <w:jc w:val="center"/>
              <w:rPr/>
            </w:pPr>
            <w:r>
              <w:rPr/>
              <w:t> </w:t>
            </w:r>
          </w:p>
        </w:tc>
      </w:tr>
      <w:tr>
        <w:trPr/>
        <w:tc>
          <w:tcPr>
            <w:tcW w:w="440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shd w:fill="FFFFFF" w:val="clear"/>
            <w:vAlign w:val="center"/>
          </w:tcPr>
          <w:p>
            <w:pPr>
              <w:pStyle w:val="TableContents"/>
              <w:bidi w:val="0"/>
              <w:spacing w:before="0" w:after="283"/>
              <w:jc w:val="center"/>
              <w:rPr/>
            </w:pPr>
            <w:r>
              <w:rPr/>
              <w:t> </w:t>
            </w:r>
          </w:p>
        </w:tc>
      </w:tr>
      <w:tr>
        <w:trPr/>
        <w:tc>
          <w:tcPr>
            <w:tcW w:w="440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855"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vAlign w:val="center"/>
          </w:tcPr>
          <w:p>
            <w:pPr>
              <w:pStyle w:val="TableContents"/>
              <w:bidi w:val="0"/>
              <w:spacing w:before="0" w:after="283"/>
              <w:jc w:val="center"/>
              <w:rPr/>
            </w:pPr>
            <w:r>
              <w:rPr/>
              <w:t> </w:t>
            </w:r>
          </w:p>
        </w:tc>
      </w:tr>
      <w:tr>
        <w:trPr/>
        <w:tc>
          <w:tcPr>
            <w:tcW w:w="440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74"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5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(1,143.2</w:t>
            </w:r>
          </w:p>
        </w:tc>
        <w:tc>
          <w:tcPr>
            <w:tcW w:w="4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411" w:type="dxa"/>
            <w:tcBorders/>
            <w:shd w:fill="FFFFFF" w:val="clear"/>
            <w:vAlign w:val="center"/>
          </w:tcPr>
          <w:p>
            <w:pPr>
              <w:pStyle w:val="TableContents"/>
              <w:bidi w:val="0"/>
              <w:spacing w:before="0" w:after="283"/>
              <w:jc w:val="left"/>
              <w:rPr/>
            </w:pPr>
            <w:r>
              <w:rPr/>
              <w:t> </w:t>
            </w:r>
          </w:p>
        </w:tc>
      </w:tr>
      <w:tr>
        <w:trPr/>
        <w:tc>
          <w:tcPr>
            <w:tcW w:w="440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74" w:type="dxa"/>
            <w:tcBorders/>
            <w:shd w:fill="CCECFF" w:val="clear"/>
            <w:vAlign w:val="center"/>
          </w:tcPr>
          <w:p>
            <w:pPr>
              <w:pStyle w:val="TableContents"/>
              <w:bidi w:val="0"/>
              <w:spacing w:before="0" w:after="283"/>
              <w:jc w:val="left"/>
              <w:rPr/>
            </w:pPr>
            <w:r>
              <w:rPr/>
              <w:t> </w:t>
            </w:r>
          </w:p>
        </w:tc>
        <w:tc>
          <w:tcPr>
            <w:tcW w:w="8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55" w:type="dxa"/>
            <w:tcBorders/>
            <w:shd w:fill="CCECFF" w:val="clear"/>
            <w:vAlign w:val="center"/>
          </w:tcPr>
          <w:p>
            <w:pPr>
              <w:pStyle w:val="TableContents"/>
              <w:bidi w:val="0"/>
              <w:spacing w:before="0" w:after="283"/>
              <w:jc w:val="left"/>
              <w:rPr/>
            </w:pPr>
            <w:r>
              <w:rPr/>
              <w:t> </w:t>
            </w:r>
          </w:p>
        </w:tc>
        <w:tc>
          <w:tcPr>
            <w:tcW w:w="94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w:t>
            </w:r>
          </w:p>
        </w:tc>
        <w:tc>
          <w:tcPr>
            <w:tcW w:w="411" w:type="dxa"/>
            <w:tcBorders/>
            <w:shd w:fill="FFFFFF" w:val="clear"/>
            <w:vAlign w:val="center"/>
          </w:tcPr>
          <w:p>
            <w:pPr>
              <w:pStyle w:val="TableContents"/>
              <w:bidi w:val="0"/>
              <w:spacing w:before="0" w:after="283"/>
              <w:jc w:val="left"/>
              <w:rPr/>
            </w:pPr>
            <w:r>
              <w:rPr/>
              <w:t> </w:t>
            </w:r>
          </w:p>
        </w:tc>
      </w:tr>
      <w:tr>
        <w:trPr/>
        <w:tc>
          <w:tcPr>
            <w:tcW w:w="440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84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82"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095" w:type="dxa"/>
            <w:gridSpan w:val="2"/>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200" w:type="dxa"/>
            <w:gridSpan w:val="2"/>
            <w:tcBorders/>
            <w:shd w:fill="CCECFF" w:val="clear"/>
            <w:vAlign w:val="center"/>
          </w:tcPr>
          <w:p>
            <w:pPr>
              <w:pStyle w:val="TableContents"/>
              <w:bidi w:val="0"/>
              <w:spacing w:before="0" w:after="283"/>
              <w:jc w:val="left"/>
              <w:rPr/>
            </w:pPr>
            <w:r>
              <w:rPr/>
              <w:t> </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0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(credits), net</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74" w:type="dxa"/>
            <w:tcBorders/>
            <w:shd w:fill="CCECFF" w:val="clear"/>
            <w:vAlign w:val="center"/>
          </w:tcPr>
          <w:p>
            <w:pPr>
              <w:pStyle w:val="TableContents"/>
              <w:bidi w:val="0"/>
              <w:spacing w:before="0" w:after="283"/>
              <w:jc w:val="left"/>
              <w:rPr/>
            </w:pPr>
            <w:r>
              <w:rPr/>
              <w:t> </w:t>
            </w:r>
          </w:p>
        </w:tc>
        <w:tc>
          <w:tcPr>
            <w:tcW w:w="8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55" w:type="dxa"/>
            <w:tcBorders/>
            <w:shd w:fill="CCECFF" w:val="clear"/>
            <w:vAlign w:val="center"/>
          </w:tcPr>
          <w:p>
            <w:pPr>
              <w:pStyle w:val="TableContents"/>
              <w:bidi w:val="0"/>
              <w:spacing w:before="0" w:after="283"/>
              <w:jc w:val="left"/>
              <w:rPr/>
            </w:pPr>
            <w:r>
              <w:rPr/>
              <w:t> </w:t>
            </w:r>
          </w:p>
        </w:tc>
        <w:tc>
          <w:tcPr>
            <w:tcW w:w="94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0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 impairments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74" w:type="dxa"/>
            <w:tcBorders/>
            <w:shd w:fill="CCECFF" w:val="clear"/>
            <w:vAlign w:val="center"/>
          </w:tcPr>
          <w:p>
            <w:pPr>
              <w:pStyle w:val="TableContents"/>
              <w:bidi w:val="0"/>
              <w:spacing w:before="0" w:after="283"/>
              <w:jc w:val="left"/>
              <w:rPr/>
            </w:pPr>
            <w:r>
              <w:rPr/>
              <w:t> </w:t>
            </w:r>
          </w:p>
        </w:tc>
        <w:tc>
          <w:tcPr>
            <w:tcW w:w="8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55" w:type="dxa"/>
            <w:tcBorders/>
            <w:shd w:fill="CCECFF" w:val="clear"/>
            <w:vAlign w:val="center"/>
          </w:tcPr>
          <w:p>
            <w:pPr>
              <w:pStyle w:val="TableContents"/>
              <w:bidi w:val="0"/>
              <w:spacing w:before="0" w:after="283"/>
              <w:jc w:val="left"/>
              <w:rPr/>
            </w:pPr>
            <w:r>
              <w:rPr/>
              <w:t> </w:t>
            </w:r>
          </w:p>
        </w:tc>
        <w:tc>
          <w:tcPr>
            <w:tcW w:w="94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transformation and integration costs </w:t>
            </w:r>
            <w:r>
              <w:rPr>
                <w:rFonts w:ascii="Times New Roman" w:hAnsi="Times New Roman"/>
                <w:color w:val="000000"/>
                <w:sz w:val="13"/>
              </w:rPr>
              <w:t>(1)</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06" w:type="dxa"/>
            <w:tcBorders/>
            <w:shd w:fill="CCEC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Acquisition accounting adjustments </w:t>
            </w:r>
            <w:r>
              <w:rPr>
                <w:rFonts w:ascii="Times New Roman" w:hAnsi="Times New Roman"/>
                <w:color w:val="000000"/>
                <w:sz w:val="12"/>
              </w:rPr>
              <w:t>(2)</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74" w:type="dxa"/>
            <w:tcBorders/>
            <w:shd w:fill="CCECFF" w:val="clear"/>
            <w:vAlign w:val="center"/>
          </w:tcPr>
          <w:p>
            <w:pPr>
              <w:pStyle w:val="TableContents"/>
              <w:bidi w:val="0"/>
              <w:spacing w:before="0" w:after="283"/>
              <w:jc w:val="left"/>
              <w:rPr/>
            </w:pPr>
            <w:r>
              <w:rPr/>
              <w:t> </w:t>
            </w:r>
          </w:p>
        </w:tc>
        <w:tc>
          <w:tcPr>
            <w:tcW w:w="8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55" w:type="dxa"/>
            <w:tcBorders/>
            <w:shd w:fill="CCECFF" w:val="clear"/>
            <w:vAlign w:val="center"/>
          </w:tcPr>
          <w:p>
            <w:pPr>
              <w:pStyle w:val="TableContents"/>
              <w:bidi w:val="0"/>
              <w:spacing w:before="0" w:after="283"/>
              <w:jc w:val="left"/>
              <w:rPr/>
            </w:pPr>
            <w:r>
              <w:rPr/>
              <w:t> </w:t>
            </w:r>
          </w:p>
        </w:tc>
        <w:tc>
          <w:tcPr>
            <w:tcW w:w="94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 claims and litigation settlements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Recovery of Russian accounts receivable</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3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74" w:type="dxa"/>
            <w:tcBorders/>
            <w:shd w:fill="CCECFF" w:val="clear"/>
            <w:vAlign w:val="center"/>
          </w:tcPr>
          <w:p>
            <w:pPr>
              <w:pStyle w:val="TableContents"/>
              <w:bidi w:val="0"/>
              <w:spacing w:before="0" w:after="283"/>
              <w:jc w:val="left"/>
              <w:rPr/>
            </w:pPr>
            <w:r>
              <w:rPr/>
              <w:t> </w:t>
            </w:r>
          </w:p>
        </w:tc>
        <w:tc>
          <w:tcPr>
            <w:tcW w:w="82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center"/>
              <w:rPr/>
            </w:pPr>
            <w:r>
              <w:rPr/>
              <w:t> </w:t>
            </w:r>
          </w:p>
        </w:tc>
        <w:tc>
          <w:tcPr>
            <w:tcW w:w="255" w:type="dxa"/>
            <w:tcBorders/>
            <w:shd w:fill="CCECFF" w:val="clear"/>
            <w:vAlign w:val="center"/>
          </w:tcPr>
          <w:p>
            <w:pPr>
              <w:pStyle w:val="TableContents"/>
              <w:bidi w:val="0"/>
              <w:spacing w:before="0" w:after="283"/>
              <w:jc w:val="left"/>
              <w:rPr/>
            </w:pPr>
            <w:r>
              <w:rPr/>
              <w:t> </w:t>
            </w:r>
          </w:p>
        </w:tc>
        <w:tc>
          <w:tcPr>
            <w:tcW w:w="94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Cyber incident costs </w:t>
            </w:r>
            <w:r>
              <w:rPr>
                <w:rFonts w:ascii="Times New Roman" w:hAnsi="Times New Roman"/>
                <w:color w:val="000000"/>
                <w:sz w:val="13"/>
              </w:rPr>
              <w:t>(3)</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0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adjusted EBITDA</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 2024 and 2023, primarily reflects transaction costs related to certain CommScope NEXT initiatives.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 2023, reflects ARRIS acquisition accounting adjustments related to reducing deferred revenue to its estimated fair value.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 2023, primarily reflects costs of the identification, investigation, defense and recovery efforts related to a cyber incident that occurred in late March of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Reconciliation of Segment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Segment adjusted EBITDA is provided as a performance measure in Note 8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income in Note 8.</w:t>
      </w:r>
    </w:p>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Connectivity and Cable Solutions Segment</w:t>
      </w:r>
    </w:p>
    <w:tbl>
      <w:tblPr>
        <w:tblW w:w="6604" w:type="dxa"/>
        <w:jc w:val="left"/>
        <w:tblInd w:w="0" w:type="dxa"/>
        <w:tblLayout w:type="fixed"/>
        <w:tblCellMar>
          <w:top w:w="28" w:type="dxa"/>
          <w:left w:w="28" w:type="dxa"/>
          <w:bottom w:w="28" w:type="dxa"/>
          <w:right w:w="28" w:type="dxa"/>
        </w:tblCellMar>
      </w:tblPr>
      <w:tblGrid>
        <w:gridCol w:w="4196"/>
        <w:gridCol w:w="246"/>
        <w:gridCol w:w="211"/>
        <w:gridCol w:w="466"/>
        <w:gridCol w:w="146"/>
        <w:gridCol w:w="146"/>
        <w:gridCol w:w="211"/>
        <w:gridCol w:w="571"/>
        <w:gridCol w:w="41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75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vAlign w:val="center"/>
          </w:tcPr>
          <w:p>
            <w:pPr>
              <w:pStyle w:val="TableContents"/>
              <w:bidi w:val="0"/>
              <w:spacing w:before="0" w:after="283"/>
              <w:jc w:val="center"/>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411" w:type="dxa"/>
            <w:tcBorders/>
            <w:shd w:fill="CCECFF" w:val="clear"/>
            <w:vAlign w:val="center"/>
          </w:tcPr>
          <w:p>
            <w:pPr>
              <w:pStyle w:val="TableContents"/>
              <w:bidi w:val="0"/>
              <w:spacing w:before="0" w:after="283"/>
              <w:jc w:val="left"/>
              <w:rPr/>
            </w:pPr>
            <w:r>
              <w:rPr/>
              <w:t> </w:t>
            </w:r>
          </w:p>
        </w:tc>
      </w:tr>
      <w:tr>
        <w:trPr/>
        <w:tc>
          <w:tcPr>
            <w:tcW w:w="4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(credits),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Outdoor Wireless Networks Segment</w:t>
      </w:r>
    </w:p>
    <w:tbl>
      <w:tblPr>
        <w:tblW w:w="6481" w:type="dxa"/>
        <w:jc w:val="left"/>
        <w:tblInd w:w="0" w:type="dxa"/>
        <w:tblLayout w:type="fixed"/>
        <w:tblCellMar>
          <w:top w:w="28" w:type="dxa"/>
          <w:left w:w="28" w:type="dxa"/>
          <w:bottom w:w="28" w:type="dxa"/>
          <w:right w:w="28" w:type="dxa"/>
        </w:tblCellMar>
      </w:tblPr>
      <w:tblGrid>
        <w:gridCol w:w="4196"/>
        <w:gridCol w:w="246"/>
        <w:gridCol w:w="211"/>
        <w:gridCol w:w="467"/>
        <w:gridCol w:w="146"/>
        <w:gridCol w:w="146"/>
        <w:gridCol w:w="211"/>
        <w:gridCol w:w="467"/>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6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64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91" w:type="dxa"/>
            <w:tcBorders/>
            <w:shd w:fill="CCECFF" w:val="clear"/>
            <w:vAlign w:val="center"/>
          </w:tcPr>
          <w:p>
            <w:pPr>
              <w:pStyle w:val="TableContents"/>
              <w:bidi w:val="0"/>
              <w:spacing w:before="0" w:after="283"/>
              <w:jc w:val="left"/>
              <w:rPr/>
            </w:pPr>
            <w:r>
              <w:rPr/>
              <w:t> </w:t>
            </w:r>
          </w:p>
        </w:tc>
      </w:tr>
      <w:tr>
        <w:trPr/>
        <w:tc>
          <w:tcPr>
            <w:tcW w:w="4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pPr>
      <w:r>
        <w:rPr/>
        <w:t> </w:t>
      </w:r>
    </w:p>
    <w:p>
      <w:pPr>
        <w:pStyle w:val="TextBody"/>
        <w:bidi w:val="0"/>
        <w:spacing w:before="360" w:after="200"/>
        <w:jc w:val="left"/>
        <w:rPr/>
      </w:pPr>
      <w:r>
        <w:rPr/>
        <w:t> </w:t>
      </w:r>
    </w:p>
    <w:p>
      <w:pPr>
        <w:pStyle w:val="TextBody"/>
        <w:bidi w:val="0"/>
        <w:spacing w:before="360" w:after="200"/>
        <w:jc w:val="left"/>
        <w:rPr/>
      </w:pPr>
      <w:r>
        <w:rPr/>
        <w:t> </w:t>
      </w:r>
    </w:p>
    <w:p>
      <w:pPr>
        <w:pStyle w:val="TextBody"/>
        <w:bidi w:val="0"/>
        <w:spacing w:before="360" w:after="200"/>
        <w:jc w:val="left"/>
        <w:rPr/>
      </w:pPr>
      <w:r>
        <w:rPr/>
        <w:t> </w:t>
      </w:r>
    </w:p>
    <w:p>
      <w:pPr>
        <w:pStyle w:val="TextBody"/>
        <w:bidi w:val="0"/>
        <w:spacing w:before="360" w:after="200"/>
        <w:jc w:val="left"/>
        <w:rPr/>
      </w:pPr>
      <w:r>
        <w:rPr/>
        <w:t> </w:t>
      </w:r>
    </w:p>
    <w:p>
      <w:pPr>
        <w:pStyle w:val="TextBody"/>
        <w:bidi w:val="0"/>
        <w:spacing w:before="360" w:after="20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Networking Intelligent Cellular and Security Solutions Segment</w:t>
      </w:r>
    </w:p>
    <w:tbl>
      <w:tblPr>
        <w:tblW w:w="6559" w:type="dxa"/>
        <w:jc w:val="left"/>
        <w:tblInd w:w="0" w:type="dxa"/>
        <w:tblLayout w:type="fixed"/>
        <w:tblCellMar>
          <w:top w:w="28" w:type="dxa"/>
          <w:left w:w="28" w:type="dxa"/>
          <w:bottom w:w="28" w:type="dxa"/>
          <w:right w:w="28" w:type="dxa"/>
        </w:tblCellMar>
      </w:tblPr>
      <w:tblGrid>
        <w:gridCol w:w="4196"/>
        <w:gridCol w:w="246"/>
        <w:gridCol w:w="211"/>
        <w:gridCol w:w="526"/>
        <w:gridCol w:w="166"/>
        <w:gridCol w:w="146"/>
        <w:gridCol w:w="211"/>
        <w:gridCol w:w="466"/>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7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91" w:type="dxa"/>
            <w:tcBorders/>
            <w:shd w:fill="CCECFF" w:val="clear"/>
            <w:vAlign w:val="center"/>
          </w:tcPr>
          <w:p>
            <w:pPr>
              <w:pStyle w:val="TableContents"/>
              <w:bidi w:val="0"/>
              <w:spacing w:before="0" w:after="283"/>
              <w:jc w:val="left"/>
              <w:rPr/>
            </w:pPr>
            <w:r>
              <w:rPr/>
              <w:t> </w:t>
            </w:r>
          </w:p>
        </w:tc>
      </w:tr>
      <w:tr>
        <w:trPr/>
        <w:tc>
          <w:tcPr>
            <w:tcW w:w="4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accounting adjustments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46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b/>
          <w:i/>
          <w:color w:val="000000"/>
          <w:sz w:val="20"/>
        </w:rPr>
      </w:pPr>
      <w:r>
        <w:rPr>
          <w:rFonts w:ascii="Times New Roman" w:hAnsi="Times New Roman"/>
          <w:b/>
          <w:i/>
          <w:color w:val="000000"/>
          <w:sz w:val="20"/>
        </w:rPr>
        <w:t>Access Network Solutions Segment</w:t>
      </w:r>
    </w:p>
    <w:tbl>
      <w:tblPr>
        <w:tblW w:w="6619" w:type="dxa"/>
        <w:jc w:val="left"/>
        <w:tblInd w:w="0" w:type="dxa"/>
        <w:tblLayout w:type="fixed"/>
        <w:tblCellMar>
          <w:top w:w="28" w:type="dxa"/>
          <w:left w:w="28" w:type="dxa"/>
          <w:bottom w:w="28" w:type="dxa"/>
          <w:right w:w="28" w:type="dxa"/>
        </w:tblCellMar>
      </w:tblPr>
      <w:tblGrid>
        <w:gridCol w:w="4196"/>
        <w:gridCol w:w="246"/>
        <w:gridCol w:w="211"/>
        <w:gridCol w:w="526"/>
        <w:gridCol w:w="166"/>
        <w:gridCol w:w="146"/>
        <w:gridCol w:w="211"/>
        <w:gridCol w:w="526"/>
        <w:gridCol w:w="391"/>
      </w:tblGrid>
      <w:tr>
        <w:trPr/>
        <w:tc>
          <w:tcPr>
            <w:tcW w:w="4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7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1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CEC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246" w:type="dxa"/>
            <w:tcBorders/>
            <w:shd w:fill="CCEC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00"/>
        <w:jc w:val="left"/>
        <w:rPr>
          <w:rFonts w:ascii="Times New Roman" w:hAnsi="Times New Roman"/>
          <w:color w:val="000000"/>
          <w:sz w:val="20"/>
        </w:rPr>
      </w:pPr>
      <w:r>
        <w:rPr>
          <w:rFonts w:ascii="Times New Roman" w:hAnsi="Times New Roman"/>
          <w:color w:val="000000"/>
          <w:sz w:val="20"/>
        </w:rPr>
        <w:t>Note: Components may not sum to total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CommScope NEXT and other cost saving initiatives;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our substantial indebtedness and restrictive debt covenants; our ability to incur additional indebtedness and increases in interest rates; our ability to generate cash to service our indebtedness; the divestiture of the Home segment and its effect on our remaining businesses; the potential separation, divestiture or discontinuance of another business or product line, including uncertainty regarding the timing of the separation, achievement of the expected benefits and the potential disruption to the business; our ability to integrate and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U.S. affecting trade, including the risk and uncertainty related to tariffs or potential trade wars and potential changes to laws and policies, that may impact our products;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 These and other factors are discussed in greater detail in our 2023 Annual Report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Quarterly Report on Form 10-Q, except to the extent required by law.</w:t>
      </w:r>
    </w:p>
    <w:p>
      <w:pPr>
        <w:pStyle w:val="TextBody"/>
        <w:bidi w:val="0"/>
        <w:spacing w:before="360" w:after="283"/>
        <w:jc w:val="left"/>
        <w:rPr>
          <w:rFonts w:ascii="Times New Roman" w:hAnsi="Times New Roman"/>
          <w:b/>
          <w:color w:val="000000"/>
          <w:sz w:val="20"/>
        </w:rPr>
      </w:pPr>
      <w:bookmarkStart w:id="14" w:name="item_3_quantitative_qualitative_discl"/>
      <w:bookmarkEnd w:id="14"/>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interest rate risk, commodity price risk or foreign currency exchange rate risk information previously reported under Item 7A of our 2023 Annual Report, as filed with the Securities and Exchange Commission on February 29,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4_controls_procedures"/>
      <w:bookmarkEnd w:id="15"/>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should be made to our 2023 Annual Report for additional information regarding discussion of the effectiveness of the Company’s controls and procedures. During the quarter ended March 31, 2024, the Company completed the sale of substantially all of the systems and related processes of the Home business. Except for the completion of the Home business asset migration to Vantiva, there have been no changes in our internal control over financial reporting during the quarter ended March 31, 2024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6" w:name="part_iior_information"/>
      <w:bookmarkEnd w:id="16"/>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pStyle w:val="TextBody"/>
        <w:bidi w:val="0"/>
        <w:spacing w:before="360" w:after="283"/>
        <w:jc w:val="left"/>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Company’s business, financial condition, results of operations and cash flows are subject to various risks which could cause actual results to vary from recent results or from anticipated future results. There have been no material changes to our risk factors disclosed in Part I, Item 1A, "Risk Factors" of our 2023 Annual Report.</w:t>
      </w:r>
    </w:p>
    <w:p>
      <w:pPr>
        <w:pStyle w:val="TextBody"/>
        <w:bidi w:val="0"/>
        <w:spacing w:before="360" w:after="283"/>
        <w:jc w:val="left"/>
        <w:rPr>
          <w:rFonts w:ascii="Times New Roman" w:hAnsi="Times New Roman"/>
          <w:b/>
          <w:color w:val="000000"/>
          <w:sz w:val="20"/>
        </w:rPr>
      </w:pPr>
      <w:bookmarkStart w:id="19" w:name="item_2_unregistered_sales_equity_securit"/>
      <w:bookmarkEnd w:id="19"/>
      <w:r>
        <w:rPr>
          <w:rFonts w:ascii="Times New Roman" w:hAnsi="Times New Roman"/>
          <w:b/>
          <w:color w:val="000000"/>
          <w:sz w:val="20"/>
        </w:rPr>
        <w:t>ITEM 2. UNREGISTERED SALES OF EQUITY SECURITIES AND USE OF PROCEEDS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sz w:val="20"/>
        </w:rPr>
      </w:pPr>
      <w:r>
        <w:rPr>
          <w:rFonts w:ascii="Times New Roman" w:hAnsi="Times New Roman"/>
          <w:b/>
          <w:color w:val="000000"/>
          <w:sz w:val="20"/>
        </w:rPr>
        <w:t>Issuer Purchases of Equity Securities: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summarizes the stock purchase activity for the three months ended March 31, 2024:</w:t>
      </w:r>
    </w:p>
    <w:tbl>
      <w:tblPr>
        <w:tblW w:w="10205" w:type="dxa"/>
        <w:jc w:val="left"/>
        <w:tblInd w:w="0" w:type="dxa"/>
        <w:tblLayout w:type="fixed"/>
        <w:tblCellMar>
          <w:top w:w="28" w:type="dxa"/>
          <w:left w:w="28" w:type="dxa"/>
          <w:bottom w:w="28" w:type="dxa"/>
          <w:right w:w="28" w:type="dxa"/>
        </w:tblCellMar>
      </w:tblPr>
      <w:tblGrid>
        <w:gridCol w:w="1705"/>
        <w:gridCol w:w="146"/>
        <w:gridCol w:w="171"/>
        <w:gridCol w:w="793"/>
        <w:gridCol w:w="146"/>
        <w:gridCol w:w="146"/>
        <w:gridCol w:w="243"/>
        <w:gridCol w:w="539"/>
        <w:gridCol w:w="146"/>
        <w:gridCol w:w="146"/>
        <w:gridCol w:w="823"/>
        <w:gridCol w:w="1958"/>
        <w:gridCol w:w="146"/>
        <w:gridCol w:w="146"/>
        <w:gridCol w:w="1028"/>
        <w:gridCol w:w="1688"/>
        <w:gridCol w:w="235"/>
      </w:tblGrid>
      <w:tr>
        <w:trPr/>
        <w:tc>
          <w:tcPr>
            <w:tcW w:w="1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6"/>
              </w:rPr>
              <w:t xml:space="preserve">Total Number </w:t>
              <w:br/>
              <w:t xml:space="preserve">of Shares </w:t>
              <w:br/>
              <w:t>Purchased</w:t>
            </w:r>
            <w:r>
              <w:rPr>
                <w:rFonts w:ascii="Times New Roman" w:hAnsi="Times New Roman"/>
                <w:color w:val="000000"/>
                <w:sz w:val="18"/>
              </w:rPr>
              <w:t xml:space="preserve">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w:t>
              <w:br/>
              <w:t xml:space="preserve">Price Paid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Value of Shares that May Yet be Purchased Under the Plans or Programs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2024 - January 31, 2024</w:t>
            </w:r>
          </w:p>
        </w:tc>
        <w:tc>
          <w:tcPr>
            <w:tcW w:w="146" w:type="dxa"/>
            <w:tcBorders/>
            <w:shd w:fill="CCECFF" w:val="clear"/>
            <w:vAlign w:val="center"/>
          </w:tcPr>
          <w:p>
            <w:pPr>
              <w:pStyle w:val="TableContents"/>
              <w:bidi w:val="0"/>
              <w:spacing w:before="0" w:after="283"/>
              <w:jc w:val="left"/>
              <w:rPr/>
            </w:pPr>
            <w:r>
              <w:rPr/>
              <w:t> </w:t>
            </w:r>
          </w:p>
        </w:tc>
        <w:tc>
          <w:tcPr>
            <w:tcW w:w="171" w:type="dxa"/>
            <w:tcBorders/>
            <w:shd w:fill="CCECFF" w:val="clear"/>
            <w:vAlign w:val="center"/>
          </w:tcPr>
          <w:p>
            <w:pPr>
              <w:pStyle w:val="TableContents"/>
              <w:bidi w:val="0"/>
              <w:spacing w:before="0" w:after="283"/>
              <w:jc w:val="left"/>
              <w:rPr/>
            </w:pPr>
            <w:r>
              <w:rPr/>
              <w:t> </w:t>
            </w:r>
          </w:p>
        </w:tc>
        <w:tc>
          <w:tcPr>
            <w:tcW w:w="79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23" w:type="dxa"/>
            <w:tcBorders/>
            <w:shd w:fill="CCECFF" w:val="clear"/>
            <w:vAlign w:val="center"/>
          </w:tcPr>
          <w:p>
            <w:pPr>
              <w:pStyle w:val="TableContents"/>
              <w:bidi w:val="0"/>
              <w:spacing w:before="0" w:after="283"/>
              <w:jc w:val="left"/>
              <w:rPr/>
            </w:pPr>
            <w:r>
              <w:rPr/>
              <w:t> </w:t>
            </w:r>
          </w:p>
        </w:tc>
        <w:tc>
          <w:tcPr>
            <w:tcW w:w="195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02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8" w:type="dxa"/>
            <w:tcBorders/>
            <w:shd w:fill="CCECFF" w:val="clear"/>
            <w:vAlign w:val="center"/>
          </w:tcPr>
          <w:p>
            <w:pPr>
              <w:pStyle w:val="TableContents"/>
              <w:bidi w:val="0"/>
              <w:spacing w:before="0" w:after="283"/>
              <w:jc w:val="right"/>
              <w:rPr>
                <w:color w:val="000000"/>
              </w:rPr>
            </w:pPr>
            <w:r>
              <w:rPr>
                <w:color w:val="000000"/>
              </w:rPr>
              <w:t>—</w:t>
            </w:r>
          </w:p>
        </w:tc>
        <w:tc>
          <w:tcPr>
            <w:tcW w:w="235" w:type="dxa"/>
            <w:tcBorders/>
            <w:shd w:fill="CCECFF" w:val="cle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2024 - February 29, 2024</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19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8" w:type="dxa"/>
            <w:tcBorders/>
            <w:shd w:fill="FFFFFF" w:val="clear"/>
            <w:vAlign w:val="center"/>
          </w:tcPr>
          <w:p>
            <w:pPr>
              <w:pStyle w:val="TableContents"/>
              <w:bidi w:val="0"/>
              <w:spacing w:before="0" w:after="283"/>
              <w:jc w:val="right"/>
              <w:rPr>
                <w:color w:val="000000"/>
              </w:rPr>
            </w:pPr>
            <w:r>
              <w:rPr>
                <w:color w:val="000000"/>
              </w:rPr>
              <w:t>—</w:t>
            </w:r>
          </w:p>
        </w:tc>
        <w:tc>
          <w:tcPr>
            <w:tcW w:w="235" w:type="dxa"/>
            <w:tcBorders/>
            <w:shd w:fill="FFFFFF" w:val="clear"/>
            <w:vAlign w:val="center"/>
          </w:tcPr>
          <w:p>
            <w:pPr>
              <w:pStyle w:val="TableContents"/>
              <w:bidi w:val="0"/>
              <w:spacing w:before="0" w:after="283"/>
              <w:jc w:val="left"/>
              <w:rPr/>
            </w:pPr>
            <w:r>
              <w:rPr/>
              <w:t> </w:t>
            </w:r>
          </w:p>
        </w:tc>
      </w:tr>
      <w:tr>
        <w:trPr/>
        <w:tc>
          <w:tcPr>
            <w:tcW w:w="170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2024 - March 31, 2024</w:t>
            </w:r>
          </w:p>
        </w:tc>
        <w:tc>
          <w:tcPr>
            <w:tcW w:w="146" w:type="dxa"/>
            <w:tcBorders/>
            <w:shd w:fill="CCECFF" w:val="clear"/>
            <w:vAlign w:val="center"/>
          </w:tcPr>
          <w:p>
            <w:pPr>
              <w:pStyle w:val="TableContents"/>
              <w:bidi w:val="0"/>
              <w:spacing w:before="0" w:after="283"/>
              <w:jc w:val="left"/>
              <w:rPr/>
            </w:pPr>
            <w:r>
              <w:rPr/>
              <w:t> </w:t>
            </w:r>
          </w:p>
        </w:tc>
        <w:tc>
          <w:tcPr>
            <w:tcW w:w="1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2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02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8" w:type="dxa"/>
            <w:tcBorders/>
            <w:shd w:fill="CCECFF" w:val="clear"/>
            <w:vAlign w:val="center"/>
          </w:tcPr>
          <w:p>
            <w:pPr>
              <w:pStyle w:val="TableContents"/>
              <w:bidi w:val="0"/>
              <w:spacing w:before="0" w:after="283"/>
              <w:jc w:val="right"/>
              <w:rPr>
                <w:color w:val="000000"/>
              </w:rPr>
            </w:pPr>
            <w:r>
              <w:rPr>
                <w:color w:val="000000"/>
              </w:rPr>
              <w:t>—</w:t>
            </w:r>
          </w:p>
        </w:tc>
        <w:tc>
          <w:tcPr>
            <w:tcW w:w="235" w:type="dxa"/>
            <w:tcBorders/>
            <w:shd w:fill="CCECFF" w:val="cle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2"/>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right"/>
              <w:rPr/>
            </w:pPr>
            <w:r>
              <w:rPr/>
              <w:t> </w:t>
            </w:r>
          </w:p>
        </w:tc>
      </w:tr>
    </w:tbl>
    <w:p>
      <w:pPr>
        <w:pStyle w:val="TextBody"/>
        <w:bidi w:val="0"/>
        <w:spacing w:before="120" w:after="200"/>
        <w:jc w:val="left"/>
        <w:rPr>
          <w:rFonts w:ascii="Times New Roman" w:hAnsi="Times New Roman"/>
          <w:color w:val="000000"/>
          <w:sz w:val="20"/>
        </w:rPr>
      </w:pPr>
      <w:r>
        <w:rPr>
          <w:rFonts w:ascii="Times New Roman" w:hAnsi="Times New Roman"/>
          <w:color w:val="000000"/>
          <w:sz w:val="20"/>
        </w:rPr>
        <w:t>(1) The shares purchased were withheld to satisfy the withholding tax obligations related to RSUs and PSUs that vested during the period.</w:t>
      </w:r>
    </w:p>
    <w:p>
      <w:pPr>
        <w:pStyle w:val="TextBody"/>
        <w:bidi w:val="0"/>
        <w:spacing w:before="200" w:after="283"/>
        <w:jc w:val="left"/>
        <w:rPr>
          <w:rFonts w:ascii="Times New Roman" w:hAnsi="Times New Roman"/>
          <w:b/>
          <w:color w:val="000000"/>
          <w:sz w:val="20"/>
        </w:rPr>
      </w:pPr>
      <w:bookmarkStart w:id="20" w:name="item_3_defaults_upon_senior_securities"/>
      <w:bookmarkEnd w:id="20"/>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21" w:name="item_4_mine_safety_disclosures"/>
      <w:bookmarkEnd w:id="21"/>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22" w:name="item_5_or_information"/>
      <w:bookmarkEnd w:id="22"/>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Our officers and directors did not enter into, modify or terminate any Rule 10b5-1 trading arrangements or non-Rule 10b5-1 trading arrangements (each as defined in Item 408(c) of Regulation S-K) during the quarter ended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3" w:name="item_6_exhibits"/>
      <w:bookmarkEnd w:id="23"/>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666"/>
        <w:gridCol w:w="9539"/>
      </w:tblGrid>
      <w:tr>
        <w:trPr/>
        <w:tc>
          <w:tcPr>
            <w:tcW w:w="666" w:type="dxa"/>
            <w:tcBorders/>
            <w:vAlign w:val="center"/>
          </w:tcPr>
          <w:p>
            <w:pPr>
              <w:pStyle w:val="TableContents"/>
              <w:bidi w:val="0"/>
              <w:spacing w:before="0" w:after="283"/>
              <w:jc w:val="left"/>
              <w:rPr>
                <w:sz w:val="4"/>
                <w:szCs w:val="4"/>
              </w:rPr>
            </w:pPr>
            <w:r>
              <w:rPr>
                <w:sz w:val="4"/>
                <w:szCs w:val="4"/>
              </w:rPr>
            </w:r>
          </w:p>
        </w:tc>
        <w:tc>
          <w:tcPr>
            <w:tcW w:w="9539" w:type="dxa"/>
            <w:tcBorders/>
            <w:vAlign w:val="center"/>
          </w:tcPr>
          <w:p>
            <w:pPr>
              <w:pStyle w:val="TableContents"/>
              <w:bidi w:val="0"/>
              <w:spacing w:before="0" w:after="283"/>
              <w:jc w:val="left"/>
              <w:rPr>
                <w:sz w:val="4"/>
                <w:szCs w:val="4"/>
              </w:rPr>
            </w:pPr>
            <w:r>
              <w:rPr>
                <w:sz w:val="4"/>
                <w:szCs w:val="4"/>
              </w:rPr>
            </w:r>
          </w:p>
        </w:tc>
      </w:tr>
      <w:tr>
        <w:trPr/>
        <w:tc>
          <w:tcPr>
            <w:tcW w:w="666"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31.1 **</w:t>
            </w:r>
          </w:p>
        </w:tc>
        <w:tc>
          <w:tcPr>
            <w:tcW w:w="9539" w:type="dxa"/>
            <w:tcBorders/>
            <w:vAlign w:val="center"/>
          </w:tcPr>
          <w:p>
            <w:pPr>
              <w:pStyle w:val="TableContents"/>
              <w:bidi w:val="0"/>
              <w:spacing w:before="100" w:after="283"/>
              <w:jc w:val="left"/>
              <w:rPr/>
            </w:pPr>
            <w:hyperlink w:anchor="comm-ex31_1.htm">
              <w:r>
                <w:rPr>
                  <w:rStyle w:val="InternetLink"/>
                  <w:rFonts w:ascii="Times New Roman" w:hAnsi="Times New Roman"/>
                  <w:color w:val="0000FF"/>
                  <w:sz w:val="20"/>
                  <w:u w:val="single"/>
                </w:rPr>
                <w:t>Certification of Principal Executive Officer pursuant to Rule 13a-14(a).</w:t>
              </w:r>
            </w:hyperlink>
          </w:p>
        </w:tc>
      </w:tr>
      <w:tr>
        <w:trPr/>
        <w:tc>
          <w:tcPr>
            <w:tcW w:w="666"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31.2 **</w:t>
            </w:r>
          </w:p>
        </w:tc>
        <w:tc>
          <w:tcPr>
            <w:tcW w:w="9539" w:type="dxa"/>
            <w:tcBorders/>
            <w:vAlign w:val="center"/>
          </w:tcPr>
          <w:p>
            <w:pPr>
              <w:pStyle w:val="TableContents"/>
              <w:bidi w:val="0"/>
              <w:spacing w:before="100" w:after="283"/>
              <w:jc w:val="left"/>
              <w:rPr/>
            </w:pPr>
            <w:hyperlink w:anchor="comm-ex31_2.htm">
              <w:r>
                <w:rPr>
                  <w:rStyle w:val="InternetLink"/>
                  <w:rFonts w:ascii="Times New Roman" w:hAnsi="Times New Roman"/>
                  <w:color w:val="0000FF"/>
                  <w:sz w:val="20"/>
                  <w:u w:val="single"/>
                </w:rPr>
                <w:t>Certification of Principal Financial Officer pursuant to Rule 13a-14(a).</w:t>
              </w:r>
            </w:hyperlink>
          </w:p>
        </w:tc>
      </w:tr>
      <w:tr>
        <w:trPr/>
        <w:tc>
          <w:tcPr>
            <w:tcW w:w="666"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32.1 **</w:t>
            </w:r>
          </w:p>
        </w:tc>
        <w:tc>
          <w:tcPr>
            <w:tcW w:w="9539" w:type="dxa"/>
            <w:tcBorders/>
            <w:vAlign w:val="center"/>
          </w:tcPr>
          <w:p>
            <w:pPr>
              <w:pStyle w:val="TableContents"/>
              <w:bidi w:val="0"/>
              <w:spacing w:before="100" w:after="283"/>
              <w:jc w:val="left"/>
              <w:rPr/>
            </w:pPr>
            <w:hyperlink w:anchor="com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 (furnished pursuant to Item 601(b)(32)(ii) of Regulation S-K).</w:t>
              </w:r>
            </w:hyperlink>
          </w:p>
        </w:tc>
      </w:tr>
      <w:tr>
        <w:trPr/>
        <w:tc>
          <w:tcPr>
            <w:tcW w:w="666"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101.INS</w:t>
            </w:r>
          </w:p>
        </w:tc>
        <w:tc>
          <w:tcPr>
            <w:tcW w:w="9539" w:type="dxa"/>
            <w:tcBorders/>
            <w:vAlign w:val="center"/>
          </w:tcPr>
          <w:p>
            <w:pPr>
              <w:pStyle w:val="TableContents"/>
              <w:bidi w:val="0"/>
              <w:spacing w:before="100" w:after="283"/>
              <w:ind w:left="0" w:right="605" w:hanging="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666"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101.SCH</w:t>
            </w:r>
          </w:p>
        </w:tc>
        <w:tc>
          <w:tcPr>
            <w:tcW w:w="9539" w:type="dxa"/>
            <w:tcBorders/>
            <w:vAlign w:val="center"/>
          </w:tcPr>
          <w:p>
            <w:pPr>
              <w:pStyle w:val="TableContents"/>
              <w:bidi w:val="0"/>
              <w:spacing w:before="100" w:after="283"/>
              <w:ind w:left="0" w:right="605" w:hanging="0"/>
              <w:jc w:val="left"/>
              <w:rPr>
                <w:rFonts w:ascii="Times New Roman" w:hAnsi="Times New Roman"/>
                <w:color w:val="000000"/>
                <w:sz w:val="20"/>
              </w:rPr>
            </w:pPr>
            <w:r>
              <w:rPr>
                <w:rFonts w:ascii="Times New Roman" w:hAnsi="Times New Roman"/>
                <w:color w:val="000000"/>
                <w:sz w:val="20"/>
              </w:rPr>
              <w:t>Inline XBRL Schema Document, furnished herewith.</w:t>
            </w:r>
          </w:p>
        </w:tc>
      </w:tr>
      <w:tr>
        <w:trPr/>
        <w:tc>
          <w:tcPr>
            <w:tcW w:w="666"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101.CAL</w:t>
            </w:r>
          </w:p>
        </w:tc>
        <w:tc>
          <w:tcPr>
            <w:tcW w:w="9539" w:type="dxa"/>
            <w:tcBorders/>
            <w:vAlign w:val="center"/>
          </w:tcPr>
          <w:p>
            <w:pPr>
              <w:pStyle w:val="TableContents"/>
              <w:bidi w:val="0"/>
              <w:spacing w:before="100" w:after="283"/>
              <w:ind w:left="0" w:right="605" w:hanging="0"/>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666"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101.DEF</w:t>
            </w:r>
          </w:p>
        </w:tc>
        <w:tc>
          <w:tcPr>
            <w:tcW w:w="9539" w:type="dxa"/>
            <w:tcBorders/>
            <w:vAlign w:val="center"/>
          </w:tcPr>
          <w:p>
            <w:pPr>
              <w:pStyle w:val="TableContents"/>
              <w:bidi w:val="0"/>
              <w:spacing w:before="100" w:after="283"/>
              <w:ind w:left="0" w:right="605" w:hanging="0"/>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666"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101.LAB</w:t>
            </w:r>
          </w:p>
        </w:tc>
        <w:tc>
          <w:tcPr>
            <w:tcW w:w="9539" w:type="dxa"/>
            <w:tcBorders/>
            <w:vAlign w:val="center"/>
          </w:tcPr>
          <w:p>
            <w:pPr>
              <w:pStyle w:val="TableContents"/>
              <w:bidi w:val="0"/>
              <w:spacing w:before="100" w:after="283"/>
              <w:ind w:left="0" w:right="601" w:hanging="0"/>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666"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101.PRE</w:t>
            </w:r>
          </w:p>
        </w:tc>
        <w:tc>
          <w:tcPr>
            <w:tcW w:w="9539" w:type="dxa"/>
            <w:tcBorders/>
            <w:vAlign w:val="center"/>
          </w:tcPr>
          <w:p>
            <w:pPr>
              <w:pStyle w:val="TableContents"/>
              <w:bidi w:val="0"/>
              <w:spacing w:before="100" w:after="283"/>
              <w:ind w:left="0" w:right="601" w:hanging="0"/>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666"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104</w:t>
            </w:r>
          </w:p>
        </w:tc>
        <w:tc>
          <w:tcPr>
            <w:tcW w:w="9539" w:type="dxa"/>
            <w:tcBorders/>
            <w:vAlign w:val="center"/>
          </w:tcPr>
          <w:p>
            <w:pPr>
              <w:pStyle w:val="TableContents"/>
              <w:bidi w:val="0"/>
              <w:spacing w:before="100" w:after="283"/>
              <w:ind w:left="0" w:right="601" w:hanging="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666" w:type="dxa"/>
            <w:tcBorders/>
            <w:vAlign w:val="center"/>
          </w:tcPr>
          <w:p>
            <w:pPr>
              <w:pStyle w:val="TableContents"/>
              <w:bidi w:val="0"/>
              <w:spacing w:before="100" w:after="283"/>
              <w:jc w:val="right"/>
              <w:rPr>
                <w:rFonts w:ascii="Times New Roman" w:hAnsi="Times New Roman"/>
                <w:color w:val="000000"/>
                <w:sz w:val="20"/>
              </w:rPr>
            </w:pPr>
            <w:r>
              <w:rPr>
                <w:rFonts w:ascii="Times New Roman" w:hAnsi="Times New Roman"/>
                <w:color w:val="000000"/>
                <w:sz w:val="20"/>
              </w:rPr>
              <w:t>**</w:t>
            </w:r>
          </w:p>
        </w:tc>
        <w:tc>
          <w:tcPr>
            <w:tcW w:w="9539" w:type="dxa"/>
            <w:tcBorders/>
            <w:vAlign w:val="center"/>
          </w:tcPr>
          <w:p>
            <w:pPr>
              <w:pStyle w:val="TableContents"/>
              <w:bidi w:val="0"/>
              <w:spacing w:before="100" w:after="283"/>
              <w:ind w:left="0" w:right="601" w:hanging="0"/>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120" w:after="283"/>
        <w:jc w:val="left"/>
        <w:rPr>
          <w:rFonts w:ascii="Times New Roman" w:hAnsi="Times New Roman"/>
          <w:b/>
          <w:color w:val="000000"/>
          <w:sz w:val="20"/>
        </w:rPr>
      </w:pPr>
      <w:bookmarkStart w:id="24" w:name="signatures"/>
      <w:bookmarkStart w:id="25" w:name="signature"/>
      <w:bookmarkEnd w:id="24"/>
      <w:bookmarkEnd w:id="25"/>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57" w:type="dxa"/>
        <w:jc w:val="left"/>
        <w:tblInd w:w="0" w:type="dxa"/>
        <w:tblLayout w:type="fixed"/>
        <w:tblCellMar>
          <w:top w:w="28" w:type="dxa"/>
          <w:left w:w="28" w:type="dxa"/>
          <w:bottom w:w="28" w:type="dxa"/>
          <w:right w:w="28" w:type="dxa"/>
        </w:tblCellMar>
      </w:tblPr>
      <w:tblGrid>
        <w:gridCol w:w="1156"/>
        <w:gridCol w:w="4801"/>
      </w:tblGrid>
      <w:tr>
        <w:trPr/>
        <w:tc>
          <w:tcPr>
            <w:tcW w:w="115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COMMSCOPE HOLDING COMPANY, INC.</w:t>
            </w:r>
          </w:p>
        </w:tc>
      </w:tr>
      <w:tr>
        <w:trPr/>
        <w:tc>
          <w:tcPr>
            <w:tcW w:w="1156" w:type="dxa"/>
            <w:tcBorders/>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pPr>
            <w:r>
              <w:rPr/>
              <w:t> </w:t>
            </w:r>
          </w:p>
        </w:tc>
      </w:tr>
      <w:tr>
        <w:trPr/>
        <w:tc>
          <w:tcPr>
            <w:tcW w:w="11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2024</w:t>
            </w:r>
          </w:p>
        </w:tc>
        <w:tc>
          <w:tcPr>
            <w:tcW w:w="4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11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48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and Chief Financial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duly authorized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omm-ex31_1.htm"/>
      <w:bookmarkStart w:id="27" w:name="kscomm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Charles L. Treadway,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CommScope Holding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977" w:type="dxa"/>
        <w:jc w:val="left"/>
        <w:tblInd w:w="0" w:type="dxa"/>
        <w:tblLayout w:type="fixed"/>
        <w:tblCellMar>
          <w:top w:w="28" w:type="dxa"/>
          <w:left w:w="28" w:type="dxa"/>
          <w:bottom w:w="28" w:type="dxa"/>
          <w:right w:w="28" w:type="dxa"/>
        </w:tblCellMar>
      </w:tblPr>
      <w:tblGrid>
        <w:gridCol w:w="646"/>
        <w:gridCol w:w="6331"/>
      </w:tblGrid>
      <w:tr>
        <w:trPr/>
        <w:tc>
          <w:tcPr>
            <w:tcW w:w="646" w:type="dxa"/>
            <w:tcBorders/>
            <w:vAlign w:val="center"/>
          </w:tcPr>
          <w:p>
            <w:pPr>
              <w:pStyle w:val="TableContents"/>
              <w:bidi w:val="0"/>
              <w:spacing w:before="0" w:after="283"/>
              <w:jc w:val="left"/>
              <w:rPr>
                <w:sz w:val="4"/>
                <w:szCs w:val="4"/>
              </w:rPr>
            </w:pPr>
            <w:r>
              <w:rPr>
                <w:sz w:val="4"/>
                <w:szCs w:val="4"/>
              </w:rPr>
            </w:r>
          </w:p>
        </w:tc>
        <w:tc>
          <w:tcPr>
            <w:tcW w:w="6331" w:type="dxa"/>
            <w:tcBorders/>
            <w:vAlign w:val="center"/>
          </w:tcPr>
          <w:p>
            <w:pPr>
              <w:pStyle w:val="TableContents"/>
              <w:bidi w:val="0"/>
              <w:spacing w:before="0" w:after="283"/>
              <w:jc w:val="left"/>
              <w:rPr>
                <w:sz w:val="4"/>
                <w:szCs w:val="4"/>
              </w:rPr>
            </w:pPr>
            <w:r>
              <w:rPr>
                <w:sz w:val="4"/>
                <w:szCs w:val="4"/>
              </w:rPr>
            </w:r>
          </w:p>
        </w:tc>
      </w:tr>
      <w:tr>
        <w:trPr/>
        <w:tc>
          <w:tcPr>
            <w:tcW w:w="697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2024</w:t>
            </w:r>
          </w:p>
        </w:tc>
      </w:tr>
      <w:tr>
        <w:trPr/>
        <w:tc>
          <w:tcPr>
            <w:tcW w:w="6977" w:type="dxa"/>
            <w:gridSpan w:val="2"/>
            <w:tcBorders/>
            <w:vAlign w:val="center"/>
          </w:tcPr>
          <w:p>
            <w:pPr>
              <w:pStyle w:val="TableContents"/>
              <w:bidi w:val="0"/>
              <w:spacing w:before="0" w:after="283"/>
              <w:jc w:val="left"/>
              <w:rPr/>
            </w:pPr>
            <w:r>
              <w:rPr/>
              <w:t> </w:t>
            </w:r>
          </w:p>
        </w:tc>
      </w:tr>
      <w:tr>
        <w:trPr/>
        <w:tc>
          <w:tcPr>
            <w:tcW w:w="69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L. Treadway</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L. Treadway</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comm-ex31_2.htm"/>
      <w:bookmarkStart w:id="29" w:name="kscomm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Kyle D. Lorentzen,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CommScope Holding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397" w:type="dxa"/>
        <w:jc w:val="left"/>
        <w:tblInd w:w="0" w:type="dxa"/>
        <w:tblLayout w:type="fixed"/>
        <w:tblCellMar>
          <w:top w:w="28" w:type="dxa"/>
          <w:left w:w="28" w:type="dxa"/>
          <w:bottom w:w="28" w:type="dxa"/>
          <w:right w:w="28" w:type="dxa"/>
        </w:tblCellMar>
      </w:tblPr>
      <w:tblGrid>
        <w:gridCol w:w="646"/>
        <w:gridCol w:w="6751"/>
      </w:tblGrid>
      <w:tr>
        <w:trPr/>
        <w:tc>
          <w:tcPr>
            <w:tcW w:w="646" w:type="dxa"/>
            <w:tcBorders/>
            <w:vAlign w:val="center"/>
          </w:tcPr>
          <w:p>
            <w:pPr>
              <w:pStyle w:val="TableContents"/>
              <w:bidi w:val="0"/>
              <w:spacing w:before="0" w:after="283"/>
              <w:jc w:val="left"/>
              <w:rPr>
                <w:sz w:val="4"/>
                <w:szCs w:val="4"/>
              </w:rPr>
            </w:pPr>
            <w:r>
              <w:rPr>
                <w:sz w:val="4"/>
                <w:szCs w:val="4"/>
              </w:rPr>
            </w:r>
          </w:p>
        </w:tc>
        <w:tc>
          <w:tcPr>
            <w:tcW w:w="6751" w:type="dxa"/>
            <w:tcBorders/>
            <w:vAlign w:val="center"/>
          </w:tcPr>
          <w:p>
            <w:pPr>
              <w:pStyle w:val="TableContents"/>
              <w:bidi w:val="0"/>
              <w:spacing w:before="0" w:after="283"/>
              <w:jc w:val="left"/>
              <w:rPr>
                <w:sz w:val="4"/>
                <w:szCs w:val="4"/>
              </w:rPr>
            </w:pPr>
            <w:r>
              <w:rPr>
                <w:sz w:val="4"/>
                <w:szCs w:val="4"/>
              </w:rPr>
            </w:r>
          </w:p>
        </w:tc>
      </w:tr>
      <w:tr>
        <w:trPr/>
        <w:tc>
          <w:tcPr>
            <w:tcW w:w="739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2024</w:t>
            </w:r>
          </w:p>
        </w:tc>
      </w:tr>
      <w:tr>
        <w:trPr/>
        <w:tc>
          <w:tcPr>
            <w:tcW w:w="7397" w:type="dxa"/>
            <w:gridSpan w:val="2"/>
            <w:tcBorders/>
            <w:vAlign w:val="center"/>
          </w:tcPr>
          <w:p>
            <w:pPr>
              <w:pStyle w:val="TableContents"/>
              <w:bidi w:val="0"/>
              <w:spacing w:before="0" w:after="283"/>
              <w:jc w:val="left"/>
              <w:rPr/>
            </w:pPr>
            <w:r>
              <w:rPr/>
              <w:t> </w:t>
            </w:r>
          </w:p>
        </w:tc>
      </w:tr>
      <w:tr>
        <w:trPr/>
        <w:tc>
          <w:tcPr>
            <w:tcW w:w="73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7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7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comm-ex32_1.htm"/>
      <w:bookmarkStart w:id="31" w:name="kscomm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CommScope Holding Company, Inc. (the “Company”) on Form 10-Q for the quarter ended March 31, 2024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Dated: May 8, 2024</w:t>
            </w:r>
          </w:p>
        </w:tc>
      </w:tr>
      <w:tr>
        <w:trPr/>
        <w:tc>
          <w:tcPr>
            <w:tcW w:w="3976" w:type="dxa"/>
            <w:tcBorders/>
            <w:vAlign w:val="center"/>
          </w:tcPr>
          <w:p>
            <w:pPr>
              <w:pStyle w:val="TableContents"/>
              <w:bidi w:val="0"/>
              <w:spacing w:before="0" w:after="283"/>
              <w:jc w:val="left"/>
              <w:rPr/>
            </w:pPr>
            <w:r>
              <w:rPr/>
              <w:t> </w:t>
            </w:r>
          </w:p>
        </w:tc>
      </w:tr>
      <w:tr>
        <w:trPr/>
        <w:tc>
          <w:tcPr>
            <w:tcW w:w="3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L. Treadway</w:t>
            </w:r>
          </w:p>
        </w:tc>
      </w:tr>
      <w:tr>
        <w:trPr/>
        <w:tc>
          <w:tcPr>
            <w:tcW w:w="3976"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Charles L. Treadway</w:t>
            </w:r>
          </w:p>
        </w:tc>
      </w:tr>
      <w:tr>
        <w:trPr/>
        <w:tc>
          <w:tcPr>
            <w:tcW w:w="39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39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19026</Words>
  <Characters>105160</Characters>
  <CharactersWithSpaces>125741</CharactersWithSpaces>
  <Paragraphs>7489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