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isn-20260630.htm"/>
      <w:bookmarkStart w:id="1" w:name="ksvisn20260630"/>
      <w:bookmarkEnd w:id="0"/>
      <w:bookmarkEnd w:id="1"/>
      <w:r>
        <w:rPr/>
        <w:t> </w:t>
      </w:r>
    </w:p>
    <w:p>
      <w:pPr>
        <w:pStyle w:val="TextBody"/>
        <w:pBdr>
          <w:bottom w:val="double" w:sz="6" w:space="1" w:color="000000"/>
        </w:pBdr>
        <w:bidi w:val="0"/>
        <w:jc w:val="left"/>
        <w:rPr/>
      </w:pPr>
      <w:r>
        <w:rPr/>
        <w:t> </w:t>
      </w:r>
    </w:p>
    <w:p>
      <w:pPr>
        <w:pStyle w:val="TextBody"/>
        <w:pBdr>
          <w:top w:val="double" w:sz="6" w:space="1" w:color="000000"/>
        </w:pBdr>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60" w:after="6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001-36146</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2601 Telecom Parkway</w:t>
      </w:r>
    </w:p>
    <w:p>
      <w:pPr>
        <w:pStyle w:val="TextBody"/>
        <w:bidi w:val="0"/>
        <w:jc w:val="center"/>
        <w:rPr>
          <w:rFonts w:ascii="Times New Roman" w:hAnsi="Times New Roman"/>
          <w:sz w:val="20"/>
        </w:rPr>
      </w:pPr>
      <w:r>
        <w:rPr>
          <w:rFonts w:ascii="Times New Roman" w:hAnsi="Times New Roman"/>
          <w:b/>
          <w:color w:val="000000"/>
          <w:sz w:val="20"/>
        </w:rPr>
        <w:t>Richardson,</w:t>
      </w:r>
      <w:r>
        <w:rPr>
          <w:rFonts w:ascii="Times New Roman" w:hAnsi="Times New Roman"/>
          <w:color w:val="000000"/>
          <w:sz w:val="20"/>
        </w:rPr>
        <w:t xml:space="preserve"> </w:t>
      </w:r>
      <w:r>
        <w:rPr>
          <w:rFonts w:ascii="Times New Roman" w:hAnsi="Times New Roman"/>
          <w:b/>
          <w:color w:val="000000"/>
          <w:sz w:val="20"/>
        </w:rPr>
        <w:t>Texas</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jc w:val="center"/>
        <w:rPr>
          <w:rFonts w:ascii="Times New Roman" w:hAnsi="Times New Roman"/>
          <w:b/>
          <w:color w:val="000000"/>
          <w:sz w:val="20"/>
        </w:rPr>
      </w:pPr>
      <w:r>
        <w:rPr>
          <w:rFonts w:ascii="Times New Roman" w:hAnsi="Times New Roman"/>
          <w:b/>
          <w:color w:val="000000"/>
          <w:sz w:val="20"/>
        </w:rPr>
        <w:t>75082</w:t>
      </w:r>
    </w:p>
    <w:p>
      <w:pPr>
        <w:pStyle w:val="TextBody"/>
        <w:bidi w:val="0"/>
        <w:jc w:val="center"/>
        <w:rPr>
          <w:rFonts w:ascii="Times New Roman" w:hAnsi="Times New Roman"/>
          <w:b/>
          <w:color w:val="000000"/>
          <w:sz w:val="16"/>
        </w:rPr>
      </w:pPr>
      <w:r>
        <w:rPr>
          <w:rFonts w:ascii="Times New Roman" w:hAnsi="Times New Roman"/>
          <w:b/>
          <w:color w:val="000000"/>
          <w:sz w:val="16"/>
        </w:rPr>
        <w:t>(Zip code)</w:t>
      </w:r>
    </w:p>
    <w:p>
      <w:pPr>
        <w:pStyle w:val="TextBody"/>
        <w:bidi w:val="0"/>
        <w:jc w:val="center"/>
        <w:rPr>
          <w:rFonts w:ascii="Times New Roman" w:hAnsi="Times New Roman"/>
          <w:b/>
          <w:color w:val="000000"/>
          <w:sz w:val="20"/>
        </w:rPr>
      </w:pPr>
      <w:r>
        <w:rPr>
          <w:rFonts w:ascii="Times New Roman" w:hAnsi="Times New Roman"/>
          <w:b/>
          <w:color w:val="000000"/>
          <w:sz w:val="20"/>
        </w:rPr>
        <w:t>(972) 952-9700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0" w:after="14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VISN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w:t>
            </w:r>
          </w:p>
        </w:tc>
      </w:tr>
    </w:tbl>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00" w:after="12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82" w:type="dxa"/>
        <w:jc w:val="left"/>
        <w:tblInd w:w="0" w:type="dxa"/>
        <w:tblLayout w:type="fixed"/>
        <w:tblCellMar>
          <w:top w:w="28" w:type="dxa"/>
          <w:left w:w="28" w:type="dxa"/>
          <w:bottom w:w="28" w:type="dxa"/>
          <w:right w:w="28" w:type="dxa"/>
        </w:tblCellMar>
      </w:tblPr>
      <w:tblGrid>
        <w:gridCol w:w="1666"/>
        <w:gridCol w:w="146"/>
        <w:gridCol w:w="37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pBdr>
          <w:bottom w:val="double" w:sz="6" w:space="1" w:color="000000"/>
        </w:pBdr>
        <w:bidi w:val="0"/>
        <w:spacing w:before="80" w:after="283"/>
        <w:jc w:val="left"/>
        <w:rPr>
          <w:rFonts w:ascii="Times New Roman" w:hAnsi="Times New Roman"/>
          <w:color w:val="000000"/>
          <w:sz w:val="20"/>
        </w:rPr>
      </w:pPr>
      <w:r>
        <w:rPr>
          <w:rFonts w:ascii="Times New Roman" w:hAnsi="Times New Roman"/>
          <w:color w:val="000000"/>
          <w:sz w:val="20"/>
        </w:rPr>
        <w:t>As of July 22, 2026, there were 230,626,412 shares of common stock outstanding.</w:t>
      </w:r>
    </w:p>
    <w:p>
      <w:pPr>
        <w:pStyle w:val="TextBody"/>
        <w:bidi w:val="0"/>
        <w:spacing w:before="240" w:after="283"/>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88"/>
        <w:gridCol w:w="146"/>
        <w:gridCol w:w="1871"/>
      </w:tblGrid>
      <w:tr>
        <w:trPr/>
        <w:tc>
          <w:tcPr>
            <w:tcW w:w="8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1_financial_information">
              <w:r>
                <w:rPr>
                  <w:rStyle w:val="InternetLink"/>
                  <w:rFonts w:ascii="Times New Roman" w:hAnsi="Times New Roman"/>
                  <w:color w:val="0000FF"/>
                  <w:sz w:val="20"/>
                  <w:u w:val="single"/>
                </w:rPr>
                <w:t>Part I—Financial Information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_condensed_consolidated_fs">
              <w:r>
                <w:rPr>
                  <w:rStyle w:val="InternetLink"/>
                  <w:rFonts w:ascii="Times New Roman" w:hAnsi="Times New Roman"/>
                  <w:color w:val="0000FF"/>
                  <w:sz w:val="20"/>
                  <w:u w:val="single"/>
                </w:rPr>
                <w:t>Item 1.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pPr>
            <w:hyperlink w:anchor="item_1_condensed_consolidated_fs">
              <w:r>
                <w:rPr>
                  <w:rStyle w:val="InternetLink"/>
                  <w:rFonts w:ascii="Times New Roman" w:hAnsi="Times New Roman"/>
                  <w:color w:val="0000FF"/>
                  <w:sz w:val="20"/>
                  <w:u w:val="single"/>
                </w:rPr>
                <w:t>Condensed Consolidated Statements of Operations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2</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pPr>
            <w:hyperlink w:anchor="condensed_consolidated_stmt_of_comp_inc">
              <w:r>
                <w:rPr>
                  <w:rStyle w:val="InternetLink"/>
                  <w:rFonts w:ascii="Times New Roman" w:hAnsi="Times New Roman"/>
                  <w:color w:val="0000FF"/>
                  <w:sz w:val="20"/>
                  <w:u w:val="single"/>
                </w:rPr>
                <w:t>Condensed Consolidated Statements of Comprehensive Income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3</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pPr>
            <w:hyperlink w:anchor="item_1_condensed_consolidated_bs">
              <w:r>
                <w:rPr>
                  <w:rStyle w:val="InternetLink"/>
                  <w:rFonts w:ascii="Times New Roman" w:hAnsi="Times New Roman"/>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pPr>
            <w:hyperlink w:anchor="item_1_condensed_consolidated_cf">
              <w:r>
                <w:rPr>
                  <w:rStyle w:val="InternetLink"/>
                  <w:rFonts w:ascii="Times New Roman" w:hAnsi="Times New Roman"/>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rFonts w:ascii="Times New Roman" w:hAnsi="Times New Roman"/>
                <w:color w:val="0000FF"/>
                <w:sz w:val="20"/>
                <w:u w:val="single"/>
              </w:rPr>
            </w:pPr>
            <w:r>
              <w:rPr>
                <w:rFonts w:ascii="Times New Roman" w:hAnsi="Times New Roman"/>
                <w:color w:val="0000FF"/>
                <w:sz w:val="20"/>
                <w:u w:val="single"/>
              </w:rPr>
              <w:t>Condensed Consolidated Statements of Stockholders’ Equity (Deficit)</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6</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7</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32</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3_quantitative_qualitative_discl">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46</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47</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or_information">
              <w:r>
                <w:rPr>
                  <w:rStyle w:val="InternetLink"/>
                  <w:rFonts w:ascii="Times New Roman" w:hAnsi="Times New Roman"/>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48</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a_risk_factors">
              <w:r>
                <w:rPr>
                  <w:rStyle w:val="InternetLink"/>
                  <w:rFonts w:ascii="Times New Roman" w:hAnsi="Times New Roman"/>
                  <w:color w:val="0000FF"/>
                  <w:sz w:val="20"/>
                  <w:u w:val="single"/>
                </w:rPr>
                <w:t>Item 1A. Risk Factors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48</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2_unregistered_sales_equity_securit">
              <w:r>
                <w:rPr>
                  <w:rStyle w:val="InternetLink"/>
                  <w:rFonts w:ascii="Times New Roman" w:hAnsi="Times New Roman"/>
                  <w:color w:val="0000FF"/>
                  <w:sz w:val="20"/>
                  <w:u w:val="single"/>
                </w:rPr>
                <w:t>Item 2. Unregistered Sales of Equity Securities, Use of Proceeds,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rFonts w:ascii="Times New Roman" w:hAnsi="Times New Roman"/>
                <w:color w:val="000000"/>
                <w:sz w:val="20"/>
              </w:rPr>
            </w:pPr>
            <w:r>
              <w:rPr>
                <w:rFonts w:ascii="Times New Roman" w:hAnsi="Times New Roman"/>
                <w:color w:val="000000"/>
                <w:sz w:val="20"/>
              </w:rPr>
              <w:t>48</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49</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rFonts w:ascii="Times New Roman" w:hAnsi="Times New Roman"/>
                <w:color w:val="000000"/>
                <w:sz w:val="20"/>
              </w:rPr>
            </w:pPr>
            <w:r>
              <w:rPr>
                <w:rFonts w:ascii="Times New Roman" w:hAnsi="Times New Roman"/>
                <w:color w:val="000000"/>
                <w:sz w:val="20"/>
              </w:rPr>
              <w:t>49</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49</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50</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1_financial_information"/>
      <w:bookmarkEnd w:id="2"/>
      <w:r>
        <w:rPr>
          <w:rFonts w:ascii="Times New Roman" w:hAnsi="Times New Roman"/>
          <w:b/>
          <w:color w:val="000000"/>
          <w:sz w:val="20"/>
        </w:rPr>
        <w:t>PART 1 – FINANCIAL INFORMATION (UNAUDITED)</w:t>
      </w:r>
    </w:p>
    <w:p>
      <w:pPr>
        <w:pStyle w:val="TextBody"/>
        <w:bidi w:val="0"/>
        <w:jc w:val="left"/>
        <w:rPr>
          <w:rFonts w:ascii="Times New Roman" w:hAnsi="Times New Roman"/>
          <w:b/>
          <w:color w:val="000000"/>
          <w:sz w:val="20"/>
        </w:rPr>
      </w:pPr>
      <w:bookmarkStart w:id="3" w:name="item_1_condensed_consolidated_fs"/>
      <w:bookmarkEnd w:id="3"/>
      <w:r>
        <w:rPr>
          <w:rFonts w:ascii="Times New Roman" w:hAnsi="Times New Roman"/>
          <w:b/>
          <w:color w:val="000000"/>
          <w:sz w:val="20"/>
        </w:rPr>
        <w:t>ITEM 1. CONDENSED CONSOLIDATED FINANCIAL STATEMENTS</w:t>
      </w:r>
    </w:p>
    <w:p>
      <w:pPr>
        <w:pStyle w:val="TextBody"/>
        <w:bidi w:val="0"/>
        <w:jc w:val="left"/>
        <w:rPr/>
      </w:pPr>
      <w:r>
        <w:rPr/>
        <w:t> </w:t>
      </w:r>
    </w:p>
    <w:tbl>
      <w:tblPr>
        <w:tblW w:w="10002" w:type="dxa"/>
        <w:jc w:val="left"/>
        <w:tblInd w:w="0" w:type="dxa"/>
        <w:tblLayout w:type="fixed"/>
        <w:tblCellMar>
          <w:top w:w="28" w:type="dxa"/>
          <w:left w:w="28" w:type="dxa"/>
          <w:bottom w:w="28" w:type="dxa"/>
          <w:right w:w="28" w:type="dxa"/>
        </w:tblCellMar>
      </w:tblPr>
      <w:tblGrid>
        <w:gridCol w:w="5251"/>
        <w:gridCol w:w="146"/>
        <w:gridCol w:w="211"/>
        <w:gridCol w:w="571"/>
        <w:gridCol w:w="166"/>
        <w:gridCol w:w="146"/>
        <w:gridCol w:w="211"/>
        <w:gridCol w:w="571"/>
        <w:gridCol w:w="166"/>
        <w:gridCol w:w="146"/>
        <w:gridCol w:w="211"/>
        <w:gridCol w:w="721"/>
        <w:gridCol w:w="166"/>
        <w:gridCol w:w="146"/>
        <w:gridCol w:w="211"/>
        <w:gridCol w:w="571"/>
        <w:gridCol w:w="39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61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 except per share amounts)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service agreement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discontinued operations, net of income tax</w:t>
              <w:br/>
              <w:t xml:space="preserve">   (expense) benefit of $244.1, $(32.3), $(1,173.8) and $(450.2), </w:t>
              <w:br/>
              <w:t>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 dividends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Deemed dividend on redemption of Series A </w:t>
              <w:br/>
              <w:t>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bookmarkStart w:id="4" w:name="condensed_consolidated_stmt_of_comp_inc"/>
      <w:bookmarkEnd w:id="4"/>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 – In millions)</w:t>
      </w:r>
    </w:p>
    <w:p>
      <w:pPr>
        <w:pStyle w:val="TextBody"/>
        <w:bidi w:val="0"/>
        <w:jc w:val="left"/>
        <w:rPr/>
      </w:pPr>
      <w:r>
        <w:rPr/>
        <w:t> </w:t>
      </w:r>
    </w:p>
    <w:tbl>
      <w:tblPr>
        <w:tblW w:w="9237" w:type="dxa"/>
        <w:jc w:val="left"/>
        <w:tblInd w:w="0" w:type="dxa"/>
        <w:tblLayout w:type="fixed"/>
        <w:tblCellMar>
          <w:top w:w="28" w:type="dxa"/>
          <w:left w:w="28" w:type="dxa"/>
          <w:bottom w:w="28" w:type="dxa"/>
          <w:right w:w="28" w:type="dxa"/>
        </w:tblCellMar>
      </w:tblPr>
      <w:tblGrid>
        <w:gridCol w:w="4376"/>
        <w:gridCol w:w="146"/>
        <w:gridCol w:w="211"/>
        <w:gridCol w:w="571"/>
        <w:gridCol w:w="166"/>
        <w:gridCol w:w="146"/>
        <w:gridCol w:w="211"/>
        <w:gridCol w:w="571"/>
        <w:gridCol w:w="146"/>
        <w:gridCol w:w="146"/>
        <w:gridCol w:w="211"/>
        <w:gridCol w:w="721"/>
        <w:gridCol w:w="146"/>
        <w:gridCol w:w="146"/>
        <w:gridCol w:w="211"/>
        <w:gridCol w:w="721"/>
        <w:gridCol w:w="391"/>
      </w:tblGrid>
      <w:tr>
        <w:trPr/>
        <w:tc>
          <w:tcPr>
            <w:tcW w:w="4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and other postretirement benefit activity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7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4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250" w:type="dxa"/>
        <w:jc w:val="left"/>
        <w:tblInd w:w="0" w:type="dxa"/>
        <w:tblLayout w:type="fixed"/>
        <w:tblCellMar>
          <w:top w:w="28" w:type="dxa"/>
          <w:left w:w="28" w:type="dxa"/>
          <w:bottom w:w="28" w:type="dxa"/>
          <w:right w:w="28" w:type="dxa"/>
        </w:tblCellMar>
      </w:tblPr>
      <w:tblGrid>
        <w:gridCol w:w="5756"/>
        <w:gridCol w:w="146"/>
        <w:gridCol w:w="254"/>
        <w:gridCol w:w="871"/>
        <w:gridCol w:w="166"/>
        <w:gridCol w:w="146"/>
        <w:gridCol w:w="319"/>
        <w:gridCol w:w="1181"/>
        <w:gridCol w:w="411"/>
      </w:tblGrid>
      <w:tr>
        <w:trPr/>
        <w:tc>
          <w:tcPr>
            <w:tcW w:w="5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83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bookmarkStart w:id="5" w:name="item_1_condensed_consolidated_bs"/>
            <w:bookmarkEnd w:id="5"/>
            <w:r>
              <w:rPr>
                <w:rFonts w:ascii="Times New Roman" w:hAnsi="Times New Roman"/>
                <w:b/>
                <w:color w:val="000000"/>
                <w:sz w:val="20"/>
              </w:rPr>
              <w:t>Vistance Networks, Inc.</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 except share amounts)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Unaudited </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Accounts receivable, net of allowance for doubtful accounts </w:t>
              <w:br/>
              <w:t>   of $0.5 and $1.2,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5,796.2</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Property, plant and equipment, net of accumulated depreciation </w:t>
              <w:br/>
              <w:t>   of $126.7 and $134.7,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1,722.3</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held for sale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 held for sale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 $0.01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$0.01 par value: Authorized shares: 200,000,000;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 and outstanding shares: None and 1,278,653, respectively,</w:t>
              <w:br/>
              <w:t>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Common stock, $0.01 par value: Authorized shares: 1,300,000,000; </w:t>
              <w:br/>
              <w:t xml:space="preserve">   Issued and outstanding shares: 230,046,379 and 223,260,316, </w:t>
              <w:br/>
              <w:t>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Retained earnings (accumulated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Treasury stock, at cost: 21,614,317 shares and </w:t>
              <w:br/>
              <w:t>   18,665,426 shares,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9,371.0</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13"/>
        <w:gridCol w:w="193"/>
        <w:gridCol w:w="280"/>
        <w:gridCol w:w="1175"/>
        <w:gridCol w:w="220"/>
        <w:gridCol w:w="193"/>
        <w:gridCol w:w="280"/>
        <w:gridCol w:w="1036"/>
        <w:gridCol w:w="615"/>
      </w:tblGrid>
      <w:tr>
        <w:trPr/>
        <w:tc>
          <w:tcPr>
            <w:tcW w:w="6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959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bookmarkStart w:id="6" w:name="item_1_condensed_consolidated_cf"/>
            <w:bookmarkEnd w:id="6"/>
            <w:r>
              <w:rPr>
                <w:rFonts w:ascii="Times New Roman" w:hAnsi="Times New Roman"/>
                <w:b/>
                <w:color w:val="000000"/>
                <w:sz w:val="20"/>
              </w:rPr>
              <w:t>Vistance Networks, Inc.</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Consolidated Statements of Cash Flows </w:t>
            </w:r>
            <w:r>
              <w:rPr>
                <w:rFonts w:ascii="Times New Roman" w:hAnsi="Times New Roman"/>
                <w:b/>
                <w:color w:val="000000"/>
                <w:sz w:val="13"/>
              </w:rPr>
              <w:t>(1)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disposal of discontinued operations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(7,009.3</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write-off of unamortized DFF and OID</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liabilities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61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to property, plant and equipment</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proceeds from divestitures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10,541.7</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2,041.8</w:t>
            </w:r>
          </w:p>
        </w:tc>
        <w:tc>
          <w:tcPr>
            <w:tcW w:w="6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investing activities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10,537.5</w:t>
            </w:r>
          </w:p>
        </w:tc>
        <w:tc>
          <w:tcPr>
            <w:tcW w:w="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2,023.7</w:t>
            </w:r>
          </w:p>
        </w:tc>
        <w:tc>
          <w:tcPr>
            <w:tcW w:w="6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repaid</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proceeds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issuance costs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Redemption of Series A convertible preferred stock</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Special distribution paid to common shareholders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Dividends paid on Series A convertible preferred stock</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shares under equity-based compensation plans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withholding payments for vested equity-based compensation awards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61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(11,011.5</w:t>
            </w:r>
          </w:p>
        </w:tc>
        <w:tc>
          <w:tcPr>
            <w:tcW w:w="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w:t>
            </w:r>
          </w:p>
        </w:tc>
        <w:tc>
          <w:tcPr>
            <w:tcW w:w="6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6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w:t>
            </w:r>
          </w:p>
        </w:tc>
        <w:tc>
          <w:tcPr>
            <w:tcW w:w="2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6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9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cash flows related to discontinued operations have not been segregated. Accordingly, the Condensed Consolidated Statements of Cash Flows include the results of continuing and discontinued operations.</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9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04"/>
        <w:gridCol w:w="146"/>
        <w:gridCol w:w="211"/>
        <w:gridCol w:w="1141"/>
        <w:gridCol w:w="166"/>
        <w:gridCol w:w="146"/>
        <w:gridCol w:w="211"/>
        <w:gridCol w:w="1141"/>
        <w:gridCol w:w="166"/>
        <w:gridCol w:w="146"/>
        <w:gridCol w:w="211"/>
        <w:gridCol w:w="1141"/>
        <w:gridCol w:w="166"/>
        <w:gridCol w:w="146"/>
        <w:gridCol w:w="211"/>
        <w:gridCol w:w="1141"/>
        <w:gridCol w:w="311"/>
      </w:tblGrid>
      <w:tr>
        <w:trPr/>
        <w:tc>
          <w:tcPr>
            <w:tcW w:w="3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8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bookmarkStart w:id="7" w:name="item_1_stmt_stk_equity"/>
            <w:bookmarkEnd w:id="7"/>
            <w:r>
              <w:rPr>
                <w:rFonts w:ascii="Times New Roman" w:hAnsi="Times New Roman"/>
                <w:b/>
                <w:color w:val="000000"/>
                <w:sz w:val="20"/>
              </w:rPr>
              <w:t>Vistance Networks, Inc.</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Stockholders' Equity (Deficit)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 except share amounts)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common shares outstanding:</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225,513,374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216,581,612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223,260,316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215,887,001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shares under equity-based compensation plans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6,380,466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6,428,092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9,734,954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7,422,270</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surrendered under equity-based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(1,858,264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230,046,379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221,451,007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230,046,379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221,451,007</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shares under equity-based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2,514.2</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shares under equity-based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Dividends on 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2,496.7</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2,496.7</w:t>
            </w:r>
          </w:p>
        </w:tc>
        <w:tc>
          <w:tcPr>
            <w:tcW w:w="3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 (accumulated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(5,324.5</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Excise tax on Series A convertible preferred stock </w:t>
              <w:br/>
              <w:t>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Special distribution paid to common shareholders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(4,508.7</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(4,508.7</w:t>
            </w:r>
          </w:p>
        </w:tc>
        <w:tc>
          <w:tcPr>
            <w:tcW w:w="3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Net shares surrendered under equity-based compensation </w:t>
              <w:br/>
              <w: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jc w:val="left"/>
        <w:rPr>
          <w:rFonts w:ascii="Times New Roman" w:hAnsi="Times New Roman"/>
          <w:sz w:val="20"/>
        </w:rPr>
      </w:pPr>
      <w:bookmarkStart w:id="8" w:name="notes_to_unaudited_condensed_consolidate"/>
      <w:bookmarkEnd w:id="8"/>
      <w:r>
        <w:rPr>
          <w:rFonts w:ascii="Times New Roman" w:hAnsi="Times New Roman"/>
          <w:b/>
          <w:color w:val="000000"/>
          <w:sz w:val="20"/>
        </w:rPr>
        <w:t>1. BACKGROUND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Background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Vistance Networks, Inc. (Vistance or the Company), a global provider of intelligent network solutions, provides solutions for wired and wireless networks that enable service providers including cable, telephone and digital broadcast satellite operators and media programmers, to deliver media, voice and Internet Protocol (IP) data services. The Company’s solutions are complemented by services including technical support, systems design and integration. The Company is a leader in digital video and IP television (IPTV) distribution systems, broadband access infrastructure platforms and equipment that delivers data and voice networks to homes. The Company’s global leadership position is built upon innovative technology, broad solution offerings, high-quality and cost-effective customer solutions, and global manufacturing and distribution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29, 2026, the Company entered into a definitive agreement with Belden Inc. (Belden), a Delaware corporation, pursuant to which Belden agreed to acquire the Company’s RUCKUS segment, which provides wireless networks for enterprises and service providers, in exchange for approximately $1.846 billion in cash, subject to certain adjustments. As a result, the RUCKUS segment has been classified as held for sale. Accordingly, the results of operations directly attributable to the RUCKUS segment have been reclassified to discontinued operations for all periods presented on the Condensed Consolidated Statements of Operations, and the related assets and liabilities have been presented separately as assets and liabilities held for sale on the Condensed Consolidated Balance Sheets for both current and prior periods. See Notes 2 and 9 for further discussion of the divestiture and sale of the RUCKUS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interim condensed consolidated financial statements have been prepared in accordance with generally accepted accounting principles (GAAP) in the United States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2025 (the 2025 Annual Report). The significant accounting policies followed by the Company are set forth in Note 2 within the Company’s audited consolidated financial statements included in the 2025 Annual Report. There were no material changes in the Company’s significant accounting policies during the three or six months ended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Concentrations of Risk and Related Party Transactions</w:t>
      </w:r>
    </w:p>
    <w:p>
      <w:pPr>
        <w:pStyle w:val="TextBody"/>
        <w:bidi w:val="0"/>
        <w:spacing w:before="120" w:after="283"/>
        <w:jc w:val="left"/>
        <w:rPr>
          <w:rFonts w:ascii="Times New Roman" w:hAnsi="Times New Roman"/>
          <w:sz w:val="20"/>
        </w:rPr>
      </w:pPr>
      <w:r>
        <w:rPr>
          <w:rFonts w:ascii="Times New Roman" w:hAnsi="Times New Roman"/>
          <w:color w:val="212121"/>
          <w:sz w:val="20"/>
        </w:rPr>
        <w:t xml:space="preserve">Net sales to </w:t>
      </w:r>
      <w:r>
        <w:rPr>
          <w:rFonts w:ascii="Times New Roman" w:hAnsi="Times New Roman"/>
          <w:color w:val="000000"/>
          <w:sz w:val="20"/>
        </w:rPr>
        <w:t xml:space="preserve">Comcast </w:t>
      </w:r>
      <w:r>
        <w:rPr>
          <w:rFonts w:ascii="Times New Roman" w:hAnsi="Times New Roman"/>
          <w:color w:val="212121"/>
          <w:sz w:val="20"/>
        </w:rPr>
        <w:t xml:space="preserve">Corporation and affiliates (Comcast) accounted for approximately 59% and 60% of the Company’s total net sales during the three and six months ended June 30, 2026, respectively. Net sales to </w:t>
      </w:r>
      <w:r>
        <w:rPr>
          <w:rFonts w:ascii="Times New Roman" w:hAnsi="Times New Roman"/>
          <w:color w:val="000000"/>
          <w:sz w:val="20"/>
        </w:rPr>
        <w:t>Charter Communications, Inc. (</w:t>
      </w:r>
      <w:r>
        <w:rPr>
          <w:rFonts w:ascii="Times New Roman" w:hAnsi="Times New Roman"/>
          <w:color w:val="212121"/>
          <w:sz w:val="20"/>
        </w:rPr>
        <w:t>Charter) accounted for approximately 12% and 10% of the Company’s total net sales during the three and six months ended June 30, 2026, respectively. For the three and six months ended June 30, 2025</w:t>
      </w:r>
      <w:r>
        <w:rPr>
          <w:rFonts w:ascii="Times New Roman" w:hAnsi="Times New Roman"/>
          <w:color w:val="000000"/>
          <w:sz w:val="20"/>
        </w:rPr>
        <w:t>, net sales to Comcast accounted for approximately 48% and 42%, respectively, and net sales to Charter accounted for approximately 15% and 14%, respectively, of the Company's total net sales. Other than Comcast and Charter, no direct customer accounted for 10% or more of the Company’s net sales during the three or six months ended June 30, 2026 or 2025. Accounts receivable from Comcast and Charter represented approximately 48% and 15% of the Company’s accounts receivable as of June 30, 2026, respectively. Other than Comcast and Charter, no direct customer accounted for 10% or more of the Company’s accounts receivable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transactions related to the Series A Convertible Preferred Stock (Convertible Preferred Stock) through the January 9, 2026 redemption date and the Company’s continuing involvement with Vantiva SA (Vantiva) discussed in Note 2, there were no material related party transactions during the three or six months ended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i/>
          <w:color w:val="000000"/>
          <w:sz w:val="20"/>
        </w:rPr>
        <w:t>Product Warranties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 liability for the estimated claims that may be paid under its customer assurance-type warranty agreements to remedy potential deficiencies of quality or performance of the Company’s products. These product warranties extend over various periods, depending 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activity in the product warranty accrual, included in accrued and other liabilities and other noncurrent liabilities on the Condensed Consolidated Balance Sheets:</w:t>
      </w:r>
    </w:p>
    <w:tbl>
      <w:tblPr>
        <w:tblW w:w="7691" w:type="dxa"/>
        <w:jc w:val="left"/>
        <w:tblInd w:w="0" w:type="dxa"/>
        <w:tblLayout w:type="fixed"/>
        <w:tblCellMar>
          <w:top w:w="28" w:type="dxa"/>
          <w:left w:w="28" w:type="dxa"/>
          <w:bottom w:w="28" w:type="dxa"/>
          <w:right w:w="28" w:type="dxa"/>
        </w:tblCellMar>
      </w:tblPr>
      <w:tblGrid>
        <w:gridCol w:w="3841"/>
        <w:gridCol w:w="146"/>
        <w:gridCol w:w="215"/>
        <w:gridCol w:w="429"/>
        <w:gridCol w:w="169"/>
        <w:gridCol w:w="148"/>
        <w:gridCol w:w="215"/>
        <w:gridCol w:w="429"/>
        <w:gridCol w:w="166"/>
        <w:gridCol w:w="146"/>
        <w:gridCol w:w="211"/>
        <w:gridCol w:w="421"/>
        <w:gridCol w:w="166"/>
        <w:gridCol w:w="146"/>
        <w:gridCol w:w="211"/>
        <w:gridCol w:w="421"/>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accrual,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warranty claims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claims paid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accrual,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various federal, state, local and foreign laws and regulations governing the use, discharge, disposal and remediation of hazardous materials. Compliance with current laws and regulations has not had, and is not expected to have, a material adverse effect on the Company’s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termination of the Company’s term loan, the Company collateralized its outstanding letters of credit with cash deposits held by the issuing banks. These deposits were restricted as to withdrawal and were not available for general corporate purposes until the related letters of credit were reduced, expired or otherwise terminated. As of March 31, 2026, restricted cash totaled $56.5 million, of which $11.4 million and $45.1 million were included in prepaid expenses and other current assets and other noncurrent assets, respectively, in the accompanying Condensed Consolidated Balance Sheets. Upon entering into the Company’s asset</w:t>
        <w:noBreakHyphen/>
        <w:t>based revolving credit facility in April 2026, the Company satisfied the applicable collateral requirements for its outstanding letters of credit, and the related cash deposits were returned and the restrictions released.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Asset Impairments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tested for impairment annually or at other times if events have occurred or circumstances exist that indicate the carrying value of the reporting unit may exceed its fair value. There were no goodwill impairments identified during the three or six months ended June 30, 2026 or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last annual impairment test on October 1, 2025, the implied fair value of the Aurora reporting unit exceeded its carrying amount by approximately 9%. Considering the low headroom going forward for the Aurora reporting unit, there is a risk for future impairment in the event of further declines in general economic, market or business conditions or any significant unfavorable change in the forecasted cash flows, weighted average cost of capital or growth rates. If current and long-term projections for the Aurora reporting unit are not realized or decrease materially, the Company may be required to recognize additional goodwill impairment charges, and these charges could be material to the results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which include 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their estimated fair value. Equity investments without readily determinable fair values are evaluated each reporting period for impairment based on a qualitative assessment and are then measured at fair value if an impairment is determined to exist. Other than certain assets impaired as a result of restructuring actions and as part of discontinued operations, there were no definite-lived intangible or other long-lived asset impairments identified during the three or six months ended June 30, 2026 or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the Company recognized an income tax benefit of $28.7 million on a pretax loss of $2.6 million and an income tax benefit of $22.3 million on pretax income of $20.4 million, respectively. The Company’s income taxes were less than the statutory rate of 21.0% for the three and six months ended June 30, 2026, primarily due to $21.0 million and $21.2 million, respectively, of tax benefit associated with the Company’s equity compensation plan. Additionally, the Company recognized $7.1 million of tax benefit for each of the three and six months ended June 30, 2026 related to remeasuring certain net deferred taxes. Offsetting these benefits for the three and six months ended June 30, 2026, were the unfavorable impacts of U.S. anti-deferral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the Company recognized income tax expense of $2.5 million on pretax income of $8.4 million and an income tax benefit of $359.2 million on a pretax loss of $20.8 million, respectively. The Company’s income taxes for the three and six months ended June 30, 2025, were favorably impacted by the tax benefit related to federal tax credits, as well as $361.1 million associated with a tax planning strategy for the six months ended June 30, 2025. Offsetting these benefits for the three and six months ended June 30, 2025, were the unfavorable impacts of U.S. anti-deferral provisions.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Earnings (Loss) Per Share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earnings (loss) per share (EPS) from continuing operations is computed by dividing income (loss) from continuing operations, less any dividends and deemed dividends related to the Convertible Preferred Stock, by the weighted average number of common shares outstanding during the period. The numerator in diluted EPS from continuing operations is based on the basic EPS from continuing operations numerator, adjusted to add back any dividends and deemed dividends related to the Convertible Preferred Stock, subject to antidilution requirements. Dividend equivalents associated with unvested restricted stock units (RSUs) and performance stock units (PSUs) are payable only upon vesting and remain subject to forfeiture. As a result, these awards do not represent participating securities under ASC 260, </w:t>
      </w:r>
      <w:r>
        <w:rPr>
          <w:rFonts w:ascii="Times New Roman" w:hAnsi="Times New Roman"/>
          <w:i/>
          <w:color w:val="000000"/>
          <w:sz w:val="20"/>
        </w:rPr>
        <w:t>Earnings per Share,</w:t>
      </w:r>
      <w:r>
        <w:rPr>
          <w:rFonts w:ascii="Times New Roman" w:hAnsi="Times New Roman"/>
          <w:color w:val="000000"/>
          <w:sz w:val="20"/>
        </w:rPr>
        <w:t xml:space="preserve"> and the Company does not apply the two-class method in calculating earnings per share. The denominator used in diluted EPS from continuing operations is based on the basic EPS computation plus the effect of potentially dilutive common shares related to the Convertible Preferred Stock (during periods when shares of Convertible Preferred stock were outstanding) and equity-based compensation plans, subject to antidilution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EPS from discontinued operations is computed by dividing income (loss) from discontinued operations, net of income taxes, by the weighted average number of common shares outstanding during the period. The numerator in diluted EPS from discontinued operations is the same as the basic EPS from discontinued operations numerator. The denominator used in diluted EPS from discontinued operations is based on the basic EPS computation plus the effect of potentially dilutive common shares related to the Convertible Preferred Stock (during periods when shares of Convertible Preferred Stock were outstanding) and equity-based compensation plans, subject to antidilution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2.2 million and 2.4 million, respectively, of outstanding equity-based compensation awards were not included in the computation of diluted EPS because the effect was antidilutive or the performance conditions were not met. For the three and six months ended June 30, 2025, 18.2 million and 8.3 million, respectively, of outstanding equity-based compensation awards were not included in the computation of diluted EPS because the effect was antidilutive or the performance conditions were not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there were no shares related to the Convertible Preferred Stock that were excluded from the diluted share count and considered antidilutive, since there were no shares of Convertible Preferred Stock outstanding during the period. For the six months ended June 30, 2026, 2.3 million of as-if converted shares related to the Convertible Preferred Stock were excluded from the diluted share count because they were antidilutive. In addition, for the three months ended June 30, 2025, 45.2 million of as-if converted shares related to the Convertible Preferred Stock were excluded from the diluted share count because they were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presents the basis for the EPS computations (in millions, except per share data): </w:t>
      </w:r>
    </w:p>
    <w:tbl>
      <w:tblPr>
        <w:tblW w:w="10205" w:type="dxa"/>
        <w:jc w:val="left"/>
        <w:tblInd w:w="0" w:type="dxa"/>
        <w:tblLayout w:type="fixed"/>
        <w:tblCellMar>
          <w:top w:w="28" w:type="dxa"/>
          <w:left w:w="28" w:type="dxa"/>
          <w:bottom w:w="28" w:type="dxa"/>
          <w:right w:w="28" w:type="dxa"/>
        </w:tblCellMar>
      </w:tblPr>
      <w:tblGrid>
        <w:gridCol w:w="5354"/>
        <w:gridCol w:w="146"/>
        <w:gridCol w:w="211"/>
        <w:gridCol w:w="571"/>
        <w:gridCol w:w="166"/>
        <w:gridCol w:w="146"/>
        <w:gridCol w:w="211"/>
        <w:gridCol w:w="571"/>
        <w:gridCol w:w="166"/>
        <w:gridCol w:w="146"/>
        <w:gridCol w:w="211"/>
        <w:gridCol w:w="721"/>
        <w:gridCol w:w="166"/>
        <w:gridCol w:w="146"/>
        <w:gridCol w:w="211"/>
        <w:gridCol w:w="571"/>
        <w:gridCol w:w="491"/>
      </w:tblGrid>
      <w:tr>
        <w:trPr/>
        <w:tc>
          <w:tcPr>
            <w:tcW w:w="5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from discontinued operations, net of tax</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Dividends on Series A convertible preferred stock</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Deemed dividend on redemption of 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w:t>
            </w:r>
          </w:p>
        </w:tc>
        <w:tc>
          <w:tcPr>
            <w:tcW w:w="491" w:type="dxa"/>
            <w:tcBorders>
              <w:bottom w:val="double" w:sz="6"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Dilutive effect of equity-based awards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Dilutive effect of as-if converted 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outstanding – diluted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4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4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2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Adopted During the Six Months Ended June 30, 2026</w:t>
      </w:r>
    </w:p>
    <w:p>
      <w:pPr>
        <w:pStyle w:val="TextBody"/>
        <w:bidi w:val="0"/>
        <w:jc w:val="left"/>
        <w:rPr>
          <w:rFonts w:ascii="Times New Roman" w:hAnsi="Times New Roman"/>
          <w:sz w:val="20"/>
        </w:rPr>
      </w:pPr>
      <w:r>
        <w:rPr>
          <w:rFonts w:ascii="Times New Roman" w:hAnsi="Times New Roman"/>
          <w:color w:val="000000"/>
          <w:sz w:val="20"/>
        </w:rPr>
        <w:t xml:space="preserve">In July 2025, the Financial Accounting Standards Board (FASB) issued Accounting Standards Update (ASU) No. 2025-05, </w:t>
      </w:r>
      <w:r>
        <w:rPr>
          <w:rFonts w:ascii="Times New Roman" w:hAnsi="Times New Roman"/>
          <w:i/>
          <w:color w:val="000000"/>
          <w:sz w:val="20"/>
        </w:rPr>
        <w:t xml:space="preserve">Financial Instruments—Credit Losses (Topic 326): Measurement of Credit Losses for Accounts Receivable and Contract Assets. </w:t>
      </w:r>
      <w:r>
        <w:rPr>
          <w:rFonts w:ascii="Times New Roman" w:hAnsi="Times New Roman"/>
          <w:color w:val="000000"/>
          <w:sz w:val="20"/>
        </w:rPr>
        <w:t>The new guidance is expected to provide decision-useful information to investors and other financial statement users while reducing the time and effort necessary to analyze and estimate credit losses for current accounts receivable and current contract assets. The amendments in this update introduce a practical expedient when applying the guidance related to the estimation of expected credit losses for current accounts receivable and current contract assets resulting from transactions arising from contracts with customers</w:t>
      </w:r>
      <w:r>
        <w:rPr>
          <w:rFonts w:ascii="Times New Roman" w:hAnsi="Times New Roman"/>
          <w:i/>
          <w:color w:val="000000"/>
          <w:sz w:val="20"/>
        </w:rPr>
        <w:t xml:space="preserve">. </w:t>
      </w:r>
      <w:r>
        <w:rPr>
          <w:rFonts w:ascii="Times New Roman" w:hAnsi="Times New Roman"/>
          <w:color w:val="000000"/>
          <w:sz w:val="20"/>
        </w:rPr>
        <w:t>The guidance is effective for the Company on a prospective basis, beginning January 1, 2026 for the interim and annual periods. The Company has elected to apply this practical expedient to determine expected credit losses for current accounts receivable and contract assets, assuming conditions as of the balance sheet date do not change for the remaining life of the asset. The adoption of ASU 2025-05 did not have a material impact on the Company’s condensed consolidated financial statements or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Issued but Not Adopted</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 xml:space="preserve">Intangibles—Goodwill and Other—Internal-Use Software (Subtopic 350-40): Targeted Improvements to the Accounting for Internal-Use Software. </w:t>
      </w:r>
      <w:r>
        <w:rPr>
          <w:rFonts w:ascii="Times New Roman" w:hAnsi="Times New Roman"/>
          <w:color w:val="000000"/>
          <w:sz w:val="20"/>
        </w:rPr>
        <w:t>The new guidance modernizes the accounting for software costs and provides the following criteria for capitalization of software costs: (1) management has authorized and committed to funding the software project; and (2) it is probable that the project will be completed and the software will be used to perform the function intended. The guidance is effective for the Company on a prospective, modified prospective or retrospective basis, beginning January 1, 2028 for the interim and annual periods. Early adoption is permitted. The Company is currently evaluating the impact of the new guidance on the condensed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Statement—Reporting Comprehensive Income—Expense Disaggregation Disclosures (Subtopic 220-40): Clarifying the Effective Date. </w:t>
      </w:r>
      <w:r>
        <w:rPr>
          <w:rFonts w:ascii="Times New Roman" w:hAnsi="Times New Roman"/>
          <w:color w:val="000000"/>
          <w:sz w:val="20"/>
        </w:rPr>
        <w:t>The new guidance improves disclosures for expenses of public entities and addresses requests from investors for more detailed information about the types of expenses in commonly presented expense captions. Coupled with recent standards that enhanced the disaggregation of revenue and income tax information, the disaggregated expense information required by these amendments will enable investors to better understand the major components of an entity’s income statement. The guidance is effective for the Company on a prospective or retrospective basis, as of January 1, 2027 for the annual period. Early adoption is permitted. As this ASU relates to disclosures only, there will be no impact to the Company’s results of operations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DISCONTINUED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Held for Sale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RUCKUS Segment: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April 29, 2026, the Company entered into a definitive agreement with Belden pursuant to which Belden agreed to acquire the Company’s RUCKUS segment in exchange for approximately $1.846 billion in cash, subject to certain adjustments. The RUCKUS segment provided wireless networks for enterprises and service providers. The divestiture of the RUCKUS segment met the “held for sale” criteria in the second quarter of 2026 per Accounting Standard Codification (ASC) 360-10, </w:t>
      </w:r>
      <w:r>
        <w:rPr>
          <w:rFonts w:ascii="Times New Roman" w:hAnsi="Times New Roman"/>
          <w:i/>
          <w:color w:val="000000"/>
          <w:sz w:val="20"/>
        </w:rPr>
        <w:t xml:space="preserve">Impairment and Disposal of Long Lived Assets </w:t>
      </w:r>
      <w:r>
        <w:rPr>
          <w:rFonts w:ascii="Times New Roman" w:hAnsi="Times New Roman"/>
          <w:color w:val="000000"/>
          <w:sz w:val="20"/>
        </w:rPr>
        <w:t xml:space="preserve">(ASC 360-10), and the Company determined, qualitatively and quantitatively, that this transaction represented a strategic shift that would have a major effect on its operations and financial results. As such, the results of operations directly attributable to the RUCKUS segment have been reclassified to discontinued operations per ASC 205-20, </w:t>
      </w:r>
      <w:r>
        <w:rPr>
          <w:rFonts w:ascii="Times New Roman" w:hAnsi="Times New Roman"/>
          <w:i/>
          <w:color w:val="000000"/>
          <w:sz w:val="20"/>
        </w:rPr>
        <w:t xml:space="preserve">Presentation of Financial Statements—Discontinued Operations </w:t>
      </w:r>
      <w:r>
        <w:rPr>
          <w:rFonts w:ascii="Times New Roman" w:hAnsi="Times New Roman"/>
          <w:color w:val="000000"/>
          <w:sz w:val="20"/>
        </w:rPr>
        <w:t>(ASC 205-20), on the Condensed Consolidated Statements of Operations, retrospectively for all periods presented beginning in the second quarter of 2026. In addition, the assets and liabilities of the RUCKUS segment have been presented separately as assets and liabilities held for sale on the Condensed Consolidated Balance Sheets for both current and prior periods beginning in the second quarter of 2026. See Note 9 for further discussion of the sale of the RUCKUS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Completed Divestitures</w:t>
      </w:r>
    </w:p>
    <w:p>
      <w:pPr>
        <w:pStyle w:val="TextBody"/>
        <w:bidi w:val="0"/>
        <w:spacing w:before="120" w:after="283"/>
        <w:jc w:val="left"/>
        <w:rPr>
          <w:rFonts w:ascii="Times New Roman" w:hAnsi="Times New Roman"/>
          <w:sz w:val="20"/>
        </w:rPr>
      </w:pPr>
      <w:r>
        <w:rPr>
          <w:rFonts w:ascii="Times New Roman" w:hAnsi="Times New Roman"/>
          <w:i/>
          <w:color w:val="000000"/>
          <w:sz w:val="20"/>
        </w:rPr>
        <w:t>Connectivity and Cable Solutions</w:t>
      </w:r>
      <w:r>
        <w:rPr>
          <w:rFonts w:ascii="Times New Roman" w:hAnsi="Times New Roman"/>
          <w:color w:val="000000"/>
          <w:sz w:val="20"/>
        </w:rPr>
        <w:t xml:space="preserve"> (</w:t>
      </w:r>
      <w:r>
        <w:rPr>
          <w:rFonts w:ascii="Times New Roman" w:hAnsi="Times New Roman"/>
          <w:i/>
          <w:color w:val="000000"/>
          <w:sz w:val="20"/>
        </w:rPr>
        <w:t>CCS)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9, 2026, the Company completed the previously announced sale of the CCS segment to Amphenol Corporation (Amphenol), a Delaware corporation, pursuant to the Purchase Agreement dated August 3, 2025, in exchange for net cash consideration of $10.5 billion. The proceeds are net of $81.3 million of transaction expenses and $204.4 million of cash included in the assets sold. The CCS segment provided wired infrastructure for data centers, enterprises and service providers on a global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CCS segment met the “held for sale” criteria per ASC 360-10 in the fourth quarter of 2025, and the Company determined, qualitatively and quantitatively, that this transaction represented a strategic shift that would have a major effect on its operations and financial results. As such, the results of operations directly attributable to the CCS segment have been reclassified to discontinued operations per ASC 205-20 on the Condensed Consolidated Statements of Operations, retrospectively for all periods presented beginning in the fourth quarter of 2025. In addition, all assets and liabilities of the CCS segment were classified as assets and liabilities held for sale on the Condensed Consolidated Balance Sheets as of December 31, 2025. Upon the closing of the transaction, the Company recognized a gain of $5.4 billion on the disposal of the CCS segment, which is included in income (loss) from discontinued operations, net of income taxes, on the Condensed Consolidated Statements of Operations for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the transaction, on the closing date, the Company repaid in full all outstanding indebtedness using a portion of the proceeds from the transaction and terminated all outstanding commitments under each of its then-existing (x) revolving credit agreement, dated as of April 4, 2019 (as amended, the Prior Revolving Credit Agreement), which provided for a senior secured asset-based revolving credit facility in an aggregate principal amount of up to $750.0 million (the Prior Revolving Credit Facility), and (y) term loan credit agreement, dated as of December 17, 2024 (as amended, the Prior Term Loan Credit Agreement), which provided for a senior secured term loan credit facility (the 2029 Term Loan) in an aggregate outstanding principal amount of $3,150 million. Also, the Company satisfied and discharged the indentures governing the (1) $1,000.0 million in outstanding aggregate principal amount of the 2031 Secured Notes, (2) $951.0 million in outstanding aggregate principal amount of the 2029 Secured Notes, (3) $641.6 million in outstanding aggregate principal amount of the 2028 Notes, (4) $866.9 million in outstanding aggregate principal amount of the 8.25% 2027 Notes and (5) $750.0 million in outstanding aggregate principal amount of the 5.00% 2027 Notes (collectively, the Notes). On the closing date of the transaction, notices of full redemption were issued to holders of all of the outstanding Notes, calling all outstanding Notes for redemption on January 26, 2026 using a portion of the proceeds from the transaction, and all outstanding Notes were redeemed on January 26, 2026. The Company subsequently wrote-off $101.3 million of </w:t>
      </w:r>
      <w:r>
        <w:rPr>
          <w:rFonts w:ascii="Times New Roman" w:hAnsi="Times New Roman"/>
          <w:color w:val="212529"/>
          <w:sz w:val="20"/>
        </w:rPr>
        <w:t>unamortized debt issuance costs and original issuance discount associated with the debt redemption</w:t>
      </w:r>
      <w:r>
        <w:rPr>
          <w:rFonts w:ascii="Times New Roman" w:hAnsi="Times New Roman"/>
          <w:color w:val="000000"/>
          <w:sz w:val="20"/>
        </w:rPr>
        <w:t xml:space="preserve"> which were recorded in interest expense within income (loss) from discontinued operations, net of income taxes, on the Condensed Consolidated Statements of Operations for the six months ended June 30, 2026. The Company also recorded a loss of $11.3 million on the extinguishment of debt which was recorded in other expense within income (loss) from discontinued operations, net of income taxes, on the Condensed Consolidated Statements of Operations for the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on the closing date of the transaction, the Company redeemed 100% of the Convertible Preferred Stock for $1.3 billion of cash in accordance with the terms of the Certificate of Designations. Simultaneously with the consummation of the redemption, the Investment Agreement, dated as of November 8, 2018, by and among the Company and Carlyle Partners VII S1 Holdings, L.P. (Carlyle) pursuant to which such Convertible Preferred Stock was initially purchased, and all rights and obligations of the parties under the Investment Agreement, were terminated.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transaction, the Company entered into a Transition Service Agreement (Amphenol TSA) (as described below under “Transition Service Agreements”).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Outdoor Wireless Networks (OWN) Segment and Distributed Antenna Systems (DAS) Business Unit: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completed the sale of the OWN segment and the DAS business unit to Amphenol, pursuant to the Purchase Agreement dated July 18, 2024, in exchange for net cash consideration of $2.0 billion. The proceeds are net of $9.1 million of transaction expenses and $83.2 million of cash included in the assets sold.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OWN segment and DAS business unit met the “held for sale” criteria per ASC 360-10 in the third quarter of 2024, and the Company determined, qualitatively and quantitatively, that this transaction represented a strategic shift that would have a major effect on the Company’s operations and financial results. As such, the results of operations directly attributable to the OWN segment and DAS business unit have been reclassified to discontinued operations per ASC 205-20 on the Condensed Consolidated Statements of Operations, retrospectively for all periods presented beginning in the third quarter of 2024. Upon the closing of the transaction on January 31, 2025, the Company recognized a gain on the disposal of the OWN segment and DAS business unit of $491.3 million, which is included in income (loss) from discontinued operations, net of income taxes, on the Condensed Consolidated Statements of Operations for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transaction, the Company entered into several contractual arrangements with Amphenol, including the Amphenol TSA (as described below under “Transition Service Agreements”), Manufacturing Supply Agreement (Amphenol MSA), Sales and Supply Agreement and a Master Professional Services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Amphenol MSA, the Company continues to manufacture and supply certain products to the divested business. Under the terms of the Amphenol MSA, the Company was obligated to provide manufacturing services for a period of up to twelve months following the closing date of the transaction, unless earlier terminated by the parties. The agreement was entered into to facilitate the operational transition and ensure continuity of supply for Amphenol’s customers. Pursuant to the Amphenol MSA, the Company acquired components directly from Amphenol and was also responsible for procuring certain components from suppliers for the manufacturing of finished goods at the direction of Amphenol. As the Company did not obtain control of these components before they were transferred to Amphenol, the Company accounts for revenue associated with such components on a net basis. Under the Amphenol MSA, the Company recognized net revenues of $(0.3) million and $(0.5) million for the three and six months ended June 30, 2026, respectively, and $2.4 million and $4.0 million for the three and six months ended June 30, 2025, respectively, presented within income (loss) from discontinued operations, net of income taxes, on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Sales and Supply Agreement and Master Professional Services Agreement enable the companies to act as both a buyer and seller of each other’s products and services in instances where those offerings might be integral to the Company’s remaining operations. The Sales and Supply Agreement is effective for a term of thirty-six months, and the Master Professional Services Agreement term is indefinite, unless either of the agreements are terminated early. The Company has evaluated these arrangements and concluded that while they represent ongoing business activity, they do not constitute a continuation of the disposed business. Accordingly, revenues and expenses generated from these agreements are presented within income (loss) from continuing operations on the Condensed Consolidated Statements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Home Networks (Home)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completed the sale of the Home business to Vantiva SA (Vantiva) in January 2024. The Home business qualified as “held for sale” per ASC 360-10 in the fourth quarter of 2023 and was classified as a discontinued operation per ASC 205-20, as the Company determined, qualitatively and quantitatively, that this transaction represented a strategic shift that would have a major effect on the Company’s operations and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closing of the transaction, the Company entered into a Transition Service Agreement (Vantiva TSA), whereby the Company provided and received certain post-closing support on a transitional basis (as described below under “Transition Service Agreements”), and a Supply Agreement with Vantiva (Vantiva Supply Agreement), whereby the Company sold certain retained inventory at cost, or market price if below cost, for a period of two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the summarized components of income (loss) from discontinued operations, net of income taxes,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1665"/>
        <w:gridCol w:w="196"/>
        <w:gridCol w:w="511"/>
        <w:gridCol w:w="166"/>
        <w:gridCol w:w="196"/>
        <w:gridCol w:w="511"/>
        <w:gridCol w:w="166"/>
        <w:gridCol w:w="196"/>
        <w:gridCol w:w="481"/>
        <w:gridCol w:w="166"/>
        <w:gridCol w:w="196"/>
        <w:gridCol w:w="571"/>
        <w:gridCol w:w="166"/>
        <w:gridCol w:w="196"/>
        <w:gridCol w:w="391"/>
        <w:gridCol w:w="166"/>
        <w:gridCol w:w="196"/>
        <w:gridCol w:w="391"/>
        <w:gridCol w:w="166"/>
        <w:gridCol w:w="196"/>
        <w:gridCol w:w="391"/>
        <w:gridCol w:w="166"/>
        <w:gridCol w:w="196"/>
        <w:gridCol w:w="391"/>
        <w:gridCol w:w="166"/>
        <w:gridCol w:w="196"/>
        <w:gridCol w:w="511"/>
        <w:gridCol w:w="166"/>
        <w:gridCol w:w="196"/>
        <w:gridCol w:w="646"/>
        <w:gridCol w:w="291"/>
      </w:tblGrid>
      <w:tr>
        <w:trPr/>
        <w:tc>
          <w:tcPr>
            <w:tcW w:w="16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RUCKUS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sales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1,072.1</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sales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 (loss)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444.1</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Selling, general and</w:t>
              <w:br/>
              <w:t>   administrative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Amortization of purchased </w:t>
              <w:br/>
              <w:t>   intangible assets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Restructuring costs (credits),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Total operating expenses</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219.8</w:t>
            </w:r>
          </w:p>
        </w:tc>
        <w:tc>
          <w:tcPr>
            <w:tcW w:w="29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income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expense </w:t>
            </w:r>
            <w:r>
              <w:rPr>
                <w:rFonts w:ascii="Times New Roman" w:hAnsi="Times New Roman"/>
                <w:color w:val="000000"/>
                <w:sz w:val="11"/>
              </w:rPr>
              <w:t>(1)</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Income (loss) from operations of </w:t>
              <w:br/>
              <w:t>   discontinued businesses</w:t>
              <w:br/>
              <w:t>   before income taxes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Gain (loss) on disposal of </w:t>
              <w:br/>
              <w:t xml:space="preserve">   discontinued operations </w:t>
              <w:br/>
              <w:t>   before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 benefit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Income (loss) from </w:t>
              <w:br/>
              <w:t xml:space="preserve">   discontinued operations, </w:t>
              <w:br/>
              <w:t>   net of income taxes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In connection with the sale of the CCS segment that was completed on January 9, 2026, the terms of the Purchase Agreement with Amphenol required that the CCS segment be transferred on a debt</w:t>
        <w:noBreakHyphen/>
        <w:t>free basis, and therefore, the Company repaid its third</w:t>
        <w:noBreakHyphen/>
        <w:t>party borrowings at closing using a portion of the proceeds from the sale of the CCS segment. Accordingly, all third-party debt obligations remained classified as long-term debt on the Condensed Consolidated Balance Sheets as of December 31, 2025. However, in accordance with accounting guidance, interest expense on debt that is required to be repaid as a direct result of a disposal transaction that qualifies as a discontinued operation is reported within discontinued operations. Because the closing of the divestiture required repayment of all outstanding third</w:t>
        <w:noBreakHyphen/>
        <w:t>party debt due to the contractual requirement to deliver the business debt</w:t>
        <w:noBreakHyphen/>
        <w:t>free, all interest expense has been presented within discontinued operations for all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the summarized components of income (loss) from discontinued operations, net of income taxes, for the six months ended June 30, 2026 and 2025:</w:t>
      </w:r>
    </w:p>
    <w:tbl>
      <w:tblPr>
        <w:tblW w:w="12047" w:type="dxa"/>
        <w:jc w:val="left"/>
        <w:tblInd w:w="0" w:type="dxa"/>
        <w:tblLayout w:type="fixed"/>
        <w:tblCellMar>
          <w:top w:w="28" w:type="dxa"/>
          <w:left w:w="28" w:type="dxa"/>
          <w:bottom w:w="28" w:type="dxa"/>
          <w:right w:w="28" w:type="dxa"/>
        </w:tblCellMar>
      </w:tblPr>
      <w:tblGrid>
        <w:gridCol w:w="1331"/>
        <w:gridCol w:w="196"/>
        <w:gridCol w:w="511"/>
        <w:gridCol w:w="166"/>
        <w:gridCol w:w="196"/>
        <w:gridCol w:w="511"/>
        <w:gridCol w:w="166"/>
        <w:gridCol w:w="196"/>
        <w:gridCol w:w="706"/>
        <w:gridCol w:w="166"/>
        <w:gridCol w:w="196"/>
        <w:gridCol w:w="646"/>
        <w:gridCol w:w="166"/>
        <w:gridCol w:w="196"/>
        <w:gridCol w:w="391"/>
        <w:gridCol w:w="166"/>
        <w:gridCol w:w="196"/>
        <w:gridCol w:w="571"/>
        <w:gridCol w:w="166"/>
        <w:gridCol w:w="196"/>
        <w:gridCol w:w="346"/>
        <w:gridCol w:w="146"/>
        <w:gridCol w:w="196"/>
        <w:gridCol w:w="421"/>
        <w:gridCol w:w="166"/>
        <w:gridCol w:w="196"/>
        <w:gridCol w:w="391"/>
        <w:gridCol w:w="166"/>
        <w:gridCol w:w="196"/>
        <w:gridCol w:w="421"/>
        <w:gridCol w:w="166"/>
        <w:gridCol w:w="196"/>
        <w:gridCol w:w="706"/>
        <w:gridCol w:w="166"/>
        <w:gridCol w:w="196"/>
        <w:gridCol w:w="646"/>
        <w:gridCol w:w="291"/>
      </w:tblGrid>
      <w:tr>
        <w:trPr/>
        <w:tc>
          <w:tcPr>
            <w:tcW w:w="1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RUCKUS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sales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1,599.5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2,051.5</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sales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 (loss)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849.7</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Selling, general and </w:t>
              <w:br/>
              <w:t>   administrative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283.8</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Amortization of purchased</w:t>
              <w:br/>
              <w:t>   intangible assets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Restructuring costs,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Total operating expenses</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244.8</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70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196.0</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445.8</w:t>
            </w:r>
          </w:p>
        </w:tc>
        <w:tc>
          <w:tcPr>
            <w:tcW w:w="29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income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expense </w:t>
            </w:r>
            <w:r>
              <w:rPr>
                <w:rFonts w:ascii="Times New Roman" w:hAnsi="Times New Roman"/>
                <w:color w:val="000000"/>
                <w:sz w:val="11"/>
              </w:rPr>
              <w:t>(1)</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(329.7</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Other income (expense), </w:t>
              <w:br/>
              <w:t xml:space="preserve">   net </w:t>
            </w:r>
            <w:r>
              <w:rPr>
                <w:rFonts w:ascii="Times New Roman" w:hAnsi="Times New Roman"/>
                <w:color w:val="000000"/>
                <w:sz w:val="11"/>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Income (loss) from </w:t>
              <w:br/>
              <w:t xml:space="preserve">   operations of discontinued </w:t>
              <w:br/>
              <w:t xml:space="preserve">   businesses before income </w:t>
              <w:br/>
              <w:t>   taxes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Gain on disposal of </w:t>
              <w:br/>
              <w:t xml:space="preserve">   discontinued operations </w:t>
              <w:br/>
              <w:t>   before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 benefit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(1,685.6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(450.2</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Income (loss) from </w:t>
              <w:br/>
              <w:t xml:space="preserve">   discontinued operations, </w:t>
              <w:br/>
              <w:t>   net of income taxes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left"/>
        <w:rPr/>
      </w:pPr>
      <w:r>
        <w:rPr>
          <w:rFonts w:ascii="Times New Roman" w:hAnsi="Times New Roman"/>
          <w:color w:val="000000"/>
          <w:sz w:val="19"/>
        </w:rPr>
        <w:t>In connection with the sale of the CCS segment that was completed on January 9, 2026, the terms of the Purchase Agreement with Amphenol required that the CCS segment be transferred on a debt</w:t>
        <w:noBreakHyphen/>
        <w:t>free basis, and therefore, the Company repaid its third</w:t>
        <w:noBreakHyphen/>
        <w:t>party borrowings at closing using a portion of the proceeds from the sale of the CCS segment. Accordingly, all third-party debt obligations remained classified as long-term debt on the Condensed Consolidated Balance Sheets as of December 31, 2025. However, in accordance with accounting guidance, interest expense on debt that is required to be repaid as a direct result of a disposal transaction that qualifies as a discontinued operation is reported within discontinued operations. Because the closing of the divestiture required repayment of all outstanding third</w:t>
        <w:noBreakHyphen/>
        <w:t>party debt due to the contractual requirement to deliver the business debt</w:t>
        <w:noBreakHyphen/>
        <w:t>free, all interest expense, including the write-off of $101.3</w:t>
      </w:r>
      <w:r>
        <w:rPr>
          <w:color w:val="000000"/>
        </w:rPr>
        <w:t xml:space="preserve"> </w:t>
      </w:r>
      <w:r>
        <w:rPr>
          <w:rFonts w:ascii="Times New Roman" w:hAnsi="Times New Roman"/>
          <w:color w:val="000000"/>
          <w:sz w:val="19"/>
        </w:rPr>
        <w:t xml:space="preserve">million of </w:t>
      </w:r>
      <w:r>
        <w:rPr>
          <w:rFonts w:ascii="Times New Roman" w:hAnsi="Times New Roman"/>
          <w:color w:val="212529"/>
          <w:sz w:val="19"/>
        </w:rPr>
        <w:t>unamortized debt issuance costs and original issuance discount associated with the debt redemption,</w:t>
      </w:r>
      <w:r>
        <w:rPr>
          <w:color w:val="000000"/>
        </w:rPr>
        <w:t xml:space="preserve"> </w:t>
      </w:r>
      <w:r>
        <w:rPr>
          <w:rFonts w:ascii="Times New Roman" w:hAnsi="Times New Roman"/>
          <w:color w:val="000000"/>
          <w:sz w:val="19"/>
        </w:rPr>
        <w:t>has been presented within discontinued operations for all periods presented.</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60" w:after="283"/>
        <w:jc w:val="left"/>
        <w:rPr/>
      </w:pPr>
      <w:r>
        <w:rPr>
          <w:rFonts w:ascii="Times New Roman" w:hAnsi="Times New Roman"/>
          <w:color w:val="000000"/>
          <w:sz w:val="19"/>
        </w:rPr>
        <w:t>Other income (expense), net includes a loss of $11.3</w:t>
      </w:r>
      <w:r>
        <w:rPr>
          <w:color w:val="000000"/>
        </w:rPr>
        <w:t xml:space="preserve"> </w:t>
      </w:r>
      <w:r>
        <w:rPr>
          <w:rFonts w:ascii="Times New Roman" w:hAnsi="Times New Roman"/>
          <w:color w:val="000000"/>
          <w:sz w:val="19"/>
        </w:rPr>
        <w:t>million on the extinguishment of debt, for the six months ended June 30, 2026, associated with the divestiture of the CCS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balance sheet information for assets and liabilities held for sale related to the discontinued operations:</w:t>
      </w:r>
    </w:p>
    <w:tbl>
      <w:tblPr>
        <w:tblW w:w="7151" w:type="dxa"/>
        <w:jc w:val="left"/>
        <w:tblInd w:w="0" w:type="dxa"/>
        <w:tblLayout w:type="fixed"/>
        <w:tblCellMar>
          <w:top w:w="28" w:type="dxa"/>
          <w:left w:w="28" w:type="dxa"/>
          <w:bottom w:w="28" w:type="dxa"/>
          <w:right w:w="28" w:type="dxa"/>
        </w:tblCellMar>
      </w:tblPr>
      <w:tblGrid>
        <w:gridCol w:w="3451"/>
        <w:gridCol w:w="146"/>
        <w:gridCol w:w="146"/>
        <w:gridCol w:w="303"/>
        <w:gridCol w:w="822"/>
        <w:gridCol w:w="146"/>
        <w:gridCol w:w="146"/>
        <w:gridCol w:w="339"/>
        <w:gridCol w:w="1161"/>
        <w:gridCol w:w="4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held for sale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5,320.6</w:t>
            </w:r>
          </w:p>
        </w:tc>
        <w:tc>
          <w:tcPr>
            <w:tcW w:w="491" w:type="dxa"/>
            <w:tcBorders>
              <w:bottom w:val="double" w:sz="6"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1,027.4</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the details of the gain on disposal of the CCS segment and the OWN segment and DAS business unit, collectively:</w:t>
      </w:r>
    </w:p>
    <w:tbl>
      <w:tblPr>
        <w:tblW w:w="9330" w:type="dxa"/>
        <w:jc w:val="left"/>
        <w:tblInd w:w="0" w:type="dxa"/>
        <w:tblLayout w:type="fixed"/>
        <w:tblCellMar>
          <w:top w:w="28" w:type="dxa"/>
          <w:left w:w="28" w:type="dxa"/>
          <w:bottom w:w="28" w:type="dxa"/>
          <w:right w:w="28" w:type="dxa"/>
        </w:tblCellMar>
      </w:tblPr>
      <w:tblGrid>
        <w:gridCol w:w="5181"/>
        <w:gridCol w:w="346"/>
        <w:gridCol w:w="265"/>
        <w:gridCol w:w="1040"/>
        <w:gridCol w:w="346"/>
        <w:gridCol w:w="346"/>
        <w:gridCol w:w="296"/>
        <w:gridCol w:w="1099"/>
        <w:gridCol w:w="411"/>
      </w:tblGrid>
      <w:tr>
        <w:trPr/>
        <w:tc>
          <w:tcPr>
            <w:tcW w:w="5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OWN/DAS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9,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 received (net of cash acquired)</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10,541.7</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2,034.5</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disposal consideration</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10,460.4</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Carrying value of net assets sold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disposal before income taxes and reclassification of</w:t>
              <w:br/>
              <w:t>   foreign currency translation and other</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7,134.7</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Reclassification of foreign currency translation and other </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disposal before income taxes</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7,008.3</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870.2</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Income tax expense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Gain on disposal, net of income taxes </w:t>
            </w:r>
            <w:r>
              <w:rPr>
                <w:rFonts w:ascii="Times New Roman" w:hAnsi="Times New Roman"/>
                <w:color w:val="000000"/>
                <w:sz w:val="13"/>
              </w:rPr>
              <w:t>(1)</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5,355.0</w:t>
            </w:r>
          </w:p>
        </w:tc>
        <w:tc>
          <w:tcPr>
            <w:tcW w:w="346" w:type="dxa"/>
            <w:tcBorders>
              <w:bottom w:val="double" w:sz="6"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Company recorded a $1.0 million adjustment to the carrying value of the OWN/DAS disposal group, along with the related tax effects, which impacted the gain on disposal recognized in 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the reclassifications of foreign currency translation, defined benefit plan activity and hedging instrument amounts from accumulated other comprehensive income (loss) on the Condensed Consolidated Balance Sheets related to the divestiture of the CCS segment during the first quarter of 2026. Includes the reclassification of foreign currency translation from accumulated other comprehensive income (loss) on the Condensed Consolidated Balance Sheets related to the divestiture of the OWN segment and DAS business unit during the first quarter of 2025.</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cash flows related to discontinued operations have not been segregated on the Condensed Consolidated Statements of Cash Flows, and accordingly, they include the results from continuing and discontinued operations. The following table summarizes the Company’s net cash inflows (outflows) related to the ongoing activities of the discontinued operations, including the Amphenol and Vantiva TSAs, as described below, and inventory sales resulting from the Amphenol MSA and Vantiva Supply Agreement, as described above:</w:t>
      </w:r>
    </w:p>
    <w:tbl>
      <w:tblPr>
        <w:tblW w:w="6369" w:type="dxa"/>
        <w:jc w:val="left"/>
        <w:tblInd w:w="0" w:type="dxa"/>
        <w:tblLayout w:type="fixed"/>
        <w:tblCellMar>
          <w:top w:w="28" w:type="dxa"/>
          <w:left w:w="28" w:type="dxa"/>
          <w:bottom w:w="28" w:type="dxa"/>
          <w:right w:w="28" w:type="dxa"/>
        </w:tblCellMar>
      </w:tblPr>
      <w:tblGrid>
        <w:gridCol w:w="4411"/>
        <w:gridCol w:w="146"/>
        <w:gridCol w:w="211"/>
        <w:gridCol w:w="421"/>
        <w:gridCol w:w="166"/>
        <w:gridCol w:w="146"/>
        <w:gridCol w:w="211"/>
        <w:gridCol w:w="466"/>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Amphenol TSA fees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Amphenol MSA inventory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Vantiva Supply Agreement and other inventory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Vantiva TSA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significant non-cash operating items of the discontinued operations included on the Condensed Consolidated Statements of Cash Flows:</w:t>
      </w:r>
    </w:p>
    <w:tbl>
      <w:tblPr>
        <w:tblW w:w="6249" w:type="dxa"/>
        <w:jc w:val="left"/>
        <w:tblInd w:w="0" w:type="dxa"/>
        <w:tblLayout w:type="fixed"/>
        <w:tblCellMar>
          <w:top w:w="28" w:type="dxa"/>
          <w:left w:w="28" w:type="dxa"/>
          <w:bottom w:w="28" w:type="dxa"/>
          <w:right w:w="28" w:type="dxa"/>
        </w:tblCellMar>
      </w:tblPr>
      <w:tblGrid>
        <w:gridCol w:w="3806"/>
        <w:gridCol w:w="146"/>
        <w:gridCol w:w="211"/>
        <w:gridCol w:w="721"/>
        <w:gridCol w:w="146"/>
        <w:gridCol w:w="146"/>
        <w:gridCol w:w="211"/>
        <w:gridCol w:w="571"/>
        <w:gridCol w:w="291"/>
      </w:tblGrid>
      <w:tr>
        <w:trPr/>
        <w:tc>
          <w:tcPr>
            <w:tcW w:w="3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0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discontinued operations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Transition Service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closing of the sale of the OWN segment and DAS business unit, the Company entered into the Amphenol TSA. The terms of the Amphenol TSA vary based on the services provided thereunder and provide options to extend services for up to two renewal terms of three months each. Subsequent to the closing of the sale of the CCS segment, the Company extended the Amphenol TSA, including a reverse TSA for which the Company receives specified transition services from Amphenol for a defined transition period, with the ability to continue certain services for limited additional periods in accordance with the applicable services schedules. The Company is responsible for fees and related third</w:t>
        <w:noBreakHyphen/>
        <w:t>party costs incurred in connection with the provision of such services, including applicable taxes, and may incur incremental costs if services are continued beyond the initial transition period. The Company recognized income under the Amphenol TSA of $0.5 million and $1.6 million for the three and six months ended June 30, 2026, respectively, and $9.8 million and $16.9 million for the three and six months ended June 30, 2025, respectively. For the three and six months ended June 30, 2025, the Company recognized income of $0.5 million and $2.1 million under the Vantiva TSA. TSA income is included in transition service agreement income within income (loss) from continuing operations on the Condensed Consolidated Statements of Operations. The Company incurred costs under the reverse TSA of $3.9 million and $7.9 million for the three and six months ended June 30, 2026, respectively, which is primarily included in selling, general and administrative expenses within income (loss) from continuing operations on the Condensed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REVENUE FROM CONTRACTS WITH CUSTOMERS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Disaggregated 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6 for the presentation of net sales by segment and geographic region.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Allowance for Doubtful Accounts</w:t>
      </w:r>
    </w:p>
    <w:p>
      <w:pPr>
        <w:pStyle w:val="TextBody"/>
        <w:bidi w:val="0"/>
        <w:jc w:val="left"/>
        <w:rPr/>
      </w:pPr>
      <w:r>
        <w:rPr/>
        <w:t> </w:t>
      </w:r>
    </w:p>
    <w:tbl>
      <w:tblPr>
        <w:tblW w:w="8333" w:type="dxa"/>
        <w:jc w:val="left"/>
        <w:tblInd w:w="0" w:type="dxa"/>
        <w:tblLayout w:type="fixed"/>
        <w:tblCellMar>
          <w:top w:w="28" w:type="dxa"/>
          <w:left w:w="28" w:type="dxa"/>
          <w:bottom w:w="28" w:type="dxa"/>
          <w:right w:w="28" w:type="dxa"/>
        </w:tblCellMar>
      </w:tblPr>
      <w:tblGrid>
        <w:gridCol w:w="4486"/>
        <w:gridCol w:w="146"/>
        <w:gridCol w:w="226"/>
        <w:gridCol w:w="387"/>
        <w:gridCol w:w="156"/>
        <w:gridCol w:w="156"/>
        <w:gridCol w:w="226"/>
        <w:gridCol w:w="451"/>
        <w:gridCol w:w="166"/>
        <w:gridCol w:w="146"/>
        <w:gridCol w:w="211"/>
        <w:gridCol w:w="421"/>
        <w:gridCol w:w="166"/>
        <w:gridCol w:w="146"/>
        <w:gridCol w:w="211"/>
        <w:gridCol w:w="42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and other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Customer Contract Balances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the balance sheet location and amounts of contract assets, or unbilled accounts receivable, and contract liabilities, or deferred revenue, from contracts with customers:</w:t>
      </w:r>
    </w:p>
    <w:tbl>
      <w:tblPr>
        <w:tblW w:w="8487" w:type="dxa"/>
        <w:jc w:val="left"/>
        <w:tblInd w:w="0" w:type="dxa"/>
        <w:tblLayout w:type="fixed"/>
        <w:tblCellMar>
          <w:top w:w="28" w:type="dxa"/>
          <w:left w:w="28" w:type="dxa"/>
          <w:bottom w:w="28" w:type="dxa"/>
          <w:right w:w="28" w:type="dxa"/>
        </w:tblCellMar>
      </w:tblPr>
      <w:tblGrid>
        <w:gridCol w:w="2581"/>
        <w:gridCol w:w="146"/>
        <w:gridCol w:w="3226"/>
        <w:gridCol w:w="146"/>
        <w:gridCol w:w="238"/>
        <w:gridCol w:w="527"/>
        <w:gridCol w:w="146"/>
        <w:gridCol w:w="146"/>
        <w:gridCol w:w="355"/>
        <w:gridCol w:w="785"/>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Balance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accounts receivable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Accounts receivable, net of allowance </w:t>
              <w:br/>
              <w:t>   for doubtful accounts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current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contract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material changes to contract asset balances for the six months ended June 30, 2026 as a result of changes in estimates or impairments. The change in the contract liability balance from December 31, 2025 to June 30, 2026 was primarily due to upfront support billings to be recognized over the support term. During the three and six months ended June 30, 2026, the Company recognized $3.7 million and $14.0 million, respectively, of revenue related to contract liabilities recorded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SUPPLEMENTAL FINANCIAL STATEMENT INFORMATION</w:t>
      </w:r>
    </w:p>
    <w:p>
      <w:pPr>
        <w:pStyle w:val="TextBody"/>
        <w:bidi w:val="0"/>
        <w:spacing w:before="120" w:after="200"/>
        <w:jc w:val="left"/>
        <w:rPr>
          <w:rFonts w:ascii="Times New Roman" w:hAnsi="Times New Roman"/>
          <w:b/>
          <w:color w:val="000000"/>
          <w:sz w:val="20"/>
        </w:rPr>
      </w:pPr>
      <w:r>
        <w:rPr>
          <w:rFonts w:ascii="Times New Roman" w:hAnsi="Times New Roman"/>
          <w:b/>
          <w:color w:val="000000"/>
          <w:sz w:val="20"/>
        </w:rPr>
        <w:t>Inventories</w:t>
      </w:r>
    </w:p>
    <w:tbl>
      <w:tblPr>
        <w:tblW w:w="4412" w:type="dxa"/>
        <w:jc w:val="left"/>
        <w:tblInd w:w="0" w:type="dxa"/>
        <w:tblLayout w:type="fixed"/>
        <w:tblCellMar>
          <w:top w:w="28" w:type="dxa"/>
          <w:left w:w="28" w:type="dxa"/>
          <w:bottom w:w="28" w:type="dxa"/>
          <w:right w:w="28" w:type="dxa"/>
        </w:tblCellMar>
      </w:tblPr>
      <w:tblGrid>
        <w:gridCol w:w="1861"/>
        <w:gridCol w:w="146"/>
        <w:gridCol w:w="211"/>
        <w:gridCol w:w="571"/>
        <w:gridCol w:w="146"/>
        <w:gridCol w:w="146"/>
        <w:gridCol w:w="306"/>
        <w:gridCol w:w="834"/>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Accrued and Other Liabilities</w:t>
      </w:r>
    </w:p>
    <w:tbl>
      <w:tblPr>
        <w:tblW w:w="6482" w:type="dxa"/>
        <w:jc w:val="left"/>
        <w:tblInd w:w="0" w:type="dxa"/>
        <w:tblLayout w:type="fixed"/>
        <w:tblCellMar>
          <w:top w:w="28" w:type="dxa"/>
          <w:left w:w="28" w:type="dxa"/>
          <w:bottom w:w="28" w:type="dxa"/>
          <w:right w:w="28" w:type="dxa"/>
        </w:tblCellMar>
      </w:tblPr>
      <w:tblGrid>
        <w:gridCol w:w="3931"/>
        <w:gridCol w:w="146"/>
        <w:gridCol w:w="211"/>
        <w:gridCol w:w="571"/>
        <w:gridCol w:w="146"/>
        <w:gridCol w:w="146"/>
        <w:gridCol w:w="306"/>
        <w:gridCol w:w="834"/>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employee benefit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distribution payable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Operating Lease Information</w:t>
      </w:r>
    </w:p>
    <w:tbl>
      <w:tblPr>
        <w:tblW w:w="7501" w:type="dxa"/>
        <w:jc w:val="left"/>
        <w:tblInd w:w="0" w:type="dxa"/>
        <w:tblLayout w:type="fixed"/>
        <w:tblCellMar>
          <w:top w:w="28" w:type="dxa"/>
          <w:left w:w="28" w:type="dxa"/>
          <w:bottom w:w="28" w:type="dxa"/>
          <w:right w:w="28" w:type="dxa"/>
        </w:tblCellMar>
      </w:tblPr>
      <w:tblGrid>
        <w:gridCol w:w="2491"/>
        <w:gridCol w:w="2476"/>
        <w:gridCol w:w="146"/>
        <w:gridCol w:w="238"/>
        <w:gridCol w:w="527"/>
        <w:gridCol w:w="146"/>
        <w:gridCol w:w="146"/>
        <w:gridCol w:w="355"/>
        <w:gridCol w:w="785"/>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247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noncurrent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current</w:t>
            </w:r>
          </w:p>
        </w:tc>
        <w:tc>
          <w:tcPr>
            <w:tcW w:w="247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and 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noncurrent</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24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Accumulated Other Comprehensive Income (Loss) (AOCI (AOCL))</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presents changes in AOCI (AOCL), net of tax:</w:t>
      </w:r>
    </w:p>
    <w:tbl>
      <w:tblPr>
        <w:tblW w:w="7782" w:type="dxa"/>
        <w:jc w:val="left"/>
        <w:tblInd w:w="0" w:type="dxa"/>
        <w:tblLayout w:type="fixed"/>
        <w:tblCellMar>
          <w:top w:w="28" w:type="dxa"/>
          <w:left w:w="28" w:type="dxa"/>
          <w:bottom w:w="28" w:type="dxa"/>
          <w:right w:w="28" w:type="dxa"/>
        </w:tblCellMar>
      </w:tblPr>
      <w:tblGrid>
        <w:gridCol w:w="3436"/>
        <w:gridCol w:w="146"/>
        <w:gridCol w:w="211"/>
        <w:gridCol w:w="421"/>
        <w:gridCol w:w="166"/>
        <w:gridCol w:w="146"/>
        <w:gridCol w:w="211"/>
        <w:gridCol w:w="631"/>
        <w:gridCol w:w="166"/>
        <w:gridCol w:w="146"/>
        <w:gridCol w:w="211"/>
        <w:gridCol w:w="526"/>
        <w:gridCol w:w="166"/>
        <w:gridCol w:w="146"/>
        <w:gridCol w:w="211"/>
        <w:gridCol w:w="63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Foreign currency translation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 (AOCL)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Defined benefit plan activity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 (AOCL)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Hedging instruments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AOCI (AOCL)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the reclassification of foreign currency translation, defined benefit plan activity and hedging instrument amounts from net AOCI (AOCL) related to the divestiture of the CCS segment during the first quarter of 2026. For the six months ended June 30, 2025, the reclassification of foreign currency translation amount from net AOCI (AOCL) related to the divestiture of the OWN segment and DAS business during the first quarter of 2025. The reclassified amounts resulting from the divestitures were recorded in the gain (loss) on disposal included in income (loss) from discontinued operations, net of income taxes, on the Condensed Consolidated Statements of Operations. See Note 2 for further discussion of the Company’s divestitures.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Flow Information</w:t>
      </w:r>
    </w:p>
    <w:tbl>
      <w:tblPr>
        <w:tblW w:w="5121" w:type="dxa"/>
        <w:jc w:val="left"/>
        <w:tblInd w:w="0" w:type="dxa"/>
        <w:tblLayout w:type="fixed"/>
        <w:tblCellMar>
          <w:top w:w="28" w:type="dxa"/>
          <w:left w:w="28" w:type="dxa"/>
          <w:bottom w:w="28" w:type="dxa"/>
          <w:right w:w="28" w:type="dxa"/>
        </w:tblCellMar>
      </w:tblPr>
      <w:tblGrid>
        <w:gridCol w:w="2716"/>
        <w:gridCol w:w="146"/>
        <w:gridCol w:w="235"/>
        <w:gridCol w:w="637"/>
        <w:gridCol w:w="162"/>
        <w:gridCol w:w="162"/>
        <w:gridCol w:w="235"/>
        <w:gridCol w:w="637"/>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5. FINANCING</w:t>
      </w:r>
    </w:p>
    <w:tbl>
      <w:tblPr>
        <w:tblW w:w="6650" w:type="dxa"/>
        <w:jc w:val="left"/>
        <w:tblInd w:w="0" w:type="dxa"/>
        <w:tblLayout w:type="fixed"/>
        <w:tblCellMar>
          <w:top w:w="28" w:type="dxa"/>
          <w:left w:w="28" w:type="dxa"/>
          <w:bottom w:w="28" w:type="dxa"/>
          <w:right w:w="28" w:type="dxa"/>
        </w:tblCellMar>
      </w:tblPr>
      <w:tblGrid>
        <w:gridCol w:w="4096"/>
        <w:gridCol w:w="146"/>
        <w:gridCol w:w="290"/>
        <w:gridCol w:w="475"/>
        <w:gridCol w:w="146"/>
        <w:gridCol w:w="146"/>
        <w:gridCol w:w="258"/>
        <w:gridCol w:w="882"/>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7.125% senior notes due July 2028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 senior notes due March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8.25% senior notes due March 2027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9.50% senior secured notes due December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4.75% senior secured notes due September 2029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6.00% senior secured notes due 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due December 2029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amount of debt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7,359.5</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Original issue discount,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issuance costs, net of amortization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7,260.2</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sale of the CCS segment that was completed on January 9, 2026, the Company repaid in full all of the then-outstanding indebtedness. See Note 2 for further discussion of the debt repayment and the divestiture of the CCS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7, 2026, the Company entered into a senior secured asset-based revolving credit facility (Revolving Credit Facility) providing for aggregate revolving commitments of up to $300.0 million. Availability under the Revolving Credit Facility is subject to a borrowing base calculated primarily based on eligible accounts receivable and inventory. Borrowings under the Revolving Credit Facility bear interest at variable rates based on the Term Secured Overnight Financing Rate (Term SOFR), subject to a 0.00% floor, or an alternate base rate, plus an applicable margin. The Revolving Credit Facility matures on April 7, 2031 and is secured by first-priority liens on substantially all assets, subject to customary exclusions.</w:t>
      </w:r>
    </w:p>
    <w:p>
      <w:pPr>
        <w:pStyle w:val="TextBody"/>
        <w:bidi w:val="0"/>
        <w:jc w:val="left"/>
        <w:rPr>
          <w:rFonts w:ascii="Times New Roman" w:hAnsi="Times New Roman"/>
          <w:color w:val="000000"/>
          <w:sz w:val="20"/>
        </w:rPr>
      </w:pPr>
      <w:r>
        <w:rPr>
          <w:rFonts w:ascii="Times New Roman" w:hAnsi="Times New Roman"/>
          <w:color w:val="000000"/>
          <w:sz w:val="20"/>
        </w:rPr>
        <w:t>Effective July 1, 2026, in connection with the sale of the RUCKUS segment, the aggregate commitments under the Revolving Credit Facility were reduced from $300.0 million to $246.9 million, subject to applicable borrowing base limitations. The Revolving Credit Facility continues to provide the Company with access to revolving borrowings, subject to borrowing base availability and other customary terms and conditions of the credit agreement.</w:t>
      </w:r>
    </w:p>
    <w:p>
      <w:pPr>
        <w:pStyle w:val="TextBody"/>
        <w:bidi w:val="0"/>
        <w:jc w:val="left"/>
        <w:rPr>
          <w:rFonts w:ascii="Times New Roman" w:hAnsi="Times New Roman"/>
          <w:color w:val="000000"/>
          <w:sz w:val="20"/>
        </w:rPr>
      </w:pPr>
      <w:r>
        <w:rPr>
          <w:rFonts w:ascii="Times New Roman" w:hAnsi="Times New Roman"/>
          <w:color w:val="000000"/>
          <w:sz w:val="20"/>
        </w:rPr>
        <w:t>As of June 30, 2026, the Company had no outstanding borrowings under the Revolving Credit Facility, other than outstanding letters of credit of $39.9 million. Based on the applicable borrowing base limitations, the availability after outstanding letters of credit under the facility was $137.0 million.</w:t>
      </w:r>
    </w:p>
    <w:p>
      <w:pPr>
        <w:pStyle w:val="TextBody"/>
        <w:bidi w:val="0"/>
        <w:jc w:val="left"/>
        <w:rPr>
          <w:rFonts w:ascii="Times New Roman" w:hAnsi="Times New Roman"/>
          <w:sz w:val="20"/>
        </w:rPr>
      </w:pPr>
      <w:r>
        <w:rPr>
          <w:rFonts w:ascii="Times New Roman" w:hAnsi="Times New Roman"/>
          <w:color w:val="000000"/>
          <w:sz w:val="20"/>
        </w:rPr>
        <w:t>For each of the three and six months ended June 30, 2026, the Company incurred approximately $2.6 million of upfront fees and expenses paid upon the closing of the Revolving Credit Facility, which were capitalized as deferred financing costs and are being amortized to interest expense over the term of the facility</w:t>
      </w:r>
      <w:r>
        <w:rPr>
          <w:rFonts w:ascii="Times New Roman" w:hAnsi="Times New Roman"/>
          <w:color w:val="212529"/>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SEGMENTS AND 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Notes 2 and 9, following the classification of the RUCKUS segment as held for sale, and the subsequent sale completed after quarter end, the Company has one remaining reportable segment. The following is a brief description of the activities of the Company’s reportable segment:</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Aurora - </w:t>
      </w:r>
      <w:r>
        <w:rPr>
          <w:rFonts w:ascii="Times New Roman" w:hAnsi="Times New Roman"/>
          <w:color w:val="000000"/>
          <w:sz w:val="20"/>
        </w:rPr>
        <w:t>The segment’s product solutions include cable modem termination systems, video infrastructure, public key infrastructure solutions, distribution and transmission equipment and cloud solutions that enable facility-based service providers to construct a state-of-the-art residential and metro distribution network.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provides summary financial information by reportable segment:</w:t>
      </w:r>
    </w:p>
    <w:tbl>
      <w:tblPr>
        <w:tblW w:w="6007" w:type="dxa"/>
        <w:jc w:val="left"/>
        <w:tblInd w:w="0" w:type="dxa"/>
        <w:tblLayout w:type="fixed"/>
        <w:tblCellMar>
          <w:top w:w="28" w:type="dxa"/>
          <w:left w:w="28" w:type="dxa"/>
          <w:bottom w:w="28" w:type="dxa"/>
          <w:right w:w="28" w:type="dxa"/>
        </w:tblCellMar>
      </w:tblPr>
      <w:tblGrid>
        <w:gridCol w:w="3206"/>
        <w:gridCol w:w="146"/>
        <w:gridCol w:w="211"/>
        <w:gridCol w:w="721"/>
        <w:gridCol w:w="146"/>
        <w:gridCol w:w="146"/>
        <w:gridCol w:w="258"/>
        <w:gridCol w:w="882"/>
        <w:gridCol w:w="29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Identifiable segment-related assets: </w:t>
            </w:r>
            <w:r>
              <w:rPr>
                <w:rFonts w:ascii="Times New Roman" w:hAnsi="Times New Roman"/>
                <w:color w:val="000000"/>
                <w:sz w:val="13"/>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Aurora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to total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1,722.3</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Divested and other business assets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5,320.6</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200" w:after="283"/>
        <w:jc w:val="left"/>
        <w:rPr>
          <w:rFonts w:ascii="Times New Roman" w:hAnsi="Times New Roman"/>
          <w:color w:val="000000"/>
          <w:sz w:val="19"/>
        </w:rPr>
      </w:pPr>
      <w:r>
        <w:rPr>
          <w:rFonts w:ascii="Times New Roman" w:hAnsi="Times New Roman"/>
          <w:color w:val="000000"/>
          <w:sz w:val="19"/>
        </w:rPr>
        <w:t>Assets related to the Company’s reportable segment largely include accounts receivable, inventories, property, plant and equipment, goodwill, intangible assets and certain limited other assets. All other items, except cash and cash equivalents and deferred income tax assets, are reflected in divested and other business assets.</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60" w:after="283"/>
        <w:jc w:val="left"/>
        <w:rPr>
          <w:rFonts w:ascii="Times New Roman" w:hAnsi="Times New Roman"/>
          <w:sz w:val="20"/>
        </w:rPr>
      </w:pPr>
      <w:r>
        <w:rPr>
          <w:rFonts w:ascii="Times New Roman" w:hAnsi="Times New Roman"/>
          <w:color w:val="000000"/>
          <w:sz w:val="19"/>
        </w:rPr>
        <w:t>The divested and other business assets line item above reflects certain inventory retained by the Company related to continuing involvement in divested businesses pursuant to the Amphenol MSA, as discussed in Note 2, as well as other corporate assets. As of June 30, 2026, inventory of $6.4</w:t>
      </w:r>
      <w:r>
        <w:rPr>
          <w:rFonts w:ascii="Times New Roman" w:hAnsi="Times New Roman"/>
          <w:color w:val="000000"/>
          <w:sz w:val="20"/>
        </w:rPr>
        <w:t xml:space="preserve"> </w:t>
      </w:r>
      <w:r>
        <w:rPr>
          <w:rFonts w:ascii="Times New Roman" w:hAnsi="Times New Roman"/>
          <w:color w:val="000000"/>
          <w:sz w:val="19"/>
        </w:rPr>
        <w:t>million related to the OWN segment and DAS business unit, $4.1</w:t>
      </w:r>
      <w:r>
        <w:rPr>
          <w:rFonts w:ascii="Times New Roman" w:hAnsi="Times New Roman"/>
          <w:color w:val="000000"/>
          <w:sz w:val="20"/>
        </w:rPr>
        <w:t xml:space="preserve"> </w:t>
      </w:r>
      <w:r>
        <w:rPr>
          <w:rFonts w:ascii="Times New Roman" w:hAnsi="Times New Roman"/>
          <w:color w:val="000000"/>
          <w:sz w:val="19"/>
        </w:rPr>
        <w:t>million related to the Passive Optical Network (PON) business line within the CCS segment that was not divested with the sale of the CCS segment and $104.8 million related to corporate and other assets. As of December 31, 2025, inventory of $16.6</w:t>
      </w:r>
      <w:r>
        <w:rPr>
          <w:rFonts w:ascii="Times New Roman" w:hAnsi="Times New Roman"/>
          <w:color w:val="000000"/>
          <w:sz w:val="20"/>
        </w:rPr>
        <w:t xml:space="preserve"> </w:t>
      </w:r>
      <w:r>
        <w:rPr>
          <w:rFonts w:ascii="Times New Roman" w:hAnsi="Times New Roman"/>
          <w:color w:val="000000"/>
          <w:sz w:val="19"/>
        </w:rPr>
        <w:t>million related to the OWN segment and DAS business unit, $4.4</w:t>
      </w:r>
      <w:r>
        <w:rPr>
          <w:rFonts w:ascii="Times New Roman" w:hAnsi="Times New Roman"/>
          <w:color w:val="000000"/>
          <w:sz w:val="20"/>
        </w:rPr>
        <w:t xml:space="preserve"> </w:t>
      </w:r>
      <w:r>
        <w:rPr>
          <w:rFonts w:ascii="Times New Roman" w:hAnsi="Times New Roman"/>
          <w:color w:val="000000"/>
          <w:sz w:val="19"/>
        </w:rPr>
        <w:t>million related to the PON business line and $64.3</w:t>
      </w:r>
      <w:r>
        <w:rPr>
          <w:rFonts w:ascii="Times New Roman" w:hAnsi="Times New Roman"/>
          <w:color w:val="000000"/>
          <w:sz w:val="20"/>
        </w:rPr>
        <w:t xml:space="preserve"> </w:t>
      </w:r>
      <w:r>
        <w:rPr>
          <w:rFonts w:ascii="Times New Roman" w:hAnsi="Times New Roman"/>
          <w:color w:val="000000"/>
          <w:sz w:val="19"/>
        </w:rPr>
        <w:t>million related to corporate and other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reportable segment is based on the nature of products and services offered. Segment information is presented on the same basis that the Company’s Chief Executive Officer, who is the chief operating decision-maker, uses to manage its reportable segment, evaluate financial results and make key operating decisions. 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recurring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financial metrics are used to view operating trends, perform analytical comparisons and benchmark performance between periods and among geographic regions and monitor budget-to-actual variances on a monthly basis. To manage operations and make decisions regarding resource allocations, the Company’s chief operating decision-maker is regularly provided and reviews expense information at a consolidated level for each segment. Each segment has a manager responsible for executing the Company’s strategic initiatives.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provides net sales, cost of sales, total operating expenses, adjusted EBITDA, depreciation expense and additions to property, plant and equipment by reportable segment for the three months ended June 30, 2026:</w:t>
      </w:r>
    </w:p>
    <w:tbl>
      <w:tblPr>
        <w:tblW w:w="8111" w:type="dxa"/>
        <w:jc w:val="left"/>
        <w:tblInd w:w="0" w:type="dxa"/>
        <w:tblLayout w:type="fixed"/>
        <w:tblCellMar>
          <w:top w:w="28" w:type="dxa"/>
          <w:left w:w="28" w:type="dxa"/>
          <w:bottom w:w="28" w:type="dxa"/>
          <w:right w:w="28" w:type="dxa"/>
        </w:tblCellMar>
      </w:tblPr>
      <w:tblGrid>
        <w:gridCol w:w="4426"/>
        <w:gridCol w:w="146"/>
        <w:gridCol w:w="211"/>
        <w:gridCol w:w="571"/>
        <w:gridCol w:w="166"/>
        <w:gridCol w:w="146"/>
        <w:gridCol w:w="355"/>
        <w:gridCol w:w="785"/>
        <w:gridCol w:w="166"/>
        <w:gridCol w:w="146"/>
        <w:gridCol w:w="211"/>
        <w:gridCol w:w="571"/>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Aurora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br/>
              <w:t xml:space="preserve">and other </w:t>
            </w:r>
            <w:r>
              <w:rPr>
                <w:rFonts w:ascii="Times New Roman" w:hAnsi="Times New Roman"/>
                <w:b/>
                <w:color w:val="000000"/>
                <w:sz w:val="11"/>
              </w:rPr>
              <w:t>(1)</w:t>
            </w:r>
            <w:r>
              <w:rPr>
                <w:rFonts w:ascii="Times New Roman" w:hAnsi="Times New Roman"/>
                <w:color w:val="000000"/>
                <w:sz w:val="16"/>
              </w:rPr>
              <w:t xml:space="preserve">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Addback: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corporate and other category above primarily reflects general corporate costs that were previously allocated to the RUCKUS segment. These indirect expenses have been classified as continuing operations, since the costs were not directly attributable to the discontinued operation. Beginning in the third quarter of 2026, the corporate and other costs related to the RUCKUS segment will be reallocated to the Company’s remaining segment and partially offset by income from the Transition Service Agreement with Belden (Belden TSA).</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The corporate and other category above includes certain revenues reflected within continuing operations related to products associated with businesses impacted by prior divestiture transactions. Such amounts continue to be reported within continuing operations based on the terms of the underlying transactions.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provides net sales, cost of sales, total operating expenses, adjusted EBITDA, depreciation expense and additions to property, plant and equipment by reportable segment for the three months ended June 30, 2025:</w:t>
      </w:r>
    </w:p>
    <w:p>
      <w:pPr>
        <w:pStyle w:val="TextBody"/>
        <w:bidi w:val="0"/>
        <w:jc w:val="left"/>
        <w:rPr/>
      </w:pPr>
      <w:r>
        <w:rPr/>
        <w:t> </w:t>
      </w:r>
    </w:p>
    <w:tbl>
      <w:tblPr>
        <w:tblW w:w="8336" w:type="dxa"/>
        <w:jc w:val="left"/>
        <w:tblInd w:w="0" w:type="dxa"/>
        <w:tblLayout w:type="fixed"/>
        <w:tblCellMar>
          <w:top w:w="28" w:type="dxa"/>
          <w:left w:w="28" w:type="dxa"/>
          <w:bottom w:w="28" w:type="dxa"/>
          <w:right w:w="28" w:type="dxa"/>
        </w:tblCellMar>
      </w:tblPr>
      <w:tblGrid>
        <w:gridCol w:w="4651"/>
        <w:gridCol w:w="146"/>
        <w:gridCol w:w="211"/>
        <w:gridCol w:w="571"/>
        <w:gridCol w:w="166"/>
        <w:gridCol w:w="146"/>
        <w:gridCol w:w="326"/>
        <w:gridCol w:w="814"/>
        <w:gridCol w:w="166"/>
        <w:gridCol w:w="146"/>
        <w:gridCol w:w="211"/>
        <w:gridCol w:w="571"/>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Aurora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br/>
              <w:t xml:space="preserve">and other </w:t>
            </w:r>
            <w:r>
              <w:rPr>
                <w:rFonts w:ascii="Times New Roman" w:hAnsi="Times New Roman"/>
                <w:b/>
                <w:color w:val="000000"/>
                <w:sz w:val="11"/>
              </w:rPr>
              <w:t>(1)</w:t>
            </w:r>
            <w:r>
              <w:rPr>
                <w:rFonts w:ascii="Times New Roman" w:hAnsi="Times New Roman"/>
                <w:color w:val="000000"/>
                <w:sz w:val="16"/>
              </w:rPr>
              <w:t xml:space="preserve">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Addback: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corporate and other category above primarily reflects general corporate costs that were previously allocated to the RUCKUS segment and CCS segment. These indirect expenses have been classified as continuing operations, since the costs were not directly attributable to these discontinued operations. Beginning in the first quarter of 2026, the corporate and other costs related to the CCS segment have been reallocated to the Company’s remaining segments and partially offset by income from the Amphenol TSA. The corporate and other costs related to the RUCKUS segment will be reallocated to the Company’s remaining segment beginning in the third quarter of 2026 and partially offset by income from the Belden TSA.</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The corporate and other category above includes certain revenues reflected within continuing operations related to products associated with businesses impacted by prior divestiture transactions. Such amounts continue to be reported within continuing operations based on the terms of the underlying transactions.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provides net sales, cost of sales, total operating expenses, adjusted EBITDA, depreciation expense and additions to property, plant and equipment by reportable segment for the six months ended June 30, 2026:</w:t>
      </w:r>
    </w:p>
    <w:tbl>
      <w:tblPr>
        <w:tblW w:w="7871" w:type="dxa"/>
        <w:jc w:val="left"/>
        <w:tblInd w:w="0" w:type="dxa"/>
        <w:tblLayout w:type="fixed"/>
        <w:tblCellMar>
          <w:top w:w="28" w:type="dxa"/>
          <w:left w:w="28" w:type="dxa"/>
          <w:bottom w:w="28" w:type="dxa"/>
          <w:right w:w="28" w:type="dxa"/>
        </w:tblCellMar>
      </w:tblPr>
      <w:tblGrid>
        <w:gridCol w:w="4186"/>
        <w:gridCol w:w="146"/>
        <w:gridCol w:w="211"/>
        <w:gridCol w:w="571"/>
        <w:gridCol w:w="166"/>
        <w:gridCol w:w="146"/>
        <w:gridCol w:w="326"/>
        <w:gridCol w:w="814"/>
        <w:gridCol w:w="166"/>
        <w:gridCol w:w="146"/>
        <w:gridCol w:w="211"/>
        <w:gridCol w:w="571"/>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Aurora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br/>
              <w:t xml:space="preserve">and other </w:t>
            </w:r>
            <w:r>
              <w:rPr>
                <w:rFonts w:ascii="Times New Roman" w:hAnsi="Times New Roman"/>
                <w:b/>
                <w:color w:val="000000"/>
                <w:sz w:val="11"/>
              </w:rPr>
              <w:t>(1)</w:t>
            </w:r>
            <w:r>
              <w:rPr>
                <w:rFonts w:ascii="Times New Roman" w:hAnsi="Times New Roman"/>
                <w:color w:val="000000"/>
                <w:sz w:val="16"/>
              </w:rPr>
              <w:t xml:space="preserve">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Addback: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before income</w:t>
              <w:br/>
              <w:t>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corporate and other category above primarily reflects general corporate costs that were previously allocated to the RUCKUS segment. These indirect expenses have been classified as continuing operations, since the costs were not directly attributable to the discontinued operation. Beginning in the third quarter of 2026, the corporate and other costs related to the RUCKUS segment will be reallocated to the Company’s remaining segment and partially offset by income from the Belden TSA.</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The corporate and other category above includes certain revenues reflected within continuing operations related to products associated with businesses impacted by prior divestiture transactions. Such amounts continue to be reported within continuing operations based on the terms of the underlying transactions.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provides net sales, cost of sales, total operating expenses, adjusted EBITDA, depreciation expense and additions to property, plant and equipment by reportable segment for the six months ended June 30, 2025:</w:t>
      </w:r>
    </w:p>
    <w:tbl>
      <w:tblPr>
        <w:tblW w:w="8111" w:type="dxa"/>
        <w:jc w:val="left"/>
        <w:tblInd w:w="0" w:type="dxa"/>
        <w:tblLayout w:type="fixed"/>
        <w:tblCellMar>
          <w:top w:w="28" w:type="dxa"/>
          <w:left w:w="28" w:type="dxa"/>
          <w:bottom w:w="28" w:type="dxa"/>
          <w:right w:w="28" w:type="dxa"/>
        </w:tblCellMar>
      </w:tblPr>
      <w:tblGrid>
        <w:gridCol w:w="4426"/>
        <w:gridCol w:w="146"/>
        <w:gridCol w:w="211"/>
        <w:gridCol w:w="571"/>
        <w:gridCol w:w="166"/>
        <w:gridCol w:w="146"/>
        <w:gridCol w:w="326"/>
        <w:gridCol w:w="814"/>
        <w:gridCol w:w="166"/>
        <w:gridCol w:w="146"/>
        <w:gridCol w:w="211"/>
        <w:gridCol w:w="571"/>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Aurora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br/>
              <w:t xml:space="preserve">and other </w:t>
            </w:r>
            <w:r>
              <w:rPr>
                <w:rFonts w:ascii="Times New Roman" w:hAnsi="Times New Roman"/>
                <w:b/>
                <w:color w:val="000000"/>
                <w:sz w:val="11"/>
              </w:rPr>
              <w:t>(1)</w:t>
            </w:r>
            <w:r>
              <w:rPr>
                <w:rFonts w:ascii="Times New Roman" w:hAnsi="Times New Roman"/>
                <w:color w:val="000000"/>
                <w:sz w:val="16"/>
              </w:rPr>
              <w:t xml:space="preserve">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Addback: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corporate and other category above primarily reflects general corporate costs that were previously allocated to the RUCKUS segment, CCS segment,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have been reallocated to the Company’s remaining segments and partially offset by income from the Amphenol TSA beginning in the first quarter of 2026. Beginning in the third quarter of 2026, the corporate and other costs related to the RUCKUS segment will be reallocated to the Company’s remaining segment and partially offset by income from the Belden TSA.</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The corporate and other category above includes certain revenues reflected within continuing operations related to products associated with businesses impacted by prior divestiture transactions. Such amounts continue to be reported within continuing operations based on the terms of the underlying transactions.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Sales to customers located outside of the U.S. comprised 19.2% and 19.1% of total net sales for the three and six months ended June 30, 2026, respectively, compared to 21.2% and 24.3% of total net sales for the three and six months ended June 30, 2025, respectively. Sales by geographic region, based on the destination of product shipments or service provided, were as follows: </w:t>
      </w:r>
    </w:p>
    <w:tbl>
      <w:tblPr>
        <w:tblW w:w="6131"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359"/>
        <w:gridCol w:w="616"/>
        <w:gridCol w:w="146"/>
        <w:gridCol w:w="146"/>
        <w:gridCol w:w="211"/>
        <w:gridCol w:w="57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Aurora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br/>
              <w:t xml:space="preserve">and other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Geographic Region: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Aurora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br/>
              <w:t xml:space="preserve">and other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Geographic Region: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131"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303"/>
        <w:gridCol w:w="672"/>
        <w:gridCol w:w="146"/>
        <w:gridCol w:w="146"/>
        <w:gridCol w:w="211"/>
        <w:gridCol w:w="57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Aurora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br/>
              <w:t>and other</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Geographic Region: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Aurora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br/>
              <w:t>and other</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Geographic Region: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corporate and other category above includes certain revenues reflected within continuing operations related to products associated with businesses impacted by prior divestiture transactions. Such amounts continue to be reported within continuing operations based on the terms of the underlying transactions.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RESTRUCTURING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Company’s net pretax restructuring activity included in restructuring costs, net on the Condensed Consolidated Statements of Operations, by segment, was as follows:</w:t>
      </w:r>
    </w:p>
    <w:tbl>
      <w:tblPr>
        <w:tblW w:w="5828" w:type="dxa"/>
        <w:jc w:val="left"/>
        <w:tblInd w:w="0" w:type="dxa"/>
        <w:tblLayout w:type="fixed"/>
        <w:tblCellMar>
          <w:top w:w="28" w:type="dxa"/>
          <w:left w:w="28" w:type="dxa"/>
          <w:bottom w:w="28" w:type="dxa"/>
          <w:right w:w="28" w:type="dxa"/>
        </w:tblCellMar>
      </w:tblPr>
      <w:tblGrid>
        <w:gridCol w:w="1951"/>
        <w:gridCol w:w="146"/>
        <w:gridCol w:w="235"/>
        <w:gridCol w:w="403"/>
        <w:gridCol w:w="163"/>
        <w:gridCol w:w="163"/>
        <w:gridCol w:w="235"/>
        <w:gridCol w:w="403"/>
        <w:gridCol w:w="146"/>
        <w:gridCol w:w="146"/>
        <w:gridCol w:w="211"/>
        <w:gridCol w:w="466"/>
        <w:gridCol w:w="146"/>
        <w:gridCol w:w="146"/>
        <w:gridCol w:w="211"/>
        <w:gridCol w:w="46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Aurora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Corporate and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The corporate and other line item above reflects general corporate restructuring costs that were previously allocated to the RUCKUS segment, CCS segment, OWN segment and DAS business unit.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have been reallocated to the Company’s remaining segments and partially offset by income from the Amphenol TSA beginning in the first quarter of 2026. Beginning in the third quarter of 2026, the corporate and other costs related to the RUCKUS segment will be reallocated to the Company's remaining segment and partially offset by income from the Belden TSA.</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Restructuring liabilities were included in the Company’s Condensed Consolidated Balance Sheets as follows:</w:t>
      </w:r>
    </w:p>
    <w:tbl>
      <w:tblPr>
        <w:tblW w:w="4950" w:type="dxa"/>
        <w:jc w:val="left"/>
        <w:tblInd w:w="0" w:type="dxa"/>
        <w:tblLayout w:type="fixed"/>
        <w:tblCellMar>
          <w:top w:w="28" w:type="dxa"/>
          <w:left w:w="28" w:type="dxa"/>
          <w:bottom w:w="28" w:type="dxa"/>
          <w:right w:w="28" w:type="dxa"/>
        </w:tblCellMar>
      </w:tblPr>
      <w:tblGrid>
        <w:gridCol w:w="2461"/>
        <w:gridCol w:w="146"/>
        <w:gridCol w:w="282"/>
        <w:gridCol w:w="483"/>
        <w:gridCol w:w="146"/>
        <w:gridCol w:w="146"/>
        <w:gridCol w:w="403"/>
        <w:gridCol w:w="692"/>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Vistance Restructuring Actions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During 2025, the Company substantially completed a restructuring program that was initiated in prior periods. As of December 31, 2025, the Company had accrued liabilities of $2.3 million related to this program, consisting of employee-related costs. These remaining obligations are expected to be settled in 2027.</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xml:space="preserve">Following the divestiture of the CCS segment that was completed on January 9, 2026, the Company initiated a new restructuring plan to right-size its cost structure and align operations with its revised business scope.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activity in the Company’s accrued restructuring liabilities for the periods presented. The roll forward reflects a combined presentation of the remaining liabilities associated with the prior restructuring program and liabilities recognized under restructuring plans initiated in 2026:</w:t>
      </w:r>
    </w:p>
    <w:tbl>
      <w:tblPr>
        <w:tblW w:w="7796" w:type="dxa"/>
        <w:jc w:val="left"/>
        <w:tblInd w:w="0" w:type="dxa"/>
        <w:tblLayout w:type="fixed"/>
        <w:tblCellMar>
          <w:top w:w="28" w:type="dxa"/>
          <w:left w:w="28" w:type="dxa"/>
          <w:bottom w:w="28" w:type="dxa"/>
          <w:right w:w="28" w:type="dxa"/>
        </w:tblCellMar>
      </w:tblPr>
      <w:tblGrid>
        <w:gridCol w:w="3646"/>
        <w:gridCol w:w="146"/>
        <w:gridCol w:w="579"/>
        <w:gridCol w:w="1281"/>
        <w:gridCol w:w="166"/>
        <w:gridCol w:w="146"/>
        <w:gridCol w:w="211"/>
        <w:gridCol w:w="421"/>
        <w:gridCol w:w="166"/>
        <w:gridCol w:w="146"/>
        <w:gridCol w:w="211"/>
        <w:gridCol w:w="466"/>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Employee-Related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and 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and 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make cash payments of $6.6 million during the remainder of 2026 and $0.9 million during 2027 to settle these restructuring actions. Additional restructuring actions are expected to be identified, and the resulting charges and cash requirements could be 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Special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7, 2026, the Company's board of directors approved a special cash distribution of $10.00 per share on the Company's outstanding common stock. The distribution was paid on April 27, 2026, to stockholders of record as of April 17, 2026. The special distribution was funded primarily from proceeds received from the sale of the Company's CCS segment.</w:t>
      </w:r>
    </w:p>
    <w:p>
      <w:pPr>
        <w:pStyle w:val="TextBody"/>
        <w:bidi w:val="0"/>
        <w:jc w:val="left"/>
        <w:rPr>
          <w:rFonts w:ascii="Times New Roman" w:hAnsi="Times New Roman"/>
          <w:color w:val="000000"/>
          <w:sz w:val="20"/>
        </w:rPr>
      </w:pPr>
      <w:r>
        <w:rPr>
          <w:rFonts w:ascii="Times New Roman" w:hAnsi="Times New Roman"/>
          <w:color w:val="000000"/>
          <w:sz w:val="20"/>
        </w:rPr>
        <w:t>Upon declaration, the Company recorded a total distribution of $2,373.7 million as a reduction of retained earnings. This amount included the distribution attributable to outstanding common shares as well as dividend equivalents associated with unvested RSUs and PSUs that were entitled to receive the special distribution under the terms of the Company's equity compensation plans.</w:t>
      </w:r>
    </w:p>
    <w:p>
      <w:pPr>
        <w:pStyle w:val="TextBody"/>
        <w:bidi w:val="0"/>
        <w:jc w:val="left"/>
        <w:rPr>
          <w:rFonts w:ascii="Times New Roman" w:hAnsi="Times New Roman"/>
          <w:color w:val="000000"/>
          <w:sz w:val="20"/>
        </w:rPr>
      </w:pPr>
      <w:r>
        <w:rPr>
          <w:rFonts w:ascii="Times New Roman" w:hAnsi="Times New Roman"/>
          <w:color w:val="000000"/>
          <w:sz w:val="20"/>
        </w:rPr>
        <w:t>During the quarter ending June 30, 2026, the Company distributed $2,316.3 million in connection with the special distribution. The distribution amount included distributions paid on outstanding common shares and dividend equivalents paid with respect to equity awards that were vested during the quarter in accordance with the terms of the Company's equity compensation plans. Dividend equivalents associated with unvested awards that remained outstanding at June 30, 2026 will be paid upon vesting of the related awards.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29, 2026, the Company’s board of directors approved a new share repurchase program, replacing the previous program, authorizing, but not obligating, the repurchase of up to an aggregate of $100.0 million of the Company’s outstanding common stock. Repurchases under the stock repurchase programs may be made at management’s discretion from time to time on the open market, in privately negotiated transactions or otherwise, in each case subject to compliance with all Securities and Exchange Commission rules and other legal requirements and may be made in part under one or more Rule 10b5-1 and Rule 10b-18 plans, which permit stock repurchases at times when we might otherwise be precluded from doing so. The method, timing and amount of shares repurchased under the repurchase program will depend on several factors, including capital and liquidity requirements, market conditions and alternative uses for cash. The repurchase program does not have a set expiration date, but may be modified, suspended or discontinued at any time. There were no share repurchases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2026, the Company completed the previously announced sale of its RUCKUS segment to Belden pursuant to the Purchase Agreement, dated as of April 29, 2026, in which Belden acquired the RUCKUS segment on a cash-free, debt-free basis, in exchange for approximately $1.846 billion in cash, subject to certain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5, 2026, the Company declared a special cash distribution (the Special Distribution) of $5.00 per share on the Company’s outstanding common stock. The Special Distribution will be paid on August 27, 2026, to stockholders of record at the close of business on August 17, 2026. The aggregate amount of the Special Distribution will be determined based on the number of shares outstanding and other eligible equity awards entitled to receive the distribution as of the record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The following narrative is an analysis of the three and six months ended June 30, 2026 compared to the three and six months ended June 30, 2025.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2025 (2025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below for more information about these non-GAAP financial measures, including our reasons for including the measures and material limitations with respect to the usefulness of the measures.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provider of intelligent network solutions. Our solutions for wired and wireless networks enable service providers, including cable, telephone and digital broadcast satellite operators and media programmers, to deliver media, voice and Internet Protocol (IP) data services.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divestiture of the Connectivity and Cable Solutions (CCS) segment that was completed on January 9, 2026, we initiated a new restructuring plan to right-size our cost structure and align operations with our revised business scope. As a result of this transaction, the new restructuring plan and our prior transformation initiative, we incurred $8.4 million and $15.1 million of net restructuring costs and $7.6 million and $5.6 million of transaction, transformation and integration costs for the three and six months ended June 30, 2026, respectively. We incurred $1.6 million and $11.5 million of net restructuring costs and $12.3 million and $10.0 million of transaction, transformation and integration costs during the three and six months ended June 30, 2025, respectively. We expect to continue to incur such costs during the remainder of 2026 as we continue executing on our current transformation initiative, and the resulting charges and cash requirements could be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divestiture of the CCS segment, we completed the divestitures of our Home Networks (Home) business, Outdoor Wireless Networks (OWN) segment and Distributed Antenna Systems (DAS) business unit during 2025 and 2024. Unless otherwise noted, the following discussions relate solely to our continuing operations. For further discussion of the discontinued operations related to our CCS segment, OWN segment, DAS business unit and Home business, see Note 2 in the Notes to Unaudited Condensed Consolidated Financial Statements included herein.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April 29, 2026, we entered into a definitive agreement with Belden Inc. (Belden), a Delaware corporation, pursuant to which Belden agreed to acquire our RUCKUS segment, which provides wireless networks for enterprise and service provider customers, in exchange for approximately $1.846 billion in cash, subject to certain adjustments. The divestiture of the RUCKUS segment met the “held for sale” criteria in the second quarter of 2026 per Accounting Standard Codification (ASC) 360-10, </w:t>
      </w:r>
      <w:r>
        <w:rPr>
          <w:rFonts w:ascii="Times New Roman" w:hAnsi="Times New Roman"/>
          <w:i/>
          <w:color w:val="000000"/>
          <w:sz w:val="20"/>
        </w:rPr>
        <w:t>Impairment and Disposal of Long Lived Assets</w:t>
      </w:r>
      <w:r>
        <w:rPr>
          <w:rFonts w:ascii="Times New Roman" w:hAnsi="Times New Roman"/>
          <w:color w:val="000000"/>
          <w:sz w:val="20"/>
        </w:rPr>
        <w:t xml:space="preserve">, and we have determined that it represents a strategic shift that will have a major effect on the Company’s operations. As such, the results of operations directly attributable to the RUCKUS segment have been reclassified to discontinued operations per ASC 205-20, </w:t>
      </w:r>
      <w:r>
        <w:rPr>
          <w:rFonts w:ascii="Times New Roman" w:hAnsi="Times New Roman"/>
          <w:i/>
          <w:color w:val="000000"/>
          <w:sz w:val="20"/>
        </w:rPr>
        <w:t>Presentation of Financial Statements—Discontinued Operations</w:t>
      </w:r>
      <w:r>
        <w:rPr>
          <w:rFonts w:ascii="Times New Roman" w:hAnsi="Times New Roman"/>
          <w:color w:val="000000"/>
          <w:sz w:val="20"/>
        </w:rPr>
        <w:t>, on the Condensed Consolidated Statements of Operations, retrospectively for all periods presented beginning in the second quarter of 2026. In addition, the assets and liabilities of the RUCKUS segment have been presented separately as assets and liabilities held for sale on the Condensed Consolidated Balance Sheets for both current and prior periods beginning in the second quarter of 2026. For further discussion of the divestiture and sale of the RUCKUS segment, see Notes 2 and 9 in the Notes to Unaudited Condensed Consolidated Financial Statements included 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continuing operations results include general corporate costs that were previously allocated to the RUCKUS segment, CCS segment, OWN segment and DAS business unit. These indirect costs, reflected on the corporate and other line item within our segment information below, are classified as continuing operations, since the costs were not directly attributable to these discontinued operations. Beginning in the first quarter of 2025, the corporate and other costs related to the OWN segment and DAS business unit have been reallocated to our remaining segments and partially offset by income from our transition service agreement with Amphenol Corporation (Amphenol TSA). The corporate and other costs related to the CCS segment have been reallocated to our remaining segments and partially offset by income from the Amphenol TSA beginning in the first quarter of 2026. Beginning in the third quarter of 2026, the corporate and other costs related to the RUCKUS segment will be reallocated to our remaining segment and partially offset by income from the Transition Service Agreement with Belden (Belden TSA).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below we refer to certain supplementary Core financial measures, which reflect the results of the Aurora segment and exclude general corporate costs that were previously allocated to the RUCKUS segment, CCS segment, OWN segment and DAS business unit, since these costs were not directly attributable to the discontinued operations. The Core results represent the business results as currently managed and reported by the Company. Future results and the composition of any business divested in the future may vary and differ materially from the presentation of the Core financial measures. See the “Segment Results” section below for a breakdown of Aurora’s results which represent our Core financial measures, and corporate and other costs which include the general corporate costs that were previously allocated to the divestitures.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critical accounting policies as disclosed in our 2025 Annual Report.</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COMPARISON OF RESULTS OF OPERATIONS FOR THE THREE AND SIX MONTHS ENDED JUNE 30, 2026 WITH THE THREE AND SIX MONTHS ENDED JUNE 30, 2025</w:t>
      </w:r>
    </w:p>
    <w:tbl>
      <w:tblPr>
        <w:tblW w:w="10205" w:type="dxa"/>
        <w:jc w:val="left"/>
        <w:tblInd w:w="0" w:type="dxa"/>
        <w:tblLayout w:type="fixed"/>
        <w:tblCellMar>
          <w:top w:w="28" w:type="dxa"/>
          <w:left w:w="28" w:type="dxa"/>
          <w:bottom w:w="28" w:type="dxa"/>
          <w:right w:w="28" w:type="dxa"/>
        </w:tblCellMar>
      </w:tblPr>
      <w:tblGrid>
        <w:gridCol w:w="3166"/>
        <w:gridCol w:w="146"/>
        <w:gridCol w:w="211"/>
        <w:gridCol w:w="571"/>
        <w:gridCol w:w="166"/>
        <w:gridCol w:w="146"/>
        <w:gridCol w:w="160"/>
        <w:gridCol w:w="627"/>
        <w:gridCol w:w="271"/>
        <w:gridCol w:w="146"/>
        <w:gridCol w:w="211"/>
        <w:gridCol w:w="571"/>
        <w:gridCol w:w="166"/>
        <w:gridCol w:w="146"/>
        <w:gridCol w:w="160"/>
        <w:gridCol w:w="627"/>
        <w:gridCol w:w="271"/>
        <w:gridCol w:w="146"/>
        <w:gridCol w:w="211"/>
        <w:gridCol w:w="631"/>
        <w:gridCol w:w="166"/>
        <w:gridCol w:w="146"/>
        <w:gridCol w:w="146"/>
        <w:gridCol w:w="631"/>
        <w:gridCol w:w="36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2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 except per share amounts)</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3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Core operating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Non-GAAP adjusted EBITDA </w:t>
            </w:r>
            <w:r>
              <w:rPr>
                <w:rFonts w:ascii="Times New Roman" w:hAnsi="Times New Roman"/>
                <w:color w:val="000000"/>
                <w:sz w:val="13"/>
              </w:rPr>
              <w:t>(2)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3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Core adjusted EBITDA </w:t>
            </w:r>
            <w:r>
              <w:rPr>
                <w:rFonts w:ascii="Times New Roman" w:hAnsi="Times New Roman"/>
                <w:color w:val="000000"/>
                <w:sz w:val="13"/>
              </w:rPr>
              <w:t>(1)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3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Diluted earnings (loss) from continuing </w:t>
              <w:br/>
              <w:t>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2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 except per share amounts)</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Core operating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Non-GAAP adjusted EBITDA </w:t>
            </w:r>
            <w:r>
              <w:rPr>
                <w:rFonts w:ascii="Times New Roman" w:hAnsi="Times New Roman"/>
                <w:color w:val="000000"/>
                <w:sz w:val="13"/>
              </w:rPr>
              <w:t>(2)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Core adjusted EBITDA </w:t>
            </w:r>
            <w:r>
              <w:rPr>
                <w:rFonts w:ascii="Times New Roman" w:hAnsi="Times New Roman"/>
                <w:color w:val="000000"/>
                <w:sz w:val="13"/>
              </w:rPr>
              <w:t>(1)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3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Diluted earnings from continuing operations </w:t>
              <w:br/>
              <w:t>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left"/>
        <w:rPr/>
      </w:pPr>
      <w:r>
        <w:rPr>
          <w:rFonts w:ascii="Times New Roman" w:hAnsi="Times New Roman"/>
          <w:color w:val="000000"/>
          <w:sz w:val="19"/>
        </w:rPr>
        <w:t xml:space="preserve">Core financial measures reflect the results of the Aurora segment and exclude general corporate costs that were previously allocated to the RUCKUS segment, CCS segment, OWN segment and DAS business unit, since these costs were not directly attributable to these discontinued operations. Beginning in the first quarter of 2025, these costs related to the OWN segment and DAS business unit have been reallocated to our remaining segments </w:t>
      </w:r>
      <w:r>
        <w:rPr>
          <w:rFonts w:ascii="Times New Roman" w:hAnsi="Times New Roman"/>
          <w:color w:val="000000"/>
          <w:sz w:val="20"/>
        </w:rPr>
        <w:t>and</w:t>
      </w:r>
      <w:r>
        <w:rPr>
          <w:color w:val="000000"/>
        </w:rPr>
        <w:t xml:space="preserve"> </w:t>
      </w:r>
      <w:r>
        <w:rPr>
          <w:rFonts w:ascii="Times New Roman" w:hAnsi="Times New Roman"/>
          <w:color w:val="000000"/>
          <w:sz w:val="19"/>
        </w:rPr>
        <w:t xml:space="preserve">partially offset by income from the Amphenol TSA. These costs related to the CCS segment have been reallocated to our remaining segments </w:t>
      </w:r>
      <w:r>
        <w:rPr>
          <w:rFonts w:ascii="Times New Roman" w:hAnsi="Times New Roman"/>
          <w:color w:val="000000"/>
          <w:sz w:val="20"/>
        </w:rPr>
        <w:t>and</w:t>
      </w:r>
      <w:r>
        <w:rPr>
          <w:color w:val="000000"/>
        </w:rPr>
        <w:t xml:space="preserve"> </w:t>
      </w:r>
      <w:r>
        <w:rPr>
          <w:rFonts w:ascii="Times New Roman" w:hAnsi="Times New Roman"/>
          <w:color w:val="000000"/>
          <w:sz w:val="19"/>
        </w:rPr>
        <w:t>partially offset by income from the Amphenol TSA beginning in the first quarter of 2026. Beginning in the third quarter of 2026, these costs related to the RUCKUS will be reallocated to our remaining segment and partially offset by income from the Belden TSA.</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See “Reconciliation of Non-GAAP Measures” in this Management’s Discussion and Analysis of Financial Condition and Results of Operations, below.</w:t>
      </w:r>
    </w:p>
    <w:p>
      <w:pPr>
        <w:pStyle w:val="TextBody"/>
        <w:bidi w:val="0"/>
        <w:jc w:val="left"/>
        <w:rPr/>
      </w:pPr>
      <w:r>
        <w:rPr/>
        <w:t> </w:t>
      </w:r>
    </w:p>
    <w:p>
      <w:pPr>
        <w:pStyle w:val="TextBody"/>
        <w:bidi w:val="0"/>
        <w:jc w:val="left"/>
        <w:rPr/>
      </w:pPr>
      <w:r>
        <w:rPr/>
        <w:t> </w:t>
      </w:r>
    </w:p>
    <w:p>
      <w:pPr>
        <w:pStyle w:val="TextBody"/>
        <w:bidi w:val="0"/>
        <w:spacing w:before="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40"/>
        <w:jc w:val="left"/>
        <w:rPr>
          <w:rFonts w:ascii="Times New Roman" w:hAnsi="Times New Roman"/>
          <w:b/>
          <w:color w:val="000000"/>
          <w:sz w:val="20"/>
        </w:rPr>
      </w:pPr>
      <w:r>
        <w:rPr>
          <w:rFonts w:ascii="Times New Roman" w:hAnsi="Times New Roman"/>
          <w:b/>
          <w:color w:val="000000"/>
          <w:sz w:val="20"/>
        </w:rPr>
        <w:t>Net sales</w:t>
      </w:r>
    </w:p>
    <w:tbl>
      <w:tblPr>
        <w:tblW w:w="10912" w:type="dxa"/>
        <w:jc w:val="left"/>
        <w:tblInd w:w="0" w:type="dxa"/>
        <w:tblLayout w:type="fixed"/>
        <w:tblCellMar>
          <w:top w:w="28" w:type="dxa"/>
          <w:left w:w="28" w:type="dxa"/>
          <w:bottom w:w="28" w:type="dxa"/>
          <w:right w:w="28" w:type="dxa"/>
        </w:tblCellMar>
      </w:tblPr>
      <w:tblGrid>
        <w:gridCol w:w="1271"/>
        <w:gridCol w:w="246"/>
        <w:gridCol w:w="211"/>
        <w:gridCol w:w="571"/>
        <w:gridCol w:w="246"/>
        <w:gridCol w:w="246"/>
        <w:gridCol w:w="211"/>
        <w:gridCol w:w="571"/>
        <w:gridCol w:w="246"/>
        <w:gridCol w:w="246"/>
        <w:gridCol w:w="220"/>
        <w:gridCol w:w="441"/>
        <w:gridCol w:w="266"/>
        <w:gridCol w:w="246"/>
        <w:gridCol w:w="146"/>
        <w:gridCol w:w="526"/>
        <w:gridCol w:w="271"/>
        <w:gridCol w:w="146"/>
        <w:gridCol w:w="211"/>
        <w:gridCol w:w="571"/>
        <w:gridCol w:w="246"/>
        <w:gridCol w:w="246"/>
        <w:gridCol w:w="211"/>
        <w:gridCol w:w="571"/>
        <w:gridCol w:w="146"/>
        <w:gridCol w:w="146"/>
        <w:gridCol w:w="211"/>
        <w:gridCol w:w="526"/>
        <w:gridCol w:w="166"/>
        <w:gridCol w:w="146"/>
        <w:gridCol w:w="146"/>
        <w:gridCol w:w="526"/>
        <w:gridCol w:w="516"/>
      </w:tblGrid>
      <w:tr>
        <w:trPr/>
        <w:tc>
          <w:tcPr>
            <w:tcW w:w="1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9"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Domestic</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7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6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Net sales for the three months ended June 30, 2026 decreased by $4.5 million, or 1.4% compared to the prior year period, primarily driven by unfavorable product mix, lower pricing and lower sales volume. For the six months ended June 30, 2026, net sales increased by $58.3 million, or 10.4% compared to the prior year period, primarily driven by higher sales volume, partially offset by unfavorable product mix and lower pricing.</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From a regional perspective, for the three months ended June 30, 2026 compared to the prior year period, net sales decreased in the Europe, Middle East and Africa (EMEA) region by $5.2 million and Canada by $2.7 million, but increased in the U.S. by $2.7 million, the Asia Pacific (APAC) region by $0.4 million and the Caribbean and Latin America (CALA) region by $0.3 million. For the six months ended June 30, 2026 compared to the prior year period, net sales increased in the U.S. by $76.5 million and the APAC region by $1.6 million, but decreased in Canada by $11.4 million, the CALA region by $6.5 million and the EMEA region by $1.9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sales to customers located outside of the U.S. comprised 19.2% and 19.1% of total net sales for the three and six months ended June 30, 2026, respectively, compared to 21.2% and 24.3% for the three and six months ended June 30, 2025, respectively. Foreign exchange rate changes did not have a material impact on our net sales during the three or six months ended June 30, 2026 compared to the prior year periods. For additional information on regional sales by segment, see “Segment Results” below and Note 6 in the Notes to Unaudited Condensed Consolidated Financial Statements included herein.</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Gross profit, TSA income, SG&amp;A expense and R&amp;D expense</w:t>
      </w:r>
    </w:p>
    <w:tbl>
      <w:tblPr>
        <w:tblW w:w="10238" w:type="dxa"/>
        <w:jc w:val="left"/>
        <w:tblInd w:w="0" w:type="dxa"/>
        <w:tblLayout w:type="fixed"/>
        <w:tblCellMar>
          <w:top w:w="28" w:type="dxa"/>
          <w:left w:w="28" w:type="dxa"/>
          <w:bottom w:w="28" w:type="dxa"/>
          <w:right w:w="28" w:type="dxa"/>
        </w:tblCellMar>
      </w:tblPr>
      <w:tblGrid>
        <w:gridCol w:w="821"/>
        <w:gridCol w:w="246"/>
        <w:gridCol w:w="211"/>
        <w:gridCol w:w="571"/>
        <w:gridCol w:w="271"/>
        <w:gridCol w:w="146"/>
        <w:gridCol w:w="211"/>
        <w:gridCol w:w="571"/>
        <w:gridCol w:w="271"/>
        <w:gridCol w:w="146"/>
        <w:gridCol w:w="211"/>
        <w:gridCol w:w="526"/>
        <w:gridCol w:w="166"/>
        <w:gridCol w:w="146"/>
        <w:gridCol w:w="146"/>
        <w:gridCol w:w="526"/>
        <w:gridCol w:w="271"/>
        <w:gridCol w:w="146"/>
        <w:gridCol w:w="211"/>
        <w:gridCol w:w="571"/>
        <w:gridCol w:w="271"/>
        <w:gridCol w:w="146"/>
        <w:gridCol w:w="211"/>
        <w:gridCol w:w="571"/>
        <w:gridCol w:w="271"/>
        <w:gridCol w:w="146"/>
        <w:gridCol w:w="211"/>
        <w:gridCol w:w="526"/>
        <w:gridCol w:w="166"/>
        <w:gridCol w:w="146"/>
        <w:gridCol w:w="146"/>
        <w:gridCol w:w="526"/>
        <w:gridCol w:w="516"/>
      </w:tblGrid>
      <w:tr>
        <w:trPr/>
        <w:tc>
          <w:tcPr>
            <w:tcW w:w="8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55"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 a percent of sales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TSA income</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 a percent of sales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SG&amp;A expense</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 a percent of sales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expense</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 a percent of sales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 (net sales less 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decreased by $35.3 million and $20.8 million, for the three and six months ended June 30, 2026, respectively, compared to the prior year periods primarily due to unfavorable product mix and lower pricing, partially offset by lower input costs. For the six months ended June 30, 2026, gross profit was also favorably impacted by an increase in sales volume compared to the prior year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Transition service agreement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Transition service agreement (TSA) income is related to the TSA we entered into with Amphenol in conjunction with the closing of the transactions to divest of the CCS segment, OWN segment and DAS business unit. Under the TSAs, we provide and receive certain post-closing support on a transitional basis. The TSAs have varying terms for duration, depending on the services provided thereunder, and provide for options to extend. For additional information related to the TSAs, see Note 2 in the Notes to Unaudited Condensed Consolidated Financial Statements included 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(SG&amp;A) expense decreased by $15.6 million and $27.5 million for the three and six months ended June 30, 2026, respectively, compared to the prior year periods. For the three and six months ended June 30, 2026, the decrease was primarily due to decreased variable incentive compensation expense of $7.6 million and $8.2 million, respectively, and decreased legal expense of $4.9 million and $11.5 million, respectively, partially offset by higher transaction costs of $1.9 million and 2.3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expense for the three and six months ended June 30, 2026 decreased by $12.3 million and $18.4 million, respectively, due to lower spending within the Aurora segment compared to the prior year periods. R&amp;D activities generally involve ensuring that our products are capable of meeting the evolving technological needs of our customers, bringing new products to market and modifying existing products to better serve our customers.</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Amortization of purchased intangible assets and Restructuring costs, net</w:t>
      </w:r>
    </w:p>
    <w:tbl>
      <w:tblPr>
        <w:tblW w:w="10205" w:type="dxa"/>
        <w:jc w:val="left"/>
        <w:tblInd w:w="0" w:type="dxa"/>
        <w:tblLayout w:type="fixed"/>
        <w:tblCellMar>
          <w:top w:w="28" w:type="dxa"/>
          <w:left w:w="28" w:type="dxa"/>
          <w:bottom w:w="28" w:type="dxa"/>
          <w:right w:w="28" w:type="dxa"/>
        </w:tblCellMar>
      </w:tblPr>
      <w:tblGrid>
        <w:gridCol w:w="2027"/>
        <w:gridCol w:w="146"/>
        <w:gridCol w:w="211"/>
        <w:gridCol w:w="466"/>
        <w:gridCol w:w="146"/>
        <w:gridCol w:w="146"/>
        <w:gridCol w:w="211"/>
        <w:gridCol w:w="466"/>
        <w:gridCol w:w="146"/>
        <w:gridCol w:w="146"/>
        <w:gridCol w:w="220"/>
        <w:gridCol w:w="441"/>
        <w:gridCol w:w="166"/>
        <w:gridCol w:w="146"/>
        <w:gridCol w:w="146"/>
        <w:gridCol w:w="571"/>
        <w:gridCol w:w="314"/>
        <w:gridCol w:w="146"/>
        <w:gridCol w:w="211"/>
        <w:gridCol w:w="466"/>
        <w:gridCol w:w="146"/>
        <w:gridCol w:w="146"/>
        <w:gridCol w:w="211"/>
        <w:gridCol w:w="466"/>
        <w:gridCol w:w="146"/>
        <w:gridCol w:w="146"/>
        <w:gridCol w:w="220"/>
        <w:gridCol w:w="441"/>
        <w:gridCol w:w="166"/>
        <w:gridCol w:w="146"/>
        <w:gridCol w:w="146"/>
        <w:gridCol w:w="526"/>
        <w:gridCol w:w="361"/>
      </w:tblGrid>
      <w:tr>
        <w:trPr/>
        <w:tc>
          <w:tcPr>
            <w:tcW w:w="2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1"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Amortization of purchased </w:t>
              <w:br/>
              <w:t>   intangible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Amortization of purchased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amortization of purchased intangible assets was lower compared to the prior year periods because certain of our intangible assets became fully amortized.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costs,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restructuring costs recorded in the three and six months ended June 30, 2026 were primarily related to our new restructuring plan to right-size our cost structure and align operations with our revised business scope. For the three and six months ended June 30, 2026, our net restructuring costs were $8.4 million and $15.1 million, respectively, and we paid $4.6 million and $9.9 million, respectively, to settle restructuring liabilities. We expect to make cash payments of $6.6 million in the remainder of 2026 and $0.9 million during 2027 to settle our restructuring actions. Additional restructuring actions related to our restructuring efforts are expected to be identified, and the resulting charges and cash requirements could be material.</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Other income (expense), net</w:t>
      </w:r>
    </w:p>
    <w:tbl>
      <w:tblPr>
        <w:tblW w:w="10018" w:type="dxa"/>
        <w:jc w:val="left"/>
        <w:tblInd w:w="0" w:type="dxa"/>
        <w:tblLayout w:type="fixed"/>
        <w:tblCellMar>
          <w:top w:w="28" w:type="dxa"/>
          <w:left w:w="28" w:type="dxa"/>
          <w:bottom w:w="28" w:type="dxa"/>
          <w:right w:w="28" w:type="dxa"/>
        </w:tblCellMar>
      </w:tblPr>
      <w:tblGrid>
        <w:gridCol w:w="2386"/>
        <w:gridCol w:w="146"/>
        <w:gridCol w:w="215"/>
        <w:gridCol w:w="429"/>
        <w:gridCol w:w="169"/>
        <w:gridCol w:w="148"/>
        <w:gridCol w:w="215"/>
        <w:gridCol w:w="429"/>
        <w:gridCol w:w="166"/>
        <w:gridCol w:w="146"/>
        <w:gridCol w:w="243"/>
        <w:gridCol w:w="418"/>
        <w:gridCol w:w="146"/>
        <w:gridCol w:w="146"/>
        <w:gridCol w:w="146"/>
        <w:gridCol w:w="526"/>
        <w:gridCol w:w="331"/>
        <w:gridCol w:w="146"/>
        <w:gridCol w:w="211"/>
        <w:gridCol w:w="361"/>
        <w:gridCol w:w="146"/>
        <w:gridCol w:w="146"/>
        <w:gridCol w:w="211"/>
        <w:gridCol w:w="421"/>
        <w:gridCol w:w="166"/>
        <w:gridCol w:w="146"/>
        <w:gridCol w:w="243"/>
        <w:gridCol w:w="418"/>
        <w:gridCol w:w="146"/>
        <w:gridCol w:w="146"/>
        <w:gridCol w:w="70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6" w:type="dxa"/>
            <w:gridSpan w:val="2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r>
      <w:tr>
        <w:trPr/>
        <w:tc>
          <w:tcPr>
            <w:tcW w:w="23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Foreign currency gain (loss)</w:t>
      </w:r>
    </w:p>
    <w:p>
      <w:pPr>
        <w:pStyle w:val="TextBody"/>
        <w:bidi w:val="0"/>
        <w:jc w:val="left"/>
        <w:rPr>
          <w:rFonts w:ascii="Times New Roman" w:hAnsi="Times New Roman"/>
          <w:color w:val="000000"/>
          <w:sz w:val="20"/>
        </w:rPr>
      </w:pPr>
      <w:r>
        <w:rPr>
          <w:rFonts w:ascii="Times New Roman" w:hAnsi="Times New Roman"/>
          <w:color w:val="000000"/>
          <w:sz w:val="20"/>
        </w:rPr>
        <w:t>Foreign currency gain (loss) includes the net foreign currency gains and losses resulting from the settlement of receivables and payables, foreign currency contracts and short-term intercompany advances in a currency other than the subsidiary’s functional currency. The change in foreign currency gain (loss) for the three and six months ended June 30, 2026 compared to the prior year periods was primarily driven by certain unhedged currencies.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jc w:val="left"/>
        <w:rPr>
          <w:rFonts w:ascii="Times New Roman" w:hAnsi="Times New Roman"/>
          <w:color w:val="000000"/>
          <w:sz w:val="20"/>
        </w:rPr>
      </w:pPr>
      <w:r>
        <w:rPr>
          <w:rFonts w:ascii="Times New Roman" w:hAnsi="Times New Roman"/>
          <w:color w:val="000000"/>
          <w:sz w:val="20"/>
        </w:rPr>
        <w:t>Other income (expense), net for the three and six months ended June 30, 2026 was favorably impacted by gains on certain financial assets. For the six months ended June 30, 2025, other income (expense), net includes $1.1 million of debt issuance costs related to a debt refinancing transaction in the fourth quarter of 2024.</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Interest expense, Interest income and Income taxes</w:t>
      </w:r>
    </w:p>
    <w:tbl>
      <w:tblPr>
        <w:tblW w:w="9551" w:type="dxa"/>
        <w:jc w:val="left"/>
        <w:tblInd w:w="0" w:type="dxa"/>
        <w:tblLayout w:type="fixed"/>
        <w:tblCellMar>
          <w:top w:w="28" w:type="dxa"/>
          <w:left w:w="28" w:type="dxa"/>
          <w:bottom w:w="28" w:type="dxa"/>
          <w:right w:w="28" w:type="dxa"/>
        </w:tblCellMar>
      </w:tblPr>
      <w:tblGrid>
        <w:gridCol w:w="1636"/>
        <w:gridCol w:w="146"/>
        <w:gridCol w:w="210"/>
        <w:gridCol w:w="451"/>
        <w:gridCol w:w="156"/>
        <w:gridCol w:w="156"/>
        <w:gridCol w:w="210"/>
        <w:gridCol w:w="419"/>
        <w:gridCol w:w="166"/>
        <w:gridCol w:w="146"/>
        <w:gridCol w:w="209"/>
        <w:gridCol w:w="452"/>
        <w:gridCol w:w="146"/>
        <w:gridCol w:w="146"/>
        <w:gridCol w:w="170"/>
        <w:gridCol w:w="491"/>
        <w:gridCol w:w="146"/>
        <w:gridCol w:w="146"/>
        <w:gridCol w:w="196"/>
        <w:gridCol w:w="421"/>
        <w:gridCol w:w="146"/>
        <w:gridCol w:w="146"/>
        <w:gridCol w:w="196"/>
        <w:gridCol w:w="511"/>
        <w:gridCol w:w="146"/>
        <w:gridCol w:w="146"/>
        <w:gridCol w:w="196"/>
        <w:gridCol w:w="571"/>
        <w:gridCol w:w="166"/>
        <w:gridCol w:w="146"/>
        <w:gridCol w:w="146"/>
        <w:gridCol w:w="515"/>
        <w:gridCol w:w="30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8"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br/>
              <w:t>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50" w:type="dxa"/>
            <w:gridSpan w:val="3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NM – Not meaningful</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 and 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sale of the CCS segment that was completed on January 9, 2026, we repaid our third</w:t>
        <w:noBreakHyphen/>
        <w:t xml:space="preserve">party debt at closing, and all interest expense was reported within discontinued operations. However, we expect to incur interest expense in the future. The increase in interest income compared to the prior year periods was primarily driven by interest earned on the net proceeds related to the sale of the CCS segment.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we recognized an income tax benefit of $28.7 million on a pretax loss of $2.6 million and an income tax benefit of $22.3 million on pretax income of $20.4 million, respectively. Our income taxes were less than the statutory rate of 21.0% for the three and six months ended June 30, 2026, primarily due to $21.0 million and $21.2 million, respectively, of tax benefit associated with the Company’s equity compensation plan. Additionally, we recognized $7.1 million of tax benefit for each of the three and six months ended June 30, 2026 related to remeasuring certain net deferred taxes. Offsetting these benefits for the three and six months ended June 30, 2026, were the unfavorable impacts of U.S. anti-deferral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2025, we recognized income tax expense of $2.5 million on pretax income of $8.4 million and an income tax benefit of $359.2 million on a pretax loss of $20.8 million, respectively. Our income taxes for the three and six months ended June 30, 2025, were favorably impacted by the tax benefit related to federal tax credits, as well as $361.1 million associated with a tax planning strategy for the six months ended June 30, 2025. Offsetting these benefits for the three and six months ended June 30, 2025, were the unfavorable impacts of U.S. anti-deferral provisions.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Segment Results</w:t>
      </w:r>
    </w:p>
    <w:tbl>
      <w:tblPr>
        <w:tblW w:w="10205" w:type="dxa"/>
        <w:jc w:val="left"/>
        <w:tblInd w:w="0" w:type="dxa"/>
        <w:tblLayout w:type="fixed"/>
        <w:tblCellMar>
          <w:top w:w="28" w:type="dxa"/>
          <w:left w:w="28" w:type="dxa"/>
          <w:bottom w:w="28" w:type="dxa"/>
          <w:right w:w="28" w:type="dxa"/>
        </w:tblCellMar>
      </w:tblPr>
      <w:tblGrid>
        <w:gridCol w:w="2584"/>
        <w:gridCol w:w="246"/>
        <w:gridCol w:w="211"/>
        <w:gridCol w:w="571"/>
        <w:gridCol w:w="166"/>
        <w:gridCol w:w="146"/>
        <w:gridCol w:w="159"/>
        <w:gridCol w:w="622"/>
        <w:gridCol w:w="166"/>
        <w:gridCol w:w="271"/>
        <w:gridCol w:w="146"/>
        <w:gridCol w:w="211"/>
        <w:gridCol w:w="571"/>
        <w:gridCol w:w="166"/>
        <w:gridCol w:w="146"/>
        <w:gridCol w:w="152"/>
        <w:gridCol w:w="598"/>
        <w:gridCol w:w="146"/>
        <w:gridCol w:w="271"/>
        <w:gridCol w:w="146"/>
        <w:gridCol w:w="211"/>
        <w:gridCol w:w="526"/>
        <w:gridCol w:w="166"/>
        <w:gridCol w:w="146"/>
        <w:gridCol w:w="146"/>
        <w:gridCol w:w="631"/>
        <w:gridCol w:w="166"/>
        <w:gridCol w:w="518"/>
      </w:tblGrid>
      <w:tr>
        <w:trPr/>
        <w:tc>
          <w:tcPr>
            <w:tcW w:w="25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2"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0"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91"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by segment: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Aurora </w:t>
            </w:r>
            <w:r>
              <w:rPr>
                <w:rFonts w:ascii="Times New Roman" w:hAnsi="Times New Roman"/>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(2)</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 by segment: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Aurora </w:t>
            </w:r>
            <w:r>
              <w:rPr>
                <w:rFonts w:ascii="Times New Roman" w:hAnsi="Times New Roman"/>
                <w:color w:val="000000"/>
                <w:sz w:val="13"/>
              </w:rPr>
              <w:t>(1)</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operating income (loss)</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by segment: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Aurora </w:t>
            </w:r>
            <w:r>
              <w:rPr>
                <w:rFonts w:ascii="Times New Roman" w:hAnsi="Times New Roman"/>
                <w:color w:val="000000"/>
                <w:sz w:val="13"/>
              </w:rPr>
              <w:t>(1) (3)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(2)</w:t>
            </w:r>
            <w:r>
              <w:rPr>
                <w:rFonts w:ascii="Times New Roman" w:hAnsi="Times New Roman"/>
                <w:color w:val="000000"/>
                <w:sz w:val="20"/>
              </w:rPr>
              <w:t xml:space="preserve"> </w:t>
            </w:r>
            <w:r>
              <w:rPr>
                <w:rFonts w:ascii="Times New Roman" w:hAnsi="Times New Roman"/>
                <w:color w:val="000000"/>
                <w:sz w:val="13"/>
              </w:rPr>
              <w:t>(3)</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Non-GAAP consolidated adjusted </w:t>
              <w:br/>
              <w:t xml:space="preserve">     EBITDA </w:t>
            </w:r>
            <w:r>
              <w:rPr>
                <w:rFonts w:ascii="Times New Roman" w:hAnsi="Times New Roman"/>
                <w:color w:val="000000"/>
                <w:sz w:val="13"/>
              </w:rPr>
              <w:t>(3)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left"/>
        <w:rPr/>
      </w:pPr>
      <w:r>
        <w:rPr>
          <w:rFonts w:ascii="Times New Roman" w:hAnsi="Times New Roman"/>
          <w:color w:val="000000"/>
          <w:sz w:val="19"/>
        </w:rPr>
        <w:t>Aurora’s results represent our Core financial measures and exclude general corporate costs that were previously allocated to the RUCKUS segment and CCS segment, since these costs were not directly attributable to these discontinued operations</w:t>
      </w:r>
      <w:r>
        <w:rPr>
          <w:rFonts w:ascii="Times New Roman" w:hAnsi="Times New Roman"/>
          <w:color w:val="000000"/>
          <w:sz w:val="20"/>
        </w:rPr>
        <w:t>.</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The corporate and other line item above primarily reflects general corporate costs that were previously allocated to the RUCKUS segment and CCS segment. These indirect expenses have been classified as continuing operations, since the costs were not directly attributable to these discontinued operations. The corporate and other costs related to the CCS segment have been reallocated to our remaining segments and partially offset by income from the Amphenol TSA beginning in the first quarter of 2026. Beginning in the third quarter of 2026, the corporate and other costs related to the RUCKUS segment will be reallocated to our remaining segment and partially offset by income from the Belden TSA.</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(3)</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See “Reconciliation of Non-GAAP Measures” within this Management’s Discussion and Analysis of Financial Condition and Results of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59"/>
        <w:gridCol w:w="246"/>
        <w:gridCol w:w="211"/>
        <w:gridCol w:w="571"/>
        <w:gridCol w:w="166"/>
        <w:gridCol w:w="146"/>
        <w:gridCol w:w="160"/>
        <w:gridCol w:w="627"/>
        <w:gridCol w:w="166"/>
        <w:gridCol w:w="271"/>
        <w:gridCol w:w="146"/>
        <w:gridCol w:w="211"/>
        <w:gridCol w:w="571"/>
        <w:gridCol w:w="166"/>
        <w:gridCol w:w="146"/>
        <w:gridCol w:w="152"/>
        <w:gridCol w:w="601"/>
        <w:gridCol w:w="166"/>
        <w:gridCol w:w="271"/>
        <w:gridCol w:w="146"/>
        <w:gridCol w:w="211"/>
        <w:gridCol w:w="526"/>
        <w:gridCol w:w="166"/>
        <w:gridCol w:w="146"/>
        <w:gridCol w:w="146"/>
        <w:gridCol w:w="526"/>
        <w:gridCol w:w="166"/>
        <w:gridCol w:w="519"/>
      </w:tblGrid>
      <w:tr>
        <w:trPr/>
        <w:tc>
          <w:tcPr>
            <w:tcW w:w="26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1"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5"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by segment: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Aurora </w:t>
            </w:r>
            <w:r>
              <w:rPr>
                <w:rFonts w:ascii="Times New Roman" w:hAnsi="Times New Roman"/>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9"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(2)</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 by segment: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9"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Aurora </w:t>
            </w:r>
            <w:r>
              <w:rPr>
                <w:rFonts w:ascii="Times New Roman" w:hAnsi="Times New Roman"/>
                <w:color w:val="000000"/>
                <w:sz w:val="13"/>
              </w:rPr>
              <w:t>(1)</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operating loss</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by segment: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Aurora </w:t>
            </w:r>
            <w:r>
              <w:rPr>
                <w:rFonts w:ascii="Times New Roman" w:hAnsi="Times New Roman"/>
                <w:color w:val="000000"/>
                <w:sz w:val="13"/>
              </w:rPr>
              <w:t>(1) (3)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9"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(2) (3)</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Non-GAAP consolidated adjusted</w:t>
              <w:br/>
              <w:t xml:space="preserve">   EBITDA </w:t>
            </w:r>
            <w:r>
              <w:rPr>
                <w:rFonts w:ascii="Times New Roman" w:hAnsi="Times New Roman"/>
                <w:color w:val="000000"/>
                <w:sz w:val="13"/>
              </w:rPr>
              <w:t>(3)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left"/>
        <w:rPr/>
      </w:pPr>
      <w:r>
        <w:rPr>
          <w:rFonts w:ascii="Times New Roman" w:hAnsi="Times New Roman"/>
          <w:color w:val="000000"/>
          <w:sz w:val="19"/>
        </w:rPr>
        <w:t>Aurora’s results represent our Core financial measures and exclude general corporate costs that were previously allocated to the RUCKUS segment, CCS segment, OWN segment and DAS business unit, since these costs were not directly attributable to these discontinued operations</w:t>
      </w:r>
      <w:r>
        <w:rPr>
          <w:rFonts w:ascii="Times New Roman" w:hAnsi="Times New Roman"/>
          <w:color w:val="000000"/>
          <w:sz w:val="20"/>
        </w:rPr>
        <w:t>.</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The corporate and other line item above primarily reflects general corporate costs that were previously allocated to the RUCKUS segment, CCS segment,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our remaining segments and partially offset by income from the Amphenol TSA. The corporate and other costs related to the CCS segment have been reallocated to our remaining segments and partially offset by income from the Amphenol TSA beginning in the first quarter of 2026. Beginning in the third quarter of 2026, the corporate and other costs related to the RUCKUS segment will be reallocated to our remaining segment and partially offset by income from the Belden TSA.</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(3)</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See “Reconciliation of Non-GAAP Measures” within this Management’s Discussion and Analysis of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Aurora</w:t>
      </w:r>
    </w:p>
    <w:p>
      <w:pPr>
        <w:pStyle w:val="TextBody"/>
        <w:bidi w:val="0"/>
        <w:spacing w:before="120" w:after="283"/>
        <w:jc w:val="left"/>
        <w:rPr>
          <w:rFonts w:ascii="Times New Roman" w:hAnsi="Times New Roman"/>
          <w:sz w:val="20"/>
        </w:rPr>
      </w:pPr>
      <w:r>
        <w:rPr>
          <w:rFonts w:ascii="Times New Roman" w:hAnsi="Times New Roman"/>
          <w:color w:val="000000"/>
          <w:sz w:val="20"/>
        </w:rPr>
        <w:t>For the three months ended June 30, 2026, net sales decreased in the Aurora segment compared to the prior year period primarily due to unfavorable product mix, lower pricing and lower sales volume. For the six months ended June 30, 2026, net sales increased in the Aurora segment compared to the prior year period primarily due to higher sales volume, partially offset by unfavorable product mix and lower pricing. From a regional perspective, for the three months ended June 30, 2026, Aurora segment net sales decreased in the EMEA region by $4.8 million and Canada by $2.7 million, but increased in the U.S. by $3.5 million, the APAC region by $0.4 million and the CALA region by $0.3 million, compared to the prior year period. For the six months ended June 30, 2026 compared to the prior year period, net sales increased in the U.S. by $86.7 million and the APAC region by $1.6 million, but decreased in Canada by $11.4 million, the CALA region by $6.5 million and the EMEA region by $0.3 million. Foreign exchange rate changes did not have a material impact on our Aurora segment net sales during the three or six months ended June 30, 2026 compared to the prior year periods</w:t>
      </w:r>
      <w:r>
        <w:rPr>
          <w:rFonts w:ascii="Times New Roman" w:hAnsi="Times New Roman"/>
          <w:color w:val="000000"/>
          <w:sz w:val="24"/>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Aurora segment operating income and adjusted EBITDA decreased compared to the prior year periods primarily driven by unfavorable product mix, lower pricing, lower sales volume and higher SG&amp;A, partially offset by lower input costs and lower R&amp;D costs. For the six months ended June 30, 2026, Aurora segment operating income and adjusted EBITDA were also favorably impacted by higher sales volume. For the three and six months ended June 30, 2026, Aurora segment operating income was unfavorably impacted by increases in restructuring costs of $6.4 million and $3.1 million, respectively, and transaction, transformation and integration costs of $3.0 million and $4.8 million, respectively. Aurora segment operating income was favorably impacted by decreases in amortization expense of $2.4 million and $5.8 million, respectively, for the three and six months ended June 30, 2026. Restructuring costs, transaction, transformation and integration costs and amortization expense are not reflected in adjusted EBITDA. See “Reconciliation of Segment Adjusted EBITDA” below.</w:t>
      </w:r>
    </w:p>
    <w:p>
      <w:pPr>
        <w:pStyle w:val="TextBody"/>
        <w:bidi w:val="0"/>
        <w:spacing w:before="360" w:after="283"/>
        <w:jc w:val="left"/>
        <w:rPr>
          <w:rFonts w:ascii="Times New Roman" w:hAnsi="Times New Roman"/>
          <w:b/>
          <w:color w:val="000000"/>
          <w:sz w:val="20"/>
        </w:rPr>
      </w:pPr>
      <w:bookmarkStart w:id="10" w:name="liquidity_capital_resources"/>
      <w:bookmarkEnd w:id="10"/>
      <w:r>
        <w:rPr>
          <w:rFonts w:ascii="Times New Roman" w:hAnsi="Times New Roman"/>
          <w:b/>
          <w:color w:val="000000"/>
          <w:sz w:val="20"/>
        </w:rPr>
        <w:t>LIQUIDITY AND CAPITAL RESOURCES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 summarizes certain key measures of our liquidity and capital resources (in millions, except percentage data):</w:t>
      </w:r>
    </w:p>
    <w:tbl>
      <w:tblPr>
        <w:tblW w:w="9946" w:type="dxa"/>
        <w:jc w:val="left"/>
        <w:tblInd w:w="0" w:type="dxa"/>
        <w:tblLayout w:type="fixed"/>
        <w:tblCellMar>
          <w:top w:w="28" w:type="dxa"/>
          <w:left w:w="28" w:type="dxa"/>
          <w:bottom w:w="28" w:type="dxa"/>
          <w:right w:w="28" w:type="dxa"/>
        </w:tblCellMar>
      </w:tblPr>
      <w:tblGrid>
        <w:gridCol w:w="4456"/>
        <w:gridCol w:w="146"/>
        <w:gridCol w:w="211"/>
        <w:gridCol w:w="721"/>
        <w:gridCol w:w="146"/>
        <w:gridCol w:w="146"/>
        <w:gridCol w:w="258"/>
        <w:gridCol w:w="882"/>
        <w:gridCol w:w="271"/>
        <w:gridCol w:w="146"/>
        <w:gridCol w:w="211"/>
        <w:gridCol w:w="781"/>
        <w:gridCol w:w="166"/>
        <w:gridCol w:w="146"/>
        <w:gridCol w:w="146"/>
        <w:gridCol w:w="631"/>
        <w:gridCol w:w="166"/>
        <w:gridCol w:w="316"/>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and cash equivalents </w:t>
            </w:r>
            <w:r>
              <w:rPr>
                <w:rFonts w:ascii="Times New Roman" w:hAnsi="Times New Roman"/>
                <w:color w:val="000000"/>
                <w:sz w:val="13"/>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Working capital, net of assets and liabilities held for </w:t>
              <w:br/>
              <w:t xml:space="preserve">   sale </w:t>
            </w:r>
            <w:r>
              <w:rPr>
                <w:rFonts w:ascii="Times New Roman" w:hAnsi="Times New Roman"/>
                <w:color w:val="000000"/>
                <w:sz w:val="13"/>
              </w:rPr>
              <w:t xml:space="preserve">(2) </w:t>
            </w:r>
            <w:r>
              <w:rPr>
                <w:rFonts w:ascii="Times New Roman" w:hAnsi="Times New Roman"/>
                <w:color w:val="000000"/>
                <w:sz w:val="20"/>
              </w:rPr>
              <w:t>and excluding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Availability under Revolving Credit Facility </w:t>
            </w:r>
            <w:r>
              <w:rPr>
                <w:rFonts w:ascii="Times New Roman" w:hAnsi="Times New Roman"/>
                <w:color w:val="000000"/>
                <w:sz w:val="13"/>
              </w:rPr>
              <w:t>(3)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Long-term debt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capitalization </w:t>
            </w:r>
            <w:r>
              <w:rPr>
                <w:rFonts w:ascii="Times New Roman" w:hAnsi="Times New Roman"/>
                <w:color w:val="000000"/>
                <w:sz w:val="13"/>
              </w:rPr>
              <w:t>(4)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7,534.8</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as a percentage of total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(1)</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Includes cash and cash equivalents in assets held for sale of $38.0 million as of June 30, 2026 and $309.2 million as of December 31, 2025.</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(2)</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Working capital is net of assets and liabilities held for sale and consists of current assets of $938.3 million less current liabilities of $405.5 million as of June 30, 2026 and current assets of $1,171.6 million less current liabilities of $468.1 million as of December 31, 2025.</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(3)</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 xml:space="preserve">In connection with the sale of the CCS segment on January 9, 2026, on the closing date, we repaid in full all outstanding indebtedness using a portion of the proceeds from the transaction and terminated all outstanding commitments under the prior revolving credit agreement dated as of April 4, 2019. We entered into a new senior secured asset-based revolving credit facility (Revolving Credit Facility) on April 7, 2026.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(4)</w:t>
      </w:r>
    </w:p>
    <w:p>
      <w:pPr>
        <w:pStyle w:val="TextBody"/>
        <w:bidi w:val="0"/>
        <w:jc w:val="left"/>
        <w:rPr>
          <w:rFonts w:ascii="Times New Roman" w:hAnsi="Times New Roman"/>
          <w:color w:val="000000"/>
          <w:sz w:val="19"/>
        </w:rPr>
      </w:pPr>
      <w:r>
        <w:rPr>
          <w:rFonts w:ascii="Times New Roman" w:hAnsi="Times New Roman"/>
          <w:color w:val="000000"/>
          <w:sz w:val="19"/>
        </w:rPr>
        <w:t>Total capitalization includes stockholders’ equity (deficit) for both periods presented, and also includes long-term debt and Series A Convertible Preferred Stock (Convertible Preferred Stock)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sources of liquidity on a short-term basis are cash and cash equivalents and cash flows provided by operations. On a long-term basis, our potential sources of liquidity also include raising capital through the issuance of equity and/or debt. On April 7, 2026, we entered into a revolving credit agreement providing for a Revolving Credit Facility available to the Company and certain of our U.S. subsidiaries designated as co-borrowers therein, in an aggregate principal amount of up to $300.0 million, subject to borrowing base availability. For further discussion of the Revolving Credit Facility, see Note 5 in the Notes to Unaudited Condensed Consolidated Financial Statements included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primary uses of liquidity include working capital requirements, capital expenditures, business separation transaction costs, transformation costs, restructuring costs, litigation settlements, income tax payments, other contractual obligations, and periodic repurchases of our outstanding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believe that our existing cash, cash equivalents and cash flows from operations will be sufficient to meet our presently anticipated future cash needs. However, we may be required to obtain financing in the future to address our liquidity needs, and, subject to market conditions, we may from time to time seek to amend, refinance, restructure, exchange or repurchase our outstanding indebtedness and/or raise equity or other financing. Any debt we incur in the future may have terms (including cash interest rate, financial covenants and covenants limiting our operating flexibility or ability to obtain financings) that are not favorable to us, and any such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or any future amendment, refinancing, restructuring, exchange or repurchases could have a material and adverse effect on our results of operations, cash flows, financial condition and liquidity.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volatility in cash flows between periods due to, among other reasons, variability in the timing of vendor payments and customer receipts. We may, from time to time, seek to obtain alternative sources of financing, by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decreased by $771.2 million during the six months ended June 30, 2026 as described under the Cash Flow Overview section below. In the second quarter of 2026, the Company paid a one-time special cash distribution of approximately $2,316.6 million, funded primarily from proceeds received from the sale of the CCS segment. The distribution included distributions paid on outstanding common shares as well as dividend equivalents associated with certain equity awards that were vested during the quarter and contributed to the decrease in cash and cash equivalents and stockholders' equity during the period. As of June 30, 2026, approximately 42% of our cash and cash equivalents were held outside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Working capital, net of assets and liabilities held for sale and excluding cash and cash equivalents, increased during the six months ended June 30, 2026 compared to the fourth quarter of 2025 primarily due to increases in prepaid expenses and inventory balances and a decrease in accrued and other liabilities, partially offset by increased accounts payable. The net decrease in total capitalization during the six months ended June 30, 2026 is primarily driven by the repayment of debt in connection with the sale of the CCS segment, partially offset by net income reflected for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 Overview</w:t>
      </w:r>
    </w:p>
    <w:tbl>
      <w:tblPr>
        <w:tblW w:w="8707" w:type="dxa"/>
        <w:jc w:val="left"/>
        <w:tblInd w:w="0" w:type="dxa"/>
        <w:tblLayout w:type="fixed"/>
        <w:tblCellMar>
          <w:top w:w="28" w:type="dxa"/>
          <w:left w:w="28" w:type="dxa"/>
          <w:bottom w:w="28" w:type="dxa"/>
          <w:right w:w="28" w:type="dxa"/>
        </w:tblCellMar>
      </w:tblPr>
      <w:tblGrid>
        <w:gridCol w:w="3511"/>
        <w:gridCol w:w="146"/>
        <w:gridCol w:w="211"/>
        <w:gridCol w:w="886"/>
        <w:gridCol w:w="166"/>
        <w:gridCol w:w="146"/>
        <w:gridCol w:w="211"/>
        <w:gridCol w:w="781"/>
        <w:gridCol w:w="166"/>
        <w:gridCol w:w="146"/>
        <w:gridCol w:w="211"/>
        <w:gridCol w:w="781"/>
        <w:gridCol w:w="166"/>
        <w:gridCol w:w="146"/>
        <w:gridCol w:w="146"/>
        <w:gridCol w:w="571"/>
        <w:gridCol w:w="31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Activities</w:t>
      </w:r>
    </w:p>
    <w:tbl>
      <w:tblPr>
        <w:tblW w:w="9419" w:type="dxa"/>
        <w:jc w:val="left"/>
        <w:tblInd w:w="0" w:type="dxa"/>
        <w:tblLayout w:type="fixed"/>
        <w:tblCellMar>
          <w:top w:w="28" w:type="dxa"/>
          <w:left w:w="28" w:type="dxa"/>
          <w:bottom w:w="28" w:type="dxa"/>
          <w:right w:w="28" w:type="dxa"/>
        </w:tblCellMar>
      </w:tblPr>
      <w:tblGrid>
        <w:gridCol w:w="6316"/>
        <w:gridCol w:w="146"/>
        <w:gridCol w:w="211"/>
        <w:gridCol w:w="781"/>
        <w:gridCol w:w="166"/>
        <w:gridCol w:w="146"/>
        <w:gridCol w:w="211"/>
        <w:gridCol w:w="631"/>
        <w:gridCol w:w="81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w:t>
            </w:r>
          </w:p>
        </w:tc>
        <w:tc>
          <w:tcPr>
            <w:tcW w:w="8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81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disposal of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write-off of unamortized DFF and OID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16"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811"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811"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8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increase in net cash used in operating activities compared to the prior year period was primarily driven by a higher use of cash from working capital and higher variable incentive compensation payments and cash taxes paid, partially offset by lower interest in the current year period compared to the prior year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tbl>
      <w:tblPr>
        <w:tblW w:w="7374" w:type="dxa"/>
        <w:jc w:val="left"/>
        <w:tblInd w:w="0" w:type="dxa"/>
        <w:tblLayout w:type="fixed"/>
        <w:tblCellMar>
          <w:top w:w="28" w:type="dxa"/>
          <w:left w:w="28" w:type="dxa"/>
          <w:bottom w:w="28" w:type="dxa"/>
          <w:right w:w="28" w:type="dxa"/>
        </w:tblCellMar>
      </w:tblPr>
      <w:tblGrid>
        <w:gridCol w:w="4536"/>
        <w:gridCol w:w="146"/>
        <w:gridCol w:w="211"/>
        <w:gridCol w:w="826"/>
        <w:gridCol w:w="166"/>
        <w:gridCol w:w="146"/>
        <w:gridCol w:w="211"/>
        <w:gridCol w:w="72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53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proceeds from divestitures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2,041.8</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2,023.7</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increase in cash generated by investing activities compared to the prior year period was primarily driven by net proceeds of $10,541.7 million of net proceeds related to the sale of the CCS segment to Amphenol in the current year period compared to net proceeds of $2,034.5 million related to the sale of the OWN segment and DAS business unit and $7.3 million related to the sale of the OneCell business to Amphenol in the prior year period. The net cash generated by investing activities also benefited from favorable impacts due to decreased capital expenditures of $4.2 million compared to the prior year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tbl>
      <w:tblPr>
        <w:tblW w:w="9189" w:type="dxa"/>
        <w:jc w:val="left"/>
        <w:tblInd w:w="0" w:type="dxa"/>
        <w:tblLayout w:type="fixed"/>
        <w:tblCellMar>
          <w:top w:w="28" w:type="dxa"/>
          <w:left w:w="28" w:type="dxa"/>
          <w:bottom w:w="28" w:type="dxa"/>
          <w:right w:w="28" w:type="dxa"/>
        </w:tblCellMar>
      </w:tblPr>
      <w:tblGrid>
        <w:gridCol w:w="6231"/>
        <w:gridCol w:w="146"/>
        <w:gridCol w:w="211"/>
        <w:gridCol w:w="886"/>
        <w:gridCol w:w="166"/>
        <w:gridCol w:w="146"/>
        <w:gridCol w:w="211"/>
        <w:gridCol w:w="781"/>
        <w:gridCol w:w="4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23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repaid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(2,049.0</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Special dividends paid to common shareholders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paid on 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Proceeds from the issuance of common shares under </w:t>
              <w:br/>
              <w:t>   equity-based compensation plans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withholding payments for vested equity-based compensation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(11,011.5</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w:t>
            </w:r>
          </w:p>
        </w:tc>
        <w:tc>
          <w:tcPr>
            <w:tcW w:w="4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in connection with sale of the CCS segment, we repaid in full all outstanding indebtedness using a portion of the proceeds from the transaction which included repayment of our then-existing 2029 Term Loan in an aggregate outstanding principal amount of $3,150 million and the redemption of all outstanding Notes including (1) $1,000.0 million in outstanding aggregate principal amount of the 2031 Secured Notes, (2) $951.0 million in outstanding aggregate principal amount of the 2029 Secured Notes, (3) $641.6 million in outstanding aggregate principal amount of the 2028 Notes, (4) $866.9 million in outstanding aggregate principal amount of the 8.25% 2027 Notes and (5) $750.0 million in outstanding aggregate principal amount of the 5.00% 2027 Notes. We also recorded a loss of $11.3 million on the extinguishment of debt for the six months ended June 30, 2026. In addition, on the closing date, we paid $1,278.7 million of cash to redeem 100% of the Convertible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we repurchased $299.0 million in aggregate principal amount of our 2029 Secured Notes and repurchased in full the $1,500.0 million outstanding amount of our 2026 Secured Notes. We also borrowed $50.0 million and repaid $250.0 million of outstanding borrowings under our Prior Revolving Credit Facility during the six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we paid approximately $2.6 million of upfront fees and expenses in connection with the new Revolving Credit Facility. In connection with the debt refinancing completed in December 31, 2024, we paid $5.7 million of debt issuance costs during the six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we paid a one-time special cash distribution of approximately $2,316.3 million, which was funded from proceeds generated from the sale of the CCS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we received proceeds of $1.8 million related to the exercise of stock options. In addition, during the six months ended June 30, 2026, employees surrendered shares of our common stock to satisfy their tax withholding requirements on vested restricted stock units (RSUs) and performance share units (PSUs), which reduced cash flows by $43.2 million compared to $10.9 million in the prior year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Reconciliation of Non-GAAP Measures</w:t>
      </w:r>
    </w:p>
    <w:p>
      <w:pPr>
        <w:pStyle w:val="TextBody"/>
        <w:bidi w:val="0"/>
        <w:jc w:val="left"/>
        <w:rPr>
          <w:rFonts w:ascii="Times New Roman" w:hAnsi="Times New Roman"/>
          <w:color w:val="000000"/>
          <w:sz w:val="20"/>
        </w:rPr>
      </w:pPr>
      <w:r>
        <w:rPr>
          <w:rFonts w:ascii="Times New Roman" w:hAnsi="Times New Roman"/>
          <w:color w:val="000000"/>
          <w:sz w:val="20"/>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recurring business. We also use certain of these financial measures for business planning purposes and in measuring our performance relative to that of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believe presenting these non-GAAP results for the twelve months ended June 30, 2026 provides an additional tool for assessing our recent performance. Such amounts are unaudited and are derived by subtracting the data for the six months ended June 30, 2025 from the data for the year ended December 31, 2025 and then adding the data for the six months ended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Consolidated</w:t>
      </w:r>
    </w:p>
    <w:tbl>
      <w:tblPr>
        <w:tblW w:w="10205" w:type="dxa"/>
        <w:jc w:val="left"/>
        <w:tblInd w:w="0" w:type="dxa"/>
        <w:tblLayout w:type="fixed"/>
        <w:tblCellMar>
          <w:top w:w="28" w:type="dxa"/>
          <w:left w:w="28" w:type="dxa"/>
          <w:bottom w:w="28" w:type="dxa"/>
          <w:right w:w="28" w:type="dxa"/>
        </w:tblCellMar>
      </w:tblPr>
      <w:tblGrid>
        <w:gridCol w:w="3022"/>
        <w:gridCol w:w="246"/>
        <w:gridCol w:w="211"/>
        <w:gridCol w:w="526"/>
        <w:gridCol w:w="166"/>
        <w:gridCol w:w="146"/>
        <w:gridCol w:w="211"/>
        <w:gridCol w:w="466"/>
        <w:gridCol w:w="166"/>
        <w:gridCol w:w="146"/>
        <w:gridCol w:w="211"/>
        <w:gridCol w:w="526"/>
        <w:gridCol w:w="166"/>
        <w:gridCol w:w="146"/>
        <w:gridCol w:w="211"/>
        <w:gridCol w:w="631"/>
        <w:gridCol w:w="166"/>
        <w:gridCol w:w="146"/>
        <w:gridCol w:w="245"/>
        <w:gridCol w:w="735"/>
        <w:gridCol w:w="166"/>
        <w:gridCol w:w="146"/>
        <w:gridCol w:w="272"/>
        <w:gridCol w:w="738"/>
        <w:gridCol w:w="394"/>
      </w:tblGrid>
      <w:tr>
        <w:trPr/>
        <w:tc>
          <w:tcPr>
            <w:tcW w:w="30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(loss) from continuing operations</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266.2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(29.5</w:t>
            </w:r>
          </w:p>
        </w:tc>
        <w:tc>
          <w:tcPr>
            <w:tcW w:w="3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expense (benefit)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Interest income</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(35.4</w:t>
            </w:r>
          </w:p>
        </w:tc>
        <w:tc>
          <w:tcPr>
            <w:tcW w:w="3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Other (income) expense, net</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3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Operating income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02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Adjustments: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Amortization of purchased intangible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Restructuring costs, net</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w:t>
            </w:r>
          </w:p>
        </w:tc>
        <w:tc>
          <w:tcPr>
            <w:tcW w:w="394"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9"/>
              </w:rPr>
            </w:pPr>
            <w:r>
              <w:rPr>
                <w:rFonts w:ascii="Times New Roman" w:hAnsi="Times New Roman"/>
                <w:color w:val="000000"/>
                <w:sz w:val="19"/>
              </w:rPr>
              <w:t xml:space="preserve">Transaction, transformation and integration costs </w:t>
            </w:r>
            <w:r>
              <w:rPr>
                <w:rFonts w:ascii="Times New Roman" w:hAnsi="Times New Roman"/>
                <w:color w:val="000000"/>
                <w:sz w:val="13"/>
              </w:rPr>
              <w:t>(1)</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w:t>
            </w:r>
          </w:p>
        </w:tc>
        <w:tc>
          <w:tcPr>
            <w:tcW w:w="394"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Depreciation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9"/>
              </w:rPr>
            </w:pPr>
            <w:r>
              <w:rPr>
                <w:rFonts w:ascii="Times New Roman" w:hAnsi="Times New Roman"/>
                <w:color w:val="000000"/>
                <w:sz w:val="19"/>
              </w:rPr>
              <w:t xml:space="preserve">Other </w:t>
            </w:r>
            <w:r>
              <w:rPr>
                <w:rFonts w:ascii="Times New Roman" w:hAnsi="Times New Roman"/>
                <w:color w:val="000000"/>
                <w:sz w:val="13"/>
              </w:rPr>
              <w:t>(2)</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w:t>
            </w:r>
          </w:p>
        </w:tc>
        <w:tc>
          <w:tcPr>
            <w:tcW w:w="3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Non-GAAP adjusted EBITDA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In 2026 and 2025, primarily reflects transaction costs related to our transformation initiative that began in 2021.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In 2025, reflects a pretax loss of $4.9 million related to the sale of our OneCell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Reconciliation of Segment Adjusted EBITDA</w:t>
      </w:r>
    </w:p>
    <w:p>
      <w:pPr>
        <w:pStyle w:val="TextBody"/>
        <w:bidi w:val="0"/>
        <w:jc w:val="left"/>
        <w:rPr>
          <w:rFonts w:ascii="Times New Roman" w:hAnsi="Times New Roman"/>
          <w:color w:val="000000"/>
          <w:sz w:val="20"/>
        </w:rPr>
      </w:pPr>
      <w:r>
        <w:rPr>
          <w:rFonts w:ascii="Times New Roman" w:hAnsi="Times New Roman"/>
          <w:color w:val="000000"/>
          <w:sz w:val="20"/>
        </w:rPr>
        <w:t>Segment adjusted EBITDA is provided as a performance measure in Note 6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income in Note 6.</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Aurora</w:t>
      </w:r>
    </w:p>
    <w:tbl>
      <w:tblPr>
        <w:tblW w:w="8524" w:type="dxa"/>
        <w:jc w:val="left"/>
        <w:tblInd w:w="0" w:type="dxa"/>
        <w:tblLayout w:type="fixed"/>
        <w:tblCellMar>
          <w:top w:w="28" w:type="dxa"/>
          <w:left w:w="28" w:type="dxa"/>
          <w:bottom w:w="28" w:type="dxa"/>
          <w:right w:w="28" w:type="dxa"/>
        </w:tblCellMar>
      </w:tblPr>
      <w:tblGrid>
        <w:gridCol w:w="4196"/>
        <w:gridCol w:w="246"/>
        <w:gridCol w:w="211"/>
        <w:gridCol w:w="467"/>
        <w:gridCol w:w="146"/>
        <w:gridCol w:w="146"/>
        <w:gridCol w:w="211"/>
        <w:gridCol w:w="467"/>
        <w:gridCol w:w="146"/>
        <w:gridCol w:w="146"/>
        <w:gridCol w:w="211"/>
        <w:gridCol w:w="466"/>
        <w:gridCol w:w="146"/>
        <w:gridCol w:w="146"/>
        <w:gridCol w:w="211"/>
        <w:gridCol w:w="571"/>
        <w:gridCol w:w="39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00"/>
        <w:jc w:val="left"/>
        <w:rPr>
          <w:rFonts w:ascii="Times New Roman" w:hAnsi="Times New Roman"/>
          <w:color w:val="000000"/>
          <w:sz w:val="19"/>
        </w:rPr>
      </w:pPr>
      <w:r>
        <w:rPr>
          <w:rFonts w:ascii="Times New Roman" w:hAnsi="Times New Roman"/>
          <w:color w:val="000000"/>
          <w:sz w:val="19"/>
        </w:rPr>
        <w:t>Note: Components may not sum to total due to rounding.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forward-looking statements are subject to various risks and uncertainties, many of which are outside our control, including, without limitation,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components, including memory chips, and the potential effect on customer pricing and timing of delivery of products to customers; risks related to our ability to implement price increases on our products and services; risks associated with our dependence on a limited number of key suppliers for certain components; risks related to the successful execution of our initiatives related to stranded costs reductions; potential difficulties in realigning manufacturing capacity and capabilities between our manufacturing facility and facilities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our ability to incur indebtedness at acceptable interest rates or at all; our ability to generate cash to service any future indebtedness; our ability to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 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geopolitical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U.S. affecting trade, including the risk and uncertainty related to tariffs or potential trade wars and potential changes to laws and policies, that may impact our products and costs;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factors are discussed in greater detail under the heading "Risk Factors" and "Management's Discussion and Analysis of Financial Condition and Results of Operations" in our 2025 Annual Report on Form 10-K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Quarterly Report on Form 10-Q, except to the extent required by law.</w:t>
      </w:r>
    </w:p>
    <w:p>
      <w:pPr>
        <w:pStyle w:val="TextBody"/>
        <w:bidi w:val="0"/>
        <w:spacing w:before="360" w:after="283"/>
        <w:jc w:val="left"/>
        <w:rPr>
          <w:rFonts w:ascii="Times New Roman" w:hAnsi="Times New Roman"/>
          <w:b/>
          <w:color w:val="000000"/>
          <w:sz w:val="20"/>
        </w:rPr>
      </w:pPr>
      <w:bookmarkStart w:id="11" w:name="item_3_quantitative_qualitative_discl"/>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interest rate risk, commodity price risk or foreign currency exchange rate risk information previously reported under Item 7A of our 2025 Annual Report, as filed with the Securities and Exchange Commission on February 26,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should be made to our 2025 Annual Report for additional information regarding discussion of the effectiveness of the Company’s controls and procedures. 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3" w:name="part_iior_information"/>
      <w:bookmarkEnd w:id="13"/>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is subject to various federal, state, local and foreign laws and regulations governing the use, discharge, disposal and remediation of hazardous materials. Compliance with current laws and regulations has not had, and is not expected to have, a material adverse effect on the Company’s financial condition or results of operations.</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212529"/>
          <w:sz w:val="20"/>
        </w:rPr>
        <w:t>.</w:t>
      </w:r>
    </w:p>
    <w:p>
      <w:pPr>
        <w:pStyle w:val="TextBody"/>
        <w:bidi w:val="0"/>
        <w:spacing w:before="120" w:after="160"/>
        <w:jc w:val="left"/>
        <w:rPr>
          <w:rFonts w:ascii="Times New Roman" w:hAnsi="Times New Roman"/>
          <w:color w:val="212529"/>
          <w:sz w:val="20"/>
        </w:rPr>
      </w:pPr>
      <w:r>
        <w:rPr>
          <w:rFonts w:ascii="Times New Roman" w:hAnsi="Times New Roman"/>
          <w:color w:val="212529"/>
          <w:sz w:val="20"/>
        </w:rPr>
        <w:t>The Company’s business, financial condition, results of operations and cash flows are subject to various risks which could cause actual results to vary from recent results or from anticipated future results. There have been no material changes to the risk factors disclosed in Part I – Item 1A, Risk Factors of our 2025 Annual Report.</w:t>
      </w:r>
    </w:p>
    <w:p>
      <w:pPr>
        <w:pStyle w:val="TextBody"/>
        <w:bidi w:val="0"/>
        <w:spacing w:before="20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29, 2026, the Company’s board of directors approved a new share repurchase program, replacing the previous program, authorizing, but not obligating the repurchase of up to an aggregate of $100.0 million of the Company’s outstanding common stock. Repurchases under the stock repurchase programs may be made at management’s discretion from time to time on the open market, in privately negotiated transactions or otherwise, in each case subject to compliance with all Securities and Exchange Commission rules and other legal requirements and may be made in part under one or more Rule 10b5-1 and Rule 10b-18 plans, which permit stock repurchases at times when we might otherwise be precluded from doing so. The method, timing and amount of shares repurchased under the repurchase program will depend on several factors, including capital and liquidity requirements, market conditions and alternative uses for cash. The repurchase program does not have a set expiration date, but may be modified, suspended or discontinued at any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stock purchase activity for the three months ended June 30, 2026:</w:t>
      </w:r>
    </w:p>
    <w:tbl>
      <w:tblPr>
        <w:tblW w:w="10205" w:type="dxa"/>
        <w:jc w:val="left"/>
        <w:tblInd w:w="0" w:type="dxa"/>
        <w:tblLayout w:type="fixed"/>
        <w:tblCellMar>
          <w:top w:w="28" w:type="dxa"/>
          <w:left w:w="28" w:type="dxa"/>
          <w:bottom w:w="28" w:type="dxa"/>
          <w:right w:w="28" w:type="dxa"/>
        </w:tblCellMar>
      </w:tblPr>
      <w:tblGrid>
        <w:gridCol w:w="1316"/>
        <w:gridCol w:w="146"/>
        <w:gridCol w:w="150"/>
        <w:gridCol w:w="958"/>
        <w:gridCol w:w="146"/>
        <w:gridCol w:w="146"/>
        <w:gridCol w:w="221"/>
        <w:gridCol w:w="599"/>
        <w:gridCol w:w="146"/>
        <w:gridCol w:w="146"/>
        <w:gridCol w:w="804"/>
        <w:gridCol w:w="1915"/>
        <w:gridCol w:w="146"/>
        <w:gridCol w:w="146"/>
        <w:gridCol w:w="465"/>
        <w:gridCol w:w="2519"/>
        <w:gridCol w:w="236"/>
      </w:tblGrid>
      <w:tr>
        <w:trPr/>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6"/>
              </w:rPr>
              <w:t xml:space="preserve">Total Number </w:t>
              <w:br/>
              <w:t xml:space="preserve">of Shares </w:t>
              <w:br/>
              <w:t>Purchased</w:t>
            </w:r>
            <w:r>
              <w:rPr>
                <w:rFonts w:ascii="Times New Roman" w:hAnsi="Times New Roman"/>
                <w:color w:val="000000"/>
                <w:sz w:val="18"/>
              </w:rPr>
              <w:t xml:space="preserve">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w:t>
              <w:br/>
              <w:t xml:space="preserve">Price Paid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Value of Shares that May Yet be Purchased Under the Plans or Programs</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 April 30,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June 30,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1,810,231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1,847,461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shares purchased were withheld to satisfy the withholding tax obligations related to RSUs and PSUs that vested during the period.</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Our officers and directors did not enter into, modify or terminate any Rule 10b5-1 trading arrangements or non-Rule 10b5-1 trading arrangements (each as defined in Item 408(c) of Regulation S-K) during the quarter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579"/>
        <w:gridCol w:w="9626"/>
      </w:tblGrid>
      <w:tr>
        <w:trPr/>
        <w:tc>
          <w:tcPr>
            <w:tcW w:w="579" w:type="dxa"/>
            <w:tcBorders/>
            <w:vAlign w:val="center"/>
          </w:tcPr>
          <w:p>
            <w:pPr>
              <w:pStyle w:val="TableContents"/>
              <w:bidi w:val="0"/>
              <w:spacing w:before="0" w:after="283"/>
              <w:jc w:val="left"/>
              <w:rPr>
                <w:sz w:val="4"/>
                <w:szCs w:val="4"/>
              </w:rPr>
            </w:pPr>
            <w:r>
              <w:rPr>
                <w:sz w:val="4"/>
                <w:szCs w:val="4"/>
              </w:rPr>
            </w:r>
          </w:p>
        </w:tc>
        <w:tc>
          <w:tcPr>
            <w:tcW w:w="9626" w:type="dxa"/>
            <w:tcBorders/>
            <w:vAlign w:val="center"/>
          </w:tcPr>
          <w:p>
            <w:pPr>
              <w:pStyle w:val="TableContents"/>
              <w:bidi w:val="0"/>
              <w:spacing w:before="0" w:after="283"/>
              <w:jc w:val="left"/>
              <w:rPr>
                <w:sz w:val="4"/>
                <w:szCs w:val="4"/>
              </w:rPr>
            </w:pPr>
            <w:r>
              <w:rPr>
                <w:sz w:val="4"/>
                <w:szCs w:val="4"/>
              </w:rPr>
            </w:r>
          </w:p>
        </w:tc>
      </w:tr>
      <w:tr>
        <w:trPr/>
        <w:tc>
          <w:tcPr>
            <w:tcW w:w="57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2.1*</w:t>
            </w:r>
          </w:p>
        </w:tc>
        <w:tc>
          <w:tcPr>
            <w:tcW w:w="9626" w:type="dxa"/>
            <w:tcBorders/>
            <w:tcMar>
              <w:top w:w="0" w:type="dxa"/>
              <w:left w:w="0" w:type="dxa"/>
              <w:bottom w:w="0" w:type="dxa"/>
              <w:right w:w="0" w:type="dxa"/>
            </w:tcMar>
            <w:vAlign w:val="center"/>
          </w:tcPr>
          <w:p>
            <w:pPr>
              <w:pStyle w:val="TableContents"/>
              <w:bidi w:val="0"/>
              <w:spacing w:before="100" w:after="283"/>
              <w:jc w:val="left"/>
              <w:rPr/>
            </w:pPr>
            <w:hyperlink r:id="rId2">
              <w:r>
                <w:rPr>
                  <w:rStyle w:val="InternetLink"/>
                  <w:rFonts w:ascii="Times New Roman" w:hAnsi="Times New Roman"/>
                  <w:color w:val="0000FF"/>
                  <w:sz w:val="20"/>
                  <w:u w:val="single"/>
                </w:rPr>
                <w:t>Purchase Agreement, dated April 29, 2026, by and between Vistance Networks, Inc. and Belden Inc. (Incorporated by reference to Exhibit 2.1 to Registrant’s Current Report on Form 8-K (File No. 001-36146), filed with the SEC on May 5, 2026).</w:t>
              </w:r>
            </w:hyperlink>
          </w:p>
        </w:tc>
      </w:tr>
      <w:tr>
        <w:trPr/>
        <w:tc>
          <w:tcPr>
            <w:tcW w:w="57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w:t>
            </w:r>
          </w:p>
        </w:tc>
        <w:tc>
          <w:tcPr>
            <w:tcW w:w="9626" w:type="dxa"/>
            <w:tcBorders/>
            <w:tcMar>
              <w:top w:w="0" w:type="dxa"/>
              <w:left w:w="0" w:type="dxa"/>
              <w:bottom w:w="0" w:type="dxa"/>
              <w:right w:w="0" w:type="dxa"/>
            </w:tcMar>
            <w:vAlign w:val="center"/>
          </w:tcPr>
          <w:p>
            <w:pPr>
              <w:pStyle w:val="TableContents"/>
              <w:bidi w:val="0"/>
              <w:spacing w:before="100" w:after="283"/>
              <w:jc w:val="left"/>
              <w:rPr/>
            </w:pPr>
            <w:hyperlink r:id="rId3">
              <w:r>
                <w:rPr>
                  <w:rStyle w:val="InternetLink"/>
                  <w:rFonts w:ascii="Times New Roman" w:hAnsi="Times New Roman"/>
                  <w:color w:val="0000FF"/>
                  <w:sz w:val="20"/>
                  <w:u w:val="single"/>
                </w:rPr>
                <w:t>Revolving Credit Agreement, dated as of April 7, 2026, by and among Vistance Networks Holdings, LLC, as a borrower, certain the subsidiaries of Vistance Networks Holdings, LLC, as co-borrowers Vistance Networks, Inc., as holdings, the lenders party thereto, and Citibank, N.A., as administrative agent and collateral agent (Incorporated by reference to Exhibit 10.1 to the Company’s Current Report on Form 8-K, filed with the SEC on April 8, 2026).</w:t>
              </w:r>
            </w:hyperlink>
          </w:p>
        </w:tc>
      </w:tr>
      <w:tr>
        <w:trPr/>
        <w:tc>
          <w:tcPr>
            <w:tcW w:w="57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10.2**</w:t>
            </w:r>
          </w:p>
        </w:tc>
        <w:tc>
          <w:tcPr>
            <w:tcW w:w="9626" w:type="dxa"/>
            <w:tcBorders/>
            <w:tcMar>
              <w:top w:w="0" w:type="dxa"/>
              <w:left w:w="0" w:type="dxa"/>
              <w:bottom w:w="0" w:type="dxa"/>
              <w:right w:w="0" w:type="dxa"/>
            </w:tcMar>
            <w:vAlign w:val="center"/>
          </w:tcPr>
          <w:p>
            <w:pPr>
              <w:pStyle w:val="TableContents"/>
              <w:bidi w:val="0"/>
              <w:spacing w:before="100" w:after="283"/>
              <w:jc w:val="left"/>
              <w:rPr/>
            </w:pPr>
            <w:hyperlink w:anchor="visn-ex10_2.htm">
              <w:r>
                <w:rPr>
                  <w:rStyle w:val="InternetLink"/>
                  <w:rFonts w:ascii="Times New Roman" w:hAnsi="Times New Roman"/>
                  <w:color w:val="0000FF"/>
                  <w:sz w:val="20"/>
                  <w:u w:val="single"/>
                </w:rPr>
                <w:t>Success Bonus Agreement, dated May 14, 2026, between Vistance Networks Holdings, LLC and Bartolomeo Giordano.</w:t>
              </w:r>
            </w:hyperlink>
            <w:r>
              <w:rPr>
                <w:rFonts w:ascii="Times New Roman" w:hAnsi="Times New Roman"/>
                <w:color w:val="000000"/>
                <w:sz w:val="20"/>
              </w:rPr>
              <w:t>***</w:t>
            </w:r>
          </w:p>
        </w:tc>
      </w:tr>
      <w:tr>
        <w:trPr/>
        <w:tc>
          <w:tcPr>
            <w:tcW w:w="57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w:t>
            </w:r>
          </w:p>
        </w:tc>
        <w:tc>
          <w:tcPr>
            <w:tcW w:w="9626" w:type="dxa"/>
            <w:tcBorders/>
            <w:tcMar>
              <w:top w:w="0" w:type="dxa"/>
              <w:left w:w="0" w:type="dxa"/>
              <w:bottom w:w="0" w:type="dxa"/>
              <w:right w:w="0" w:type="dxa"/>
            </w:tcMar>
            <w:vAlign w:val="center"/>
          </w:tcPr>
          <w:p>
            <w:pPr>
              <w:pStyle w:val="TableContents"/>
              <w:bidi w:val="0"/>
              <w:spacing w:before="100" w:after="283"/>
              <w:jc w:val="left"/>
              <w:rPr/>
            </w:pPr>
            <w:hyperlink r:id="rId4">
              <w:r>
                <w:rPr>
                  <w:rStyle w:val="InternetLink"/>
                  <w:rFonts w:ascii="Times New Roman" w:hAnsi="Times New Roman"/>
                  <w:color w:val="0000FF"/>
                  <w:sz w:val="20"/>
                  <w:u w:val="single"/>
                </w:rPr>
                <w:t>Vistance Networks, Inc. Amended and Restated 2019 Long-Term Incentive Plan (Incorporated by reference to Appendix B of the Registrant’s Proxy on Form DEF 14A (File No. 001-36146), filed with the SEC on March 23, 2026).</w:t>
              </w:r>
            </w:hyperlink>
            <w:r>
              <w:rPr>
                <w:rFonts w:ascii="Times New Roman" w:hAnsi="Times New Roman"/>
                <w:color w:val="000000"/>
                <w:sz w:val="20"/>
              </w:rPr>
              <w:t>***</w:t>
            </w:r>
          </w:p>
        </w:tc>
      </w:tr>
      <w:tr>
        <w:trPr/>
        <w:tc>
          <w:tcPr>
            <w:tcW w:w="57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31.1 **</w:t>
            </w:r>
          </w:p>
        </w:tc>
        <w:tc>
          <w:tcPr>
            <w:tcW w:w="9626" w:type="dxa"/>
            <w:tcBorders/>
            <w:tcMar>
              <w:top w:w="0" w:type="dxa"/>
              <w:left w:w="0" w:type="dxa"/>
              <w:bottom w:w="0" w:type="dxa"/>
              <w:right w:w="0" w:type="dxa"/>
            </w:tcMar>
            <w:vAlign w:val="center"/>
          </w:tcPr>
          <w:p>
            <w:pPr>
              <w:pStyle w:val="TableContents"/>
              <w:bidi w:val="0"/>
              <w:spacing w:before="100" w:after="283"/>
              <w:jc w:val="left"/>
              <w:rPr/>
            </w:pPr>
            <w:hyperlink w:anchor="visn-ex31_1.htm">
              <w:r>
                <w:rPr>
                  <w:rStyle w:val="InternetLink"/>
                  <w:rFonts w:ascii="Times New Roman" w:hAnsi="Times New Roman"/>
                  <w:color w:val="0000FF"/>
                  <w:sz w:val="20"/>
                  <w:u w:val="single"/>
                </w:rPr>
                <w:t>Certification of Principal Executive Officer pursuant to Rule 13a-14(a).</w:t>
              </w:r>
            </w:hyperlink>
          </w:p>
        </w:tc>
      </w:tr>
      <w:tr>
        <w:trPr/>
        <w:tc>
          <w:tcPr>
            <w:tcW w:w="57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31.2 **</w:t>
            </w:r>
          </w:p>
        </w:tc>
        <w:tc>
          <w:tcPr>
            <w:tcW w:w="9626" w:type="dxa"/>
            <w:tcBorders/>
            <w:tcMar>
              <w:top w:w="0" w:type="dxa"/>
              <w:left w:w="0" w:type="dxa"/>
              <w:bottom w:w="0" w:type="dxa"/>
              <w:right w:w="0" w:type="dxa"/>
            </w:tcMar>
            <w:vAlign w:val="center"/>
          </w:tcPr>
          <w:p>
            <w:pPr>
              <w:pStyle w:val="TableContents"/>
              <w:bidi w:val="0"/>
              <w:spacing w:before="100" w:after="283"/>
              <w:jc w:val="left"/>
              <w:rPr/>
            </w:pPr>
            <w:hyperlink w:anchor="visn-ex31_2.htm">
              <w:r>
                <w:rPr>
                  <w:rStyle w:val="InternetLink"/>
                  <w:rFonts w:ascii="Times New Roman" w:hAnsi="Times New Roman"/>
                  <w:color w:val="0000FF"/>
                  <w:sz w:val="20"/>
                  <w:u w:val="single"/>
                </w:rPr>
                <w:t>Certification of Principal Financial Officer pursuant to Rule 13a-14(a).</w:t>
              </w:r>
            </w:hyperlink>
          </w:p>
        </w:tc>
      </w:tr>
      <w:tr>
        <w:trPr/>
        <w:tc>
          <w:tcPr>
            <w:tcW w:w="57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32.1 **</w:t>
            </w:r>
          </w:p>
        </w:tc>
        <w:tc>
          <w:tcPr>
            <w:tcW w:w="9626" w:type="dxa"/>
            <w:tcBorders/>
            <w:tcMar>
              <w:top w:w="0" w:type="dxa"/>
              <w:left w:w="0" w:type="dxa"/>
              <w:bottom w:w="0" w:type="dxa"/>
              <w:right w:w="0" w:type="dxa"/>
            </w:tcMar>
            <w:vAlign w:val="center"/>
          </w:tcPr>
          <w:p>
            <w:pPr>
              <w:pStyle w:val="TableContents"/>
              <w:bidi w:val="0"/>
              <w:spacing w:before="100" w:after="283"/>
              <w:jc w:val="left"/>
              <w:rPr/>
            </w:pPr>
            <w:hyperlink w:anchor="visn-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 (furnished pursuant to Item 601(b)(32)(ii) of Regulation S-K).</w:t>
              </w:r>
            </w:hyperlink>
          </w:p>
        </w:tc>
      </w:tr>
      <w:tr>
        <w:trPr/>
        <w:tc>
          <w:tcPr>
            <w:tcW w:w="57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101.INS</w:t>
            </w:r>
          </w:p>
        </w:tc>
        <w:tc>
          <w:tcPr>
            <w:tcW w:w="962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57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101.SCH</w:t>
            </w:r>
          </w:p>
        </w:tc>
        <w:tc>
          <w:tcPr>
            <w:tcW w:w="962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Inline XBRL Schema Document, furnished herewith.</w:t>
            </w:r>
          </w:p>
        </w:tc>
      </w:tr>
      <w:tr>
        <w:trPr/>
        <w:tc>
          <w:tcPr>
            <w:tcW w:w="57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104</w:t>
            </w:r>
          </w:p>
        </w:tc>
        <w:tc>
          <w:tcPr>
            <w:tcW w:w="962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579" w:type="dxa"/>
            <w:tcBorders/>
            <w:tcMar>
              <w:top w:w="0" w:type="dxa"/>
              <w:left w:w="0" w:type="dxa"/>
              <w:bottom w:w="0" w:type="dxa"/>
              <w:right w:w="0" w:type="dxa"/>
            </w:tcMar>
            <w:vAlign w:val="center"/>
          </w:tcPr>
          <w:p>
            <w:pPr>
              <w:pStyle w:val="TableContents"/>
              <w:bidi w:val="0"/>
              <w:spacing w:before="100" w:after="283"/>
              <w:jc w:val="right"/>
              <w:rPr/>
            </w:pPr>
            <w:r>
              <w:rPr/>
              <w:t> </w:t>
            </w:r>
          </w:p>
        </w:tc>
        <w:tc>
          <w:tcPr>
            <w:tcW w:w="9626" w:type="dxa"/>
            <w:tcBorders/>
            <w:tcMar>
              <w:top w:w="0" w:type="dxa"/>
              <w:left w:w="0" w:type="dxa"/>
              <w:bottom w:w="0" w:type="dxa"/>
              <w:right w:w="0" w:type="dxa"/>
            </w:tcMar>
            <w:vAlign w:val="center"/>
          </w:tcPr>
          <w:p>
            <w:pPr>
              <w:pStyle w:val="TableContents"/>
              <w:bidi w:val="0"/>
              <w:spacing w:before="100" w:after="283"/>
              <w:jc w:val="left"/>
              <w:rPr/>
            </w:pPr>
            <w:r>
              <w:rPr/>
              <w:t> </w:t>
            </w:r>
          </w:p>
        </w:tc>
      </w:tr>
      <w:tr>
        <w:trPr/>
        <w:tc>
          <w:tcPr>
            <w:tcW w:w="579"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0"/>
              </w:rPr>
            </w:pPr>
            <w:r>
              <w:rPr>
                <w:rFonts w:ascii="Times New Roman" w:hAnsi="Times New Roman"/>
                <w:color w:val="000000"/>
                <w:sz w:val="20"/>
              </w:rPr>
              <w:t>*</w:t>
            </w:r>
          </w:p>
        </w:tc>
        <w:tc>
          <w:tcPr>
            <w:tcW w:w="962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Previously filed.</w:t>
            </w:r>
          </w:p>
        </w:tc>
      </w:tr>
      <w:tr>
        <w:trPr/>
        <w:tc>
          <w:tcPr>
            <w:tcW w:w="579"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0"/>
              </w:rPr>
            </w:pPr>
            <w:r>
              <w:rPr>
                <w:rFonts w:ascii="Times New Roman" w:hAnsi="Times New Roman"/>
                <w:color w:val="000000"/>
                <w:sz w:val="20"/>
              </w:rPr>
              <w:t>**</w:t>
            </w:r>
          </w:p>
        </w:tc>
        <w:tc>
          <w:tcPr>
            <w:tcW w:w="962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Filed herewith.</w:t>
            </w:r>
          </w:p>
        </w:tc>
      </w:tr>
      <w:tr>
        <w:trPr/>
        <w:tc>
          <w:tcPr>
            <w:tcW w:w="57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62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Management contract or compensatory plan or arrangement.</w:t>
            </w:r>
          </w:p>
        </w:tc>
      </w:tr>
    </w:tbl>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120" w:after="283"/>
        <w:jc w:val="left"/>
        <w:rPr>
          <w:rFonts w:ascii="Times New Roman" w:hAnsi="Times New Roman"/>
          <w:b/>
          <w:color w:val="000000"/>
          <w:sz w:val="20"/>
        </w:rPr>
      </w:pPr>
      <w:bookmarkStart w:id="21" w:name="signature"/>
      <w:bookmarkStart w:id="22" w:name="signatures"/>
      <w:bookmarkEnd w:id="21"/>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67" w:type="dxa"/>
        <w:jc w:val="left"/>
        <w:tblInd w:w="0" w:type="dxa"/>
        <w:tblLayout w:type="fixed"/>
        <w:tblCellMar>
          <w:top w:w="28" w:type="dxa"/>
          <w:left w:w="28" w:type="dxa"/>
          <w:bottom w:w="28" w:type="dxa"/>
          <w:right w:w="28" w:type="dxa"/>
        </w:tblCellMar>
      </w:tblPr>
      <w:tblGrid>
        <w:gridCol w:w="1366"/>
        <w:gridCol w:w="4801"/>
      </w:tblGrid>
      <w:tr>
        <w:trPr/>
        <w:tc>
          <w:tcPr>
            <w:tcW w:w="136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VISTANCE NETWORKS, INC.</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4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and Chief Financial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duly authorized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visn-ex10_2.htm"/>
      <w:bookmarkStart w:id="24" w:name="ksvisnex10_2"/>
      <w:bookmarkEnd w:id="23"/>
      <w:bookmarkEnd w:id="24"/>
      <w:r>
        <w:rPr>
          <w:rFonts w:ascii="Times New Roman" w:hAnsi="Times New Roman"/>
          <w:b/>
          <w:color w:val="000000"/>
          <w:sz w:val="24"/>
        </w:rPr>
        <w:t>Exhibit 10.2</w:t>
      </w:r>
      <w:r>
        <w:br w:type="page"/>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SUCCESS BONUS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SUCCESS BONUS AGREEMENT (the “</w:t>
      </w:r>
      <w:r>
        <w:rPr>
          <w:rFonts w:ascii="Times New Roman" w:hAnsi="Times New Roman"/>
          <w:i/>
          <w:color w:val="000000"/>
          <w:sz w:val="24"/>
        </w:rPr>
        <w:t>Agreement</w:t>
      </w:r>
      <w:r>
        <w:rPr>
          <w:rFonts w:ascii="Times New Roman" w:hAnsi="Times New Roman"/>
          <w:color w:val="000000"/>
          <w:sz w:val="20"/>
        </w:rPr>
        <w:t>”</w:t>
      </w:r>
      <w:r>
        <w:rPr>
          <w:rFonts w:ascii="Times New Roman" w:hAnsi="Times New Roman"/>
          <w:color w:val="000000"/>
          <w:sz w:val="24"/>
        </w:rPr>
        <w:t>) is made and entered into this May 14, 2026, by and between Vistance Networks Holdings, LLC (the “</w:t>
      </w:r>
      <w:r>
        <w:rPr>
          <w:rFonts w:ascii="Times New Roman" w:hAnsi="Times New Roman"/>
          <w:i/>
          <w:color w:val="000000"/>
          <w:sz w:val="24"/>
        </w:rPr>
        <w:t>Company</w:t>
      </w:r>
      <w:r>
        <w:rPr>
          <w:rFonts w:ascii="Times New Roman" w:hAnsi="Times New Roman"/>
          <w:color w:val="000000"/>
          <w:sz w:val="20"/>
        </w:rPr>
        <w:t>”</w:t>
      </w:r>
      <w:r>
        <w:rPr>
          <w:rFonts w:ascii="Times New Roman" w:hAnsi="Times New Roman"/>
          <w:color w:val="000000"/>
          <w:sz w:val="24"/>
        </w:rPr>
        <w:t>), and Bartolomeo Giordano (“</w:t>
      </w:r>
      <w:r>
        <w:rPr>
          <w:rFonts w:ascii="Times New Roman" w:hAnsi="Times New Roman"/>
          <w:i/>
          <w:color w:val="000000"/>
          <w:sz w:val="24"/>
        </w:rPr>
        <w:t>Employee</w:t>
      </w:r>
      <w:r>
        <w:rPr>
          <w:rFonts w:ascii="Times New Roman" w:hAnsi="Times New Roman"/>
          <w:color w:val="000000"/>
          <w:sz w:val="20"/>
        </w:rPr>
        <w:t>”</w:t>
      </w:r>
      <w:r>
        <w:rPr>
          <w:rFonts w:ascii="Times New Roman" w:hAnsi="Times New Roman"/>
          <w:color w:val="000000"/>
          <w:sz w:val="24"/>
        </w:rPr>
        <w:t>). For purposes of this Agreement, the Company and Employee are referred to collectively as the “</w:t>
      </w:r>
      <w:r>
        <w:rPr>
          <w:rFonts w:ascii="Times New Roman" w:hAnsi="Times New Roman"/>
          <w:i/>
          <w:color w:val="000000"/>
          <w:sz w:val="24"/>
        </w:rPr>
        <w:t>Parties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0"/>
        </w:rPr>
      </w:pPr>
      <w:r>
        <w:rPr>
          <w:rFonts w:ascii="Times New Roman" w:hAnsi="Times New Roman"/>
          <w:color w:val="000000"/>
          <w:sz w:val="24"/>
        </w:rPr>
        <w:t>Pursuant to the Purchase Agreement by and between Vistance Networks, Inc. (“VISN”) and Belden Inc. (“Belden”), dated as of April 29, 2026 (the “Purchase Agreement”), Belden has agreed to buy, and VISN has agreed to sell, the Company’s Ruckus business (the “</w:t>
      </w:r>
      <w:r>
        <w:rPr>
          <w:rFonts w:ascii="Times New Roman" w:hAnsi="Times New Roman"/>
          <w:i/>
          <w:color w:val="000000"/>
          <w:sz w:val="24"/>
        </w:rPr>
        <w:t>Transaction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In order to recognize Employee’s valuable leadership and contributions to the success of the Company, and to encourage Employee’s continued commitment, dedication, and services leading up to the Transaction, the Company wishes to provide an incentive to encourage Employee to remain actively employed by the Company through the consummation of the Transaction (the “</w:t>
      </w:r>
      <w:r>
        <w:rPr>
          <w:rFonts w:ascii="Times New Roman" w:hAnsi="Times New Roman"/>
          <w:i/>
          <w:color w:val="000000"/>
          <w:sz w:val="24"/>
        </w:rPr>
        <w:t>Closing</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Accordingly, in consideration of the mutual promises contained herein and other good and valuable consideration, the receipt and sufficiency of which is hereby acknowledged, the Parties agree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Effectiveness</w:t>
      </w:r>
      <w:r>
        <w:rPr>
          <w:rFonts w:ascii="Times New Roman" w:hAnsi="Times New Roman"/>
          <w:color w:val="000000"/>
          <w:sz w:val="24"/>
        </w:rPr>
        <w:t>. This Agreement shall be effective as of the date first written above (the “</w:t>
      </w:r>
      <w:r>
        <w:rPr>
          <w:rFonts w:ascii="Times New Roman" w:hAnsi="Times New Roman"/>
          <w:i/>
          <w:color w:val="000000"/>
          <w:sz w:val="24"/>
        </w:rPr>
        <w:t>Effective Date</w:t>
      </w:r>
      <w:r>
        <w:rPr>
          <w:rFonts w:ascii="Times New Roman" w:hAnsi="Times New Roman"/>
          <w:color w:val="000000"/>
          <w:sz w:val="20"/>
        </w:rPr>
        <w:t>”</w:t>
      </w:r>
      <w:r>
        <w:rPr>
          <w:rFonts w:ascii="Times New Roman" w:hAnsi="Times New Roman"/>
          <w:color w:val="000000"/>
          <w:sz w:val="24"/>
        </w:rPr>
        <w:t>) and requires that the Closing of the Transaction occur on or before [December 31, 2026] (the “</w:t>
      </w:r>
      <w:r>
        <w:rPr>
          <w:rFonts w:ascii="Times New Roman" w:hAnsi="Times New Roman"/>
          <w:i/>
          <w:color w:val="000000"/>
          <w:sz w:val="24"/>
        </w:rPr>
        <w:t>End Date</w:t>
      </w:r>
      <w:r>
        <w:rPr>
          <w:rFonts w:ascii="Times New Roman" w:hAnsi="Times New Roman"/>
          <w:color w:val="000000"/>
          <w:sz w:val="20"/>
        </w:rPr>
        <w:t>”</w:t>
      </w:r>
      <w:r>
        <w:rPr>
          <w:rFonts w:ascii="Times New Roman" w:hAnsi="Times New Roman"/>
          <w:color w:val="000000"/>
          <w:sz w:val="24"/>
        </w:rPr>
        <w:t>). Should the Transaction not Close on or prior to the End Date, no Success Bonus shall be paid to Employee pursuant to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Bonus Award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Subject to the terms and conditions of this Agreement, upon the Closing of the Transaction on or prior to the End Date, the Company will pay Employee a cash award equal to $1,854,000, less withholding for taxes and other similar items (the “</w:t>
      </w:r>
      <w:r>
        <w:rPr>
          <w:rFonts w:ascii="Times New Roman" w:hAnsi="Times New Roman"/>
          <w:i/>
          <w:color w:val="000000"/>
          <w:sz w:val="24"/>
        </w:rPr>
        <w:t>Success</w:t>
      </w:r>
      <w:r>
        <w:rPr>
          <w:rFonts w:ascii="Times New Roman" w:hAnsi="Times New Roman"/>
          <w:color w:val="000000"/>
          <w:sz w:val="20"/>
        </w:rPr>
        <w:t xml:space="preserve"> </w:t>
      </w:r>
      <w:r>
        <w:rPr>
          <w:rFonts w:ascii="Times New Roman" w:hAnsi="Times New Roman"/>
          <w:i/>
          <w:color w:val="000000"/>
          <w:sz w:val="24"/>
        </w:rPr>
        <w:t>Bonus</w:t>
      </w:r>
      <w:r>
        <w:rPr>
          <w:rFonts w:ascii="Times New Roman" w:hAnsi="Times New Roman"/>
          <w:color w:val="000000"/>
          <w:sz w:val="20"/>
        </w:rPr>
        <w:t>”</w:t>
      </w:r>
      <w:r>
        <w:rPr>
          <w:rFonts w:ascii="Times New Roman" w:hAnsi="Times New Roman"/>
          <w:color w:val="000000"/>
          <w:sz w:val="24"/>
        </w:rPr>
        <w:t>), provided that Employee remains employed by the Company through the Closing. The Success Bonus shall be payable to Employee within thirty (30) days following the Closing.</w:t>
      </w:r>
    </w:p>
    <w:p>
      <w:pPr>
        <w:pStyle w:val="TextBody"/>
        <w:bidi w:val="0"/>
        <w:spacing w:before="0" w:after="240"/>
        <w:jc w:val="both"/>
        <w:rPr>
          <w:rFonts w:ascii="Times New Roman" w:hAnsi="Times New Roman"/>
          <w:sz w:val="20"/>
        </w:rPr>
      </w:pPr>
      <w:r>
        <w:rPr>
          <w:rFonts w:ascii="Times New Roman" w:hAnsi="Times New Roman"/>
          <w:color w:val="000000"/>
          <w:sz w:val="24"/>
        </w:rPr>
        <w:t>(b) The Parties agree that the Success Bonus is over and above any payments to which Employee may otherwise be eligible to receive.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 of Employment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the event that, prior to the Closing, (i) Employee terminates his employment with the Company, whether by resignation, retirement or otherwise, or (ii) the Company terminates Employee’s employment for Cause (as defined in the Company’s Long-Term Incentive Plan), then Employee shall not be entitled to payment of the Success Bonus.</w:t>
      </w:r>
    </w:p>
    <w:p>
      <w:pPr>
        <w:pStyle w:val="TextBody"/>
        <w:bidi w:val="0"/>
        <w:spacing w:before="0" w:after="240"/>
        <w:jc w:val="both"/>
        <w:rPr>
          <w:rFonts w:ascii="Times New Roman" w:hAnsi="Times New Roman"/>
          <w:sz w:val="20"/>
        </w:rPr>
      </w:pPr>
      <w:r>
        <w:rPr>
          <w:rFonts w:ascii="Times New Roman" w:hAnsi="Times New Roman"/>
          <w:color w:val="000000"/>
          <w:sz w:val="24"/>
        </w:rPr>
        <w:t>(b) The Parties agree that this Agreement does not create any rights in Employee beyond the potential right to payment of the Success Bonus that may be earned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hereunder. The potential Success Bonus should be viewed as an indication of the Company’s confidence in and appreciation of Employee’s abilities and contributions, and as an additional form of compensation to meet a special purpose. Any Success Bonus earned will be in addition to any other compensation or benefits that Employee may otherwise be eligible to receive from the Company and is not a permanent or recurring element of Employee’s compensation at the Company. Unless otherwise required by applicable law, the Success Bonus will not impact any other element of compensation for which Employee may otherwise be eligible.</w:t>
      </w:r>
    </w:p>
    <w:p>
      <w:pPr>
        <w:pStyle w:val="TextBody"/>
        <w:bidi w:val="0"/>
        <w:spacing w:before="0" w:after="240"/>
        <w:jc w:val="both"/>
        <w:rPr>
          <w:rFonts w:ascii="Times New Roman" w:hAnsi="Times New Roman"/>
          <w:sz w:val="20"/>
        </w:rPr>
      </w:pPr>
      <w:r>
        <w:rPr>
          <w:rFonts w:ascii="Times New Roman" w:hAnsi="Times New Roman"/>
          <w:color w:val="000000"/>
          <w:sz w:val="24"/>
        </w:rPr>
        <w:t>(c) Notwithstanding anything to the contrary in this Agreement or in the Severance Protection Agreement, dated as of February 22, 2023, between the Company and Employee (the “</w:t>
      </w:r>
      <w:r>
        <w:rPr>
          <w:rFonts w:ascii="Times New Roman" w:hAnsi="Times New Roman"/>
          <w:i/>
          <w:color w:val="000000"/>
          <w:sz w:val="24"/>
        </w:rPr>
        <w:t>SPA</w:t>
      </w:r>
      <w:r>
        <w:rPr>
          <w:rFonts w:ascii="Times New Roman" w:hAnsi="Times New Roman"/>
          <w:color w:val="000000"/>
          <w:sz w:val="20"/>
        </w:rPr>
        <w:t>”</w:t>
      </w:r>
      <w:r>
        <w:rPr>
          <w:rFonts w:ascii="Times New Roman" w:hAnsi="Times New Roman"/>
          <w:color w:val="000000"/>
          <w:sz w:val="24"/>
        </w:rPr>
        <w:t>), Employee acknowledges and agrees that if Employee becomes entitled to receive a Success Bonus under this Agreement, then he shall not be entitled to any compensation or benefits pursuant to the SPA in connection with the termination of his employment with the Company or its affiliates upon the Closing of the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Confidentiality</w:t>
      </w:r>
      <w:r>
        <w:rPr>
          <w:rFonts w:ascii="Times New Roman" w:hAnsi="Times New Roman"/>
          <w:color w:val="000000"/>
          <w:sz w:val="24"/>
        </w:rPr>
        <w:t>. Employee acknowledges that the terms of this Agreement are confidential. Accordingly, Employee agrees not to disclose or publish, verbally, in writing or otherwise, to any person or entity, except his spouse, his legal and tax advisors, or as required by law, any of the details leading up to the making of this Agreement, the terms and conditions or sums being paid in connection with this Agreement, or whether the terms of the Agreement are satisfactory in his opinion.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Employment Status</w:t>
      </w:r>
      <w:r>
        <w:rPr>
          <w:rFonts w:ascii="Times New Roman" w:hAnsi="Times New Roman"/>
          <w:color w:val="000000"/>
          <w:sz w:val="24"/>
        </w:rPr>
        <w:t>. Nothing in this Agreement shall be construed as a commitment, guarantee, agreement, or understanding of any kind or nature that the Company will continue to employ Employee, nor will this Agreement affect in any way the right of the Company to terminate Employee’s employment at any time and for any reason (unless otherwise agreed to by the Parties separately in writing). Employee acknowledges and agrees that he is an “at will” employee. This Agreement does not amend or modify any employment agreement, offer letter, or terms of employment between Employee and the Company or any of its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Section 409A</w:t>
      </w:r>
      <w:r>
        <w:rPr>
          <w:rFonts w:ascii="Times New Roman" w:hAnsi="Times New Roman"/>
          <w:color w:val="000000"/>
          <w:sz w:val="24"/>
        </w:rPr>
        <w:t>. To the extent Employee is subject to U.S. taxes, this Agreement shall be interpreted and administered in a manner so that any amount or benefit payable hereunder shall be paid or provided in a manner that is either exempt from or compliant with the requirements of Section 409A of the Internal Revenue Code of 1986, as amended (the “</w:t>
      </w:r>
      <w:r>
        <w:rPr>
          <w:rFonts w:ascii="Times New Roman" w:hAnsi="Times New Roman"/>
          <w:i/>
          <w:color w:val="000000"/>
          <w:sz w:val="24"/>
        </w:rPr>
        <w:t>Code</w:t>
      </w:r>
      <w:r>
        <w:rPr>
          <w:color w:val="000000"/>
        </w:rPr>
        <w:t>”</w:t>
      </w:r>
      <w:r>
        <w:rPr>
          <w:rFonts w:ascii="Times New Roman" w:hAnsi="Times New Roman"/>
          <w:color w:val="000000"/>
          <w:sz w:val="24"/>
        </w:rPr>
        <w:t xml:space="preserve">), and applicable Internal Revenue Service guidance and Treasury Regulations issued thereunder. Nevertheless, the tax treatment of the payments and benefits provided under the Agreement is not warranted or guaranteed. Neither the Company, its affiliates, nor their directors, officers, employees or advisers (other than Employee) shall be held liable for any taxes, interest, penalties or other monetary amounts owed by Employee as a result of the application of Section 409A of the Code.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Applicable Law; Forum Selection; Consent to Jurisdiction</w:t>
      </w:r>
      <w:r>
        <w:rPr>
          <w:rFonts w:ascii="Times New Roman" w:hAnsi="Times New Roman"/>
          <w:color w:val="000000"/>
          <w:sz w:val="24"/>
        </w:rPr>
        <w:t xml:space="preserve">. The Parties agree that this Agreement shall be governed by and construed and interpreted in accordance with the laws of the State of Delaware without giving effect to its conflicts of law principles. Employee agrees that the exclusive forum for any action to enforce this Agreement, as well as any action relating to or arising out of this Agreement, shall be the state or federal courts of the State of Texas. </w:t>
      </w:r>
    </w:p>
    <w:p>
      <w:pPr>
        <w:pStyle w:val="TextBody"/>
        <w:bidi w:val="0"/>
        <w:jc w:val="center"/>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any such court action, Employee hereby (a) irrevocably submits to the personal jurisdiction of such courts; (b) consents to service of process; (c) consents to venue; and (d) waives any other requirement (whether imposed by statute, rule of court, or otherwise) with respect to personal jurisdiction, service of process, or venue. Both Parties hereto further agree that the state and federal courts of the State of Texas are convenient forums for any dispute that may arise herefrom and that neither party shall raise as a defense that such courts are not convenient forums.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invalidity or unenforceability of any provision of this Agreement shall not affect the validity or enforceability of any other provision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Waiver</w:t>
      </w:r>
      <w:r>
        <w:rPr>
          <w:rFonts w:ascii="Times New Roman" w:hAnsi="Times New Roman"/>
          <w:color w:val="000000"/>
          <w:sz w:val="24"/>
        </w:rPr>
        <w:t>. Failure of either Party to insist, in one or more instances, on performance by the other in strict accordance with the terms and conditions of this Agreement shall not be deemed a waiver or relinquishment of any right granted in this Agreement or of the future performance of any such term or condition or of any other term or condition of this Agreement, unless such waiver is contained in a writing signed by the Party making the waiver.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Entire Agreement; Amendment</w:t>
      </w:r>
      <w:r>
        <w:rPr>
          <w:rFonts w:ascii="Times New Roman" w:hAnsi="Times New Roman"/>
          <w:color w:val="000000"/>
          <w:sz w:val="24"/>
        </w:rPr>
        <w:t>. This Agreement contains the entire agreement between the Company and Employee with respect to the subject matter hereof and, from and after the date hereof, this Agreement shall supersede any other agreement, written or oral, between the Parties relating to the subject matter of this Agreement. This Agreement may not be amended or modified otherwise than by a written agreement executed by the Parties hereto or their respective successors and legal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Assignment</w:t>
      </w:r>
      <w:r>
        <w:rPr>
          <w:rFonts w:ascii="Times New Roman" w:hAnsi="Times New Roman"/>
          <w:color w:val="000000"/>
          <w:sz w:val="24"/>
        </w:rPr>
        <w:t>. The rights and obligations of the Company may be assigned, and this Agreement shall be binding and inure to the benefit of the Company, its successors and assigns. No right, obligation or duty of this Agreement may be assigned by Employee without the prior written consent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Construction</w:t>
      </w:r>
      <w:r>
        <w:rPr>
          <w:rFonts w:ascii="Times New Roman" w:hAnsi="Times New Roman"/>
          <w:color w:val="000000"/>
          <w:sz w:val="24"/>
        </w:rPr>
        <w:t>. The Parties understand and agree that because they both have been given the opportunity to have counsel review and revise this Agreement, the normal rule of construction to the effect that any ambiguities are to be resolved against the drafting party shall not be employed in the interpretation of this Agreement. Instead, the language of all parts of this Agreement shall be construed as a whole, and according to its fair meaning, and not strictly for or against either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counterparts (including by means of electronic signature, such as DocuSign), each of which shall be deemed an original, but all of which together shall constitute a single instrument. Execution of this Agreement may be made by providing a signed original copy or providing a signature via facsimile or other electronic means, such as portable document format (PDF).</w:t>
      </w:r>
    </w:p>
    <w:p>
      <w:pPr>
        <w:pStyle w:val="TextBody"/>
        <w:bidi w:val="0"/>
        <w:jc w:val="center"/>
        <w:rPr>
          <w:rFonts w:ascii="Times New Roman" w:hAnsi="Times New Roman"/>
          <w:color w:val="000000"/>
          <w:sz w:val="24"/>
        </w:rPr>
      </w:pPr>
      <w:r>
        <w:rPr>
          <w:rFonts w:ascii="Times New Roman" w:hAnsi="Times New Roman"/>
          <w:color w:val="000000"/>
          <w:sz w:val="24"/>
        </w:rPr>
        <w:t>[signatures appear on following page]</w:t>
      </w:r>
    </w:p>
    <w:p>
      <w:pPr>
        <w:pStyle w:val="TextBody"/>
        <w:bidi w:val="0"/>
        <w:jc w:val="center"/>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IN WITNESS WHEREOF, the Parties hereto have duly executed and delivered this Agreement.</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Employee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 Bart Giordano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5/14/2026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VISTANCE NETWORKS HOLDINGS, LLC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Michael Coppin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Michael Coppin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 xml:space="preserve">Vice President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5/14/2026 </w:t>
      </w:r>
    </w:p>
    <w:p>
      <w:pPr>
        <w:pStyle w:val="TextBody"/>
        <w:bidi w:val="0"/>
        <w:jc w:val="center"/>
        <w:rPr>
          <w:rFonts w:ascii="Times New Roman" w:hAnsi="Times New Roman"/>
          <w:sz w:val="20"/>
        </w:rPr>
      </w:pPr>
      <w:r>
        <w:rPr>
          <w:rFonts w:ascii="Times New Roman" w:hAnsi="Times New Roman"/>
          <w:color w:val="000000"/>
          <w:sz w:val="24"/>
        </w:rPr>
        <w:t>-4-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5" w:name="visn-ex31_1.htm"/>
      <w:bookmarkStart w:id="26" w:name="ksvisn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Charles L. Treadway,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Vistance Networks,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977" w:type="dxa"/>
        <w:jc w:val="left"/>
        <w:tblInd w:w="0" w:type="dxa"/>
        <w:tblLayout w:type="fixed"/>
        <w:tblCellMar>
          <w:top w:w="28" w:type="dxa"/>
          <w:left w:w="28" w:type="dxa"/>
          <w:bottom w:w="28" w:type="dxa"/>
          <w:right w:w="28" w:type="dxa"/>
        </w:tblCellMar>
      </w:tblPr>
      <w:tblGrid>
        <w:gridCol w:w="646"/>
        <w:gridCol w:w="6331"/>
      </w:tblGrid>
      <w:tr>
        <w:trPr/>
        <w:tc>
          <w:tcPr>
            <w:tcW w:w="646" w:type="dxa"/>
            <w:tcBorders/>
            <w:vAlign w:val="center"/>
          </w:tcPr>
          <w:p>
            <w:pPr>
              <w:pStyle w:val="TableContents"/>
              <w:bidi w:val="0"/>
              <w:spacing w:before="0" w:after="283"/>
              <w:jc w:val="left"/>
              <w:rPr>
                <w:sz w:val="4"/>
                <w:szCs w:val="4"/>
              </w:rPr>
            </w:pPr>
            <w:r>
              <w:rPr>
                <w:sz w:val="4"/>
                <w:szCs w:val="4"/>
              </w:rPr>
            </w:r>
          </w:p>
        </w:tc>
        <w:tc>
          <w:tcPr>
            <w:tcW w:w="6331" w:type="dxa"/>
            <w:tcBorders/>
            <w:vAlign w:val="center"/>
          </w:tcPr>
          <w:p>
            <w:pPr>
              <w:pStyle w:val="TableContents"/>
              <w:bidi w:val="0"/>
              <w:spacing w:before="0" w:after="283"/>
              <w:jc w:val="left"/>
              <w:rPr>
                <w:sz w:val="4"/>
                <w:szCs w:val="4"/>
              </w:rPr>
            </w:pPr>
            <w:r>
              <w:rPr>
                <w:sz w:val="4"/>
                <w:szCs w:val="4"/>
              </w:rPr>
            </w:r>
          </w:p>
        </w:tc>
      </w:tr>
      <w:tr>
        <w:trPr/>
        <w:tc>
          <w:tcPr>
            <w:tcW w:w="69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r>
      <w:tr>
        <w:trPr/>
        <w:tc>
          <w:tcPr>
            <w:tcW w:w="69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L. Treadway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L. Treadway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visn-ex31_2.htm"/>
      <w:bookmarkStart w:id="28" w:name="ksvisn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Kyle D. Lorentzen,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Vistance Networks,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397" w:type="dxa"/>
        <w:jc w:val="left"/>
        <w:tblInd w:w="0" w:type="dxa"/>
        <w:tblLayout w:type="fixed"/>
        <w:tblCellMar>
          <w:top w:w="28" w:type="dxa"/>
          <w:left w:w="28" w:type="dxa"/>
          <w:bottom w:w="28" w:type="dxa"/>
          <w:right w:w="28" w:type="dxa"/>
        </w:tblCellMar>
      </w:tblPr>
      <w:tblGrid>
        <w:gridCol w:w="646"/>
        <w:gridCol w:w="6751"/>
      </w:tblGrid>
      <w:tr>
        <w:trPr/>
        <w:tc>
          <w:tcPr>
            <w:tcW w:w="646" w:type="dxa"/>
            <w:tcBorders/>
            <w:vAlign w:val="center"/>
          </w:tcPr>
          <w:p>
            <w:pPr>
              <w:pStyle w:val="TableContents"/>
              <w:bidi w:val="0"/>
              <w:spacing w:before="0" w:after="283"/>
              <w:jc w:val="left"/>
              <w:rPr>
                <w:sz w:val="4"/>
                <w:szCs w:val="4"/>
              </w:rPr>
            </w:pPr>
            <w:r>
              <w:rPr>
                <w:sz w:val="4"/>
                <w:szCs w:val="4"/>
              </w:rPr>
            </w:r>
          </w:p>
        </w:tc>
        <w:tc>
          <w:tcPr>
            <w:tcW w:w="6751" w:type="dxa"/>
            <w:tcBorders/>
            <w:vAlign w:val="center"/>
          </w:tcPr>
          <w:p>
            <w:pPr>
              <w:pStyle w:val="TableContents"/>
              <w:bidi w:val="0"/>
              <w:spacing w:before="0" w:after="283"/>
              <w:jc w:val="left"/>
              <w:rPr>
                <w:sz w:val="4"/>
                <w:szCs w:val="4"/>
              </w:rPr>
            </w:pPr>
            <w:r>
              <w:rPr>
                <w:sz w:val="4"/>
                <w:szCs w:val="4"/>
              </w:rPr>
            </w:r>
          </w:p>
        </w:tc>
      </w:tr>
      <w:tr>
        <w:trPr/>
        <w:tc>
          <w:tcPr>
            <w:tcW w:w="7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r>
      <w:tr>
        <w:trPr/>
        <w:tc>
          <w:tcPr>
            <w:tcW w:w="73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visn-ex32_1.htm"/>
      <w:bookmarkStart w:id="30" w:name="ksvisn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Vistance Networks, Inc. (the “Company”) on Form 10-Q for the quarter ended June 30, 2026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283"/>
              <w:jc w:val="left"/>
              <w:rPr>
                <w:sz w:val="4"/>
                <w:szCs w:val="4"/>
              </w:rPr>
            </w:pPr>
            <w:r>
              <w:rPr>
                <w:sz w:val="4"/>
                <w:szCs w:val="4"/>
              </w:rPr>
            </w:r>
          </w:p>
        </w:tc>
      </w:tr>
      <w:tr>
        <w:trPr/>
        <w:tc>
          <w:tcPr>
            <w:tcW w:w="397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Dated: August 5, 2026</w:t>
            </w:r>
          </w:p>
        </w:tc>
      </w:tr>
      <w:tr>
        <w:trPr/>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L. Treadway</w:t>
            </w:r>
          </w:p>
        </w:tc>
      </w:tr>
      <w:tr>
        <w:trPr/>
        <w:tc>
          <w:tcPr>
            <w:tcW w:w="397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Charles L. Treadway</w:t>
            </w:r>
          </w:p>
        </w:tc>
      </w:tr>
      <w:tr>
        <w:trPr/>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7228/000119312526206475/d46980dex21.htm" TargetMode="External"/><Relationship Id="rId3" Type="http://schemas.openxmlformats.org/officeDocument/2006/relationships/hyperlink" Target="https://www.sec.gov/Archives/edgar/data/1517228/000119312526147622/visn-ex10_1.htm" TargetMode="External"/><Relationship Id="rId4" Type="http://schemas.openxmlformats.org/officeDocument/2006/relationships/hyperlink" Target="https://www.sec.gov/ix?doc=/Archives/edgar/data/1517228/000119312526119884/visn-2026032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24414</Words>
  <Characters>132428</Characters>
  <CharactersWithSpaces>159903</CharactersWithSpaces>
  <Paragraphs>11097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