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KRAUSE L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08"/>
        <w:gridCol w:w="446"/>
        <w:gridCol w:w="79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176,136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98,371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shown is the weighted average price of the shares sold in this transaction. The price range for this transaction is $6.68 to $6.775. The reporting person undertakes to provide, upon request by the staff of the Securities and Exchange Commission, the issuer, or a security holder of the issuer, full information regarding the number of shares sold at each separate price for this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disclosed, includes 16,807 restricted stock units granted pursuant to the issuer's non-employee director compensation plan on May 7, 2026, which vest on the earlier to occur of (i) May 7, 2027; and (ii) the date of the issuer's 2027 annual stockholders' meeting, subject to the director's continued membership on the Board of Directors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5438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3740</Characters>
  <CharactersWithSpaces>4366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